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D86D2" w14:textId="6BEF3DCA" w:rsidR="00C769AA" w:rsidRPr="00DD6987" w:rsidRDefault="00DD6987" w:rsidP="00E347DE">
      <w:pPr>
        <w:spacing w:after="0" w:line="480" w:lineRule="auto"/>
        <w:rPr>
          <w:rFonts w:ascii="Times New Roman" w:hAnsi="Times New Roman" w:cs="Times New Roman"/>
          <w:b/>
          <w:bCs/>
          <w:sz w:val="28"/>
          <w:szCs w:val="28"/>
        </w:rPr>
      </w:pPr>
      <w:r w:rsidRPr="00DD6987">
        <w:rPr>
          <w:rFonts w:ascii="Times New Roman" w:hAnsi="Times New Roman" w:cs="Times New Roman"/>
          <w:b/>
          <w:bCs/>
          <w:sz w:val="28"/>
          <w:szCs w:val="28"/>
        </w:rPr>
        <w:t>Hanna</w:t>
      </w:r>
      <w:r w:rsidR="00B6377C">
        <w:rPr>
          <w:rFonts w:ascii="Times New Roman" w:hAnsi="Times New Roman" w:cs="Times New Roman"/>
          <w:b/>
          <w:bCs/>
          <w:sz w:val="28"/>
          <w:szCs w:val="28"/>
        </w:rPr>
        <w:t xml:space="preserve"> and Dodd</w:t>
      </w:r>
      <w:r w:rsidR="00C769AA" w:rsidRPr="00DD6987">
        <w:rPr>
          <w:rFonts w:ascii="Times New Roman" w:hAnsi="Times New Roman" w:cs="Times New Roman"/>
          <w:b/>
          <w:bCs/>
          <w:sz w:val="28"/>
          <w:szCs w:val="28"/>
        </w:rPr>
        <w:t>: McNae's Essential Law for Journalists 2</w:t>
      </w:r>
      <w:r w:rsidR="008853A9">
        <w:rPr>
          <w:rFonts w:ascii="Times New Roman" w:hAnsi="Times New Roman" w:cs="Times New Roman"/>
          <w:b/>
          <w:bCs/>
          <w:sz w:val="28"/>
          <w:szCs w:val="28"/>
        </w:rPr>
        <w:t>5</w:t>
      </w:r>
      <w:r w:rsidRPr="00DD6987">
        <w:rPr>
          <w:rFonts w:ascii="Times New Roman" w:hAnsi="Times New Roman" w:cs="Times New Roman"/>
          <w:b/>
          <w:bCs/>
          <w:sz w:val="28"/>
          <w:szCs w:val="28"/>
          <w:vertAlign w:val="superscript"/>
        </w:rPr>
        <w:t>th</w:t>
      </w:r>
      <w:r w:rsidRPr="00DD6987">
        <w:rPr>
          <w:rFonts w:ascii="Times New Roman" w:hAnsi="Times New Roman" w:cs="Times New Roman"/>
          <w:b/>
          <w:bCs/>
          <w:sz w:val="28"/>
          <w:szCs w:val="28"/>
        </w:rPr>
        <w:t xml:space="preserve"> edition</w:t>
      </w:r>
    </w:p>
    <w:p w14:paraId="1759ECE0" w14:textId="77777777" w:rsidR="00C769AA" w:rsidRPr="00DD6987" w:rsidRDefault="00C769AA" w:rsidP="00E347DE">
      <w:pPr>
        <w:spacing w:after="0" w:line="480" w:lineRule="auto"/>
        <w:rPr>
          <w:rFonts w:ascii="Times New Roman" w:hAnsi="Times New Roman" w:cs="Times New Roman"/>
          <w:b/>
          <w:color w:val="000000"/>
          <w:sz w:val="28"/>
          <w:szCs w:val="28"/>
        </w:rPr>
      </w:pPr>
      <w:r w:rsidRPr="00DD6987">
        <w:rPr>
          <w:rFonts w:ascii="Times New Roman" w:hAnsi="Times New Roman" w:cs="Times New Roman"/>
          <w:b/>
          <w:bCs/>
          <w:sz w:val="28"/>
          <w:szCs w:val="28"/>
        </w:rPr>
        <w:t>Additional material for chapter 1</w:t>
      </w:r>
      <w:r w:rsidR="00DD6987" w:rsidRPr="00DD6987">
        <w:rPr>
          <w:rFonts w:ascii="Times New Roman" w:hAnsi="Times New Roman" w:cs="Times New Roman"/>
          <w:b/>
          <w:bCs/>
          <w:sz w:val="28"/>
          <w:szCs w:val="28"/>
        </w:rPr>
        <w:t xml:space="preserve">2: </w:t>
      </w:r>
      <w:r w:rsidRPr="00DD6987">
        <w:rPr>
          <w:rFonts w:ascii="Times New Roman" w:hAnsi="Times New Roman" w:cs="Times New Roman"/>
          <w:b/>
          <w:color w:val="000000"/>
          <w:sz w:val="28"/>
          <w:szCs w:val="28"/>
        </w:rPr>
        <w:t>Court reporting – other restrictions</w:t>
      </w:r>
    </w:p>
    <w:p w14:paraId="2685B5E3" w14:textId="548E92F6" w:rsidR="008A60C7" w:rsidRDefault="00A02873" w:rsidP="00A02873">
      <w:pPr>
        <w:spacing w:after="0" w:line="480" w:lineRule="auto"/>
        <w:rPr>
          <w:rFonts w:ascii="Times New Roman" w:hAnsi="Times New Roman" w:cs="Times New Roman"/>
          <w:bCs/>
          <w:i/>
        </w:rPr>
      </w:pPr>
      <w:r w:rsidRPr="00750D65">
        <w:rPr>
          <w:rFonts w:ascii="Times New Roman" w:hAnsi="Times New Roman" w:cs="Times New Roman"/>
          <w:bCs/>
          <w:i/>
        </w:rPr>
        <w:t xml:space="preserve">Section numbers from the book are used. </w:t>
      </w:r>
      <w:r w:rsidR="000C43CD">
        <w:rPr>
          <w:rFonts w:ascii="Times New Roman" w:hAnsi="Times New Roman" w:cs="Times New Roman"/>
          <w:bCs/>
          <w:i/>
        </w:rPr>
        <w:t xml:space="preserve">The book should be read too. </w:t>
      </w:r>
      <w:r w:rsidRPr="00750D65">
        <w:rPr>
          <w:rFonts w:ascii="Times New Roman" w:hAnsi="Times New Roman" w:cs="Times New Roman"/>
          <w:bCs/>
          <w:i/>
        </w:rPr>
        <w:t>Its content provides fuller explanations and context.</w:t>
      </w:r>
      <w:bookmarkStart w:id="0" w:name="_GoBack"/>
      <w:bookmarkEnd w:id="0"/>
    </w:p>
    <w:p w14:paraId="729F8022" w14:textId="77777777" w:rsidR="008A60C7" w:rsidRPr="006A6143" w:rsidRDefault="008A60C7" w:rsidP="008A60C7">
      <w:pPr>
        <w:pStyle w:val="2hd"/>
        <w:spacing w:line="480" w:lineRule="auto"/>
        <w:rPr>
          <w:lang w:val="en-US"/>
        </w:rPr>
      </w:pPr>
      <w:r w:rsidRPr="006A6143">
        <w:rPr>
          <w:b w:val="0"/>
          <w:lang w:val="en-US"/>
        </w:rPr>
        <w:t>12.1.3</w:t>
      </w:r>
      <w:r w:rsidRPr="006A6143">
        <w:rPr>
          <w:rFonts w:ascii="MS Mincho" w:eastAsia="MS Mincho" w:hAnsi="MS Mincho" w:cs="MS Mincho" w:hint="eastAsia"/>
          <w:b w:val="0"/>
          <w:lang w:val="en-US"/>
        </w:rPr>
        <w:t> </w:t>
      </w:r>
      <w:r w:rsidRPr="006A6143">
        <w:rPr>
          <w:lang w:val="en-US"/>
        </w:rPr>
        <w:t>Photography and filming could be contempt of court</w:t>
      </w:r>
    </w:p>
    <w:p w14:paraId="5C8B24C0" w14:textId="4A0F5B20" w:rsidR="008A60C7" w:rsidRPr="0027713F" w:rsidRDefault="005275BE" w:rsidP="008A60C7">
      <w:pPr>
        <w:pStyle w:val="Casep1"/>
        <w:pBdr>
          <w:bottom w:val="single" w:sz="4" w:space="1" w:color="auto"/>
        </w:pBdr>
        <w:spacing w:line="480" w:lineRule="auto"/>
        <w:rPr>
          <w:sz w:val="22"/>
          <w:szCs w:val="22"/>
        </w:rPr>
      </w:pPr>
      <w:r w:rsidRPr="0027713F">
        <w:rPr>
          <w:b/>
          <w:bCs/>
          <w:sz w:val="22"/>
          <w:szCs w:val="22"/>
        </w:rPr>
        <w:t xml:space="preserve">Case study: </w:t>
      </w:r>
      <w:r w:rsidR="008A60C7" w:rsidRPr="0027713F">
        <w:rPr>
          <w:sz w:val="22"/>
          <w:szCs w:val="22"/>
        </w:rPr>
        <w:t>On 20 February 2017 a member of the public, David William Davies, 39, sitting in Cardiff Crown court’s public gallery, began using his mobile phone to film a person giving evidence in a trial of another man for dangerous driving. Davies streamed the footage live on Facebook. More than 650 people saw it, some commenting on it online. Davies, of Llanwit Fardre, Rhondda Cynon Taff, posted an invitation for people to ‘tune in’ for further footage. Someone alerted police to the streaming. Davies was arrested the next day when he returned to the court. Judge Greg Bull QC jailed him for 28 days for contempt. PC Richard Sellek said: ‘Unfortunately, cases such as this are becoming more and more commonplace’ (</w:t>
      </w:r>
      <w:r w:rsidR="008A60C7" w:rsidRPr="0027713F">
        <w:rPr>
          <w:i/>
          <w:sz w:val="22"/>
          <w:szCs w:val="22"/>
        </w:rPr>
        <w:t>Wales Online, BBC online and South Wales police press release,</w:t>
      </w:r>
      <w:r w:rsidR="008A60C7" w:rsidRPr="0027713F">
        <w:rPr>
          <w:sz w:val="22"/>
          <w:szCs w:val="22"/>
        </w:rPr>
        <w:t xml:space="preserve"> 22 February 2017).</w:t>
      </w:r>
    </w:p>
    <w:p w14:paraId="65AF7986" w14:textId="70874FDC" w:rsidR="00FB02A5" w:rsidRPr="0027713F" w:rsidRDefault="005275BE" w:rsidP="005275BE">
      <w:pPr>
        <w:pStyle w:val="Casep1"/>
        <w:pBdr>
          <w:bottom w:val="single" w:sz="4" w:space="0" w:color="auto"/>
        </w:pBdr>
        <w:spacing w:before="0" w:after="0" w:line="480" w:lineRule="auto"/>
        <w:rPr>
          <w:sz w:val="22"/>
          <w:szCs w:val="22"/>
        </w:rPr>
      </w:pPr>
      <w:r w:rsidRPr="0027713F">
        <w:rPr>
          <w:b/>
          <w:bCs/>
          <w:sz w:val="22"/>
          <w:szCs w:val="22"/>
        </w:rPr>
        <w:t>Case study:</w:t>
      </w:r>
      <w:r w:rsidRPr="0027713F">
        <w:rPr>
          <w:sz w:val="22"/>
          <w:szCs w:val="22"/>
        </w:rPr>
        <w:t xml:space="preserve"> </w:t>
      </w:r>
      <w:r w:rsidR="00FB02A5" w:rsidRPr="0027713F">
        <w:rPr>
          <w:sz w:val="22"/>
          <w:szCs w:val="22"/>
        </w:rPr>
        <w:t>In 2009 Mr Justice Keith warned photographers to stop taking pictures of two young brothers as they arrived at Sheffield Crown court in cars, under blankets, saying he would take action if he thought a contempt had taken place. The brothers had admitted inflicting, when aged 10 and 11, horrific violence on two boys in Edlington, near Doncaster (</w:t>
      </w:r>
      <w:r w:rsidR="00FB02A5" w:rsidRPr="0027713F">
        <w:rPr>
          <w:i/>
          <w:sz w:val="22"/>
          <w:szCs w:val="22"/>
        </w:rPr>
        <w:t>Press Gazette,</w:t>
      </w:r>
      <w:r w:rsidR="00FB02A5" w:rsidRPr="0027713F">
        <w:rPr>
          <w:sz w:val="22"/>
          <w:szCs w:val="22"/>
        </w:rPr>
        <w:t xml:space="preserve"> 7 September 2009). For background on that case, see </w:t>
      </w:r>
      <w:r w:rsidRPr="0027713F">
        <w:rPr>
          <w:sz w:val="22"/>
          <w:szCs w:val="22"/>
        </w:rPr>
        <w:t xml:space="preserve">12.11 </w:t>
      </w:r>
      <w:r w:rsidR="00FB02A5" w:rsidRPr="0027713F">
        <w:rPr>
          <w:sz w:val="22"/>
          <w:szCs w:val="22"/>
        </w:rPr>
        <w:t>belo</w:t>
      </w:r>
      <w:r w:rsidRPr="0027713F">
        <w:rPr>
          <w:sz w:val="22"/>
          <w:szCs w:val="22"/>
        </w:rPr>
        <w:t>w</w:t>
      </w:r>
    </w:p>
    <w:p w14:paraId="17D6096F" w14:textId="77777777" w:rsidR="001C23CB" w:rsidRDefault="001C23CB" w:rsidP="005275BE">
      <w:pPr>
        <w:spacing w:after="0" w:line="480" w:lineRule="auto"/>
        <w:rPr>
          <w:rFonts w:ascii="Times New Roman" w:hAnsi="Times New Roman" w:cs="Times New Roman"/>
          <w:b/>
          <w:sz w:val="26"/>
          <w:szCs w:val="28"/>
        </w:rPr>
      </w:pPr>
    </w:p>
    <w:p w14:paraId="0934B58E" w14:textId="7035D00C" w:rsidR="00E347DE" w:rsidRPr="00E347DE" w:rsidRDefault="00E347DE" w:rsidP="00E347DE">
      <w:pPr>
        <w:rPr>
          <w:rFonts w:ascii="Times New Roman" w:hAnsi="Times New Roman" w:cs="Times New Roman"/>
          <w:sz w:val="26"/>
          <w:szCs w:val="28"/>
        </w:rPr>
      </w:pPr>
      <w:r w:rsidRPr="00E347DE">
        <w:rPr>
          <w:rFonts w:ascii="Times New Roman" w:hAnsi="Times New Roman" w:cs="Times New Roman"/>
          <w:b/>
          <w:sz w:val="26"/>
          <w:szCs w:val="28"/>
        </w:rPr>
        <w:t>12.1.4</w:t>
      </w:r>
      <w:r w:rsidRPr="00E347DE">
        <w:rPr>
          <w:rFonts w:ascii="Times New Roman" w:hAnsi="Times New Roman" w:cs="Times New Roman"/>
          <w:sz w:val="26"/>
          <w:szCs w:val="28"/>
        </w:rPr>
        <w:t xml:space="preserve"> </w:t>
      </w:r>
      <w:r w:rsidR="005275BE">
        <w:rPr>
          <w:rFonts w:ascii="Times New Roman" w:hAnsi="Times New Roman" w:cs="Times New Roman"/>
          <w:b/>
          <w:bCs/>
          <w:sz w:val="26"/>
          <w:szCs w:val="28"/>
        </w:rPr>
        <w:t>Some broadcasting allowed</w:t>
      </w:r>
    </w:p>
    <w:p w14:paraId="4625ADFA" w14:textId="77777777" w:rsidR="00C769AA" w:rsidRPr="00E347DE" w:rsidRDefault="00C769AA" w:rsidP="00E347DE">
      <w:pPr>
        <w:pStyle w:val="p"/>
        <w:jc w:val="left"/>
        <w:rPr>
          <w:color w:val="000000"/>
          <w:sz w:val="22"/>
          <w:szCs w:val="22"/>
        </w:rPr>
      </w:pPr>
      <w:r w:rsidRPr="00E347DE">
        <w:rPr>
          <w:color w:val="000000"/>
          <w:sz w:val="22"/>
          <w:szCs w:val="22"/>
        </w:rPr>
        <w:t xml:space="preserve">The Constitutional Reform Act 2005 ensured that the Supreme Court could allow broadcasting of its proceedings. </w:t>
      </w:r>
    </w:p>
    <w:p w14:paraId="2E901BCD" w14:textId="77777777" w:rsidR="00737CDD" w:rsidRDefault="00737CDD" w:rsidP="00E347DE">
      <w:pPr>
        <w:pStyle w:val="p"/>
        <w:jc w:val="left"/>
        <w:rPr>
          <w:color w:val="000000"/>
          <w:sz w:val="22"/>
          <w:szCs w:val="22"/>
        </w:rPr>
      </w:pPr>
    </w:p>
    <w:p w14:paraId="698741FD" w14:textId="77777777" w:rsidR="00C769AA" w:rsidRPr="00E347DE" w:rsidRDefault="00C769AA" w:rsidP="00E347DE">
      <w:pPr>
        <w:pStyle w:val="p"/>
        <w:jc w:val="left"/>
        <w:rPr>
          <w:color w:val="000000"/>
          <w:sz w:val="22"/>
          <w:szCs w:val="22"/>
        </w:rPr>
      </w:pPr>
      <w:r w:rsidRPr="00E347DE">
        <w:rPr>
          <w:color w:val="000000"/>
          <w:sz w:val="22"/>
          <w:szCs w:val="22"/>
        </w:rPr>
        <w:lastRenderedPageBreak/>
        <w:t>Part of the Crime and Courts Act 2013 enables the Lord Chancellor by order and with the agreement of the Lord Chief Justice, to permit broadcasting from other courts by disapplying section 41 of the 1925 Criminal Justice Act</w:t>
      </w:r>
      <w:r w:rsidR="00E347DE" w:rsidRPr="00E347DE">
        <w:rPr>
          <w:color w:val="000000"/>
          <w:sz w:val="22"/>
          <w:szCs w:val="22"/>
        </w:rPr>
        <w:t xml:space="preserve"> and section 9 of the Contempt of Court Act</w:t>
      </w:r>
      <w:r w:rsidRPr="00E347DE">
        <w:rPr>
          <w:color w:val="000000"/>
          <w:sz w:val="22"/>
          <w:szCs w:val="22"/>
        </w:rPr>
        <w:t xml:space="preserve">. </w:t>
      </w:r>
      <w:r w:rsidR="00E347DE" w:rsidRPr="00E347DE">
        <w:rPr>
          <w:color w:val="000000"/>
          <w:sz w:val="22"/>
          <w:szCs w:val="22"/>
        </w:rPr>
        <w:t>For detail of these se</w:t>
      </w:r>
      <w:r w:rsidRPr="00E347DE">
        <w:rPr>
          <w:color w:val="000000"/>
          <w:sz w:val="22"/>
          <w:szCs w:val="22"/>
        </w:rPr>
        <w:t>ctions</w:t>
      </w:r>
      <w:r w:rsidR="00E347DE" w:rsidRPr="00E347DE">
        <w:rPr>
          <w:color w:val="000000"/>
          <w:sz w:val="22"/>
          <w:szCs w:val="22"/>
        </w:rPr>
        <w:t xml:space="preserve">, see 12.1 and 12.2 in </w:t>
      </w:r>
      <w:r w:rsidRPr="00E347DE">
        <w:rPr>
          <w:i/>
          <w:color w:val="000000"/>
          <w:sz w:val="22"/>
          <w:szCs w:val="22"/>
        </w:rPr>
        <w:t>McNae’s</w:t>
      </w:r>
      <w:r w:rsidRPr="00E347DE">
        <w:rPr>
          <w:color w:val="000000"/>
          <w:sz w:val="22"/>
          <w:szCs w:val="22"/>
        </w:rPr>
        <w:t xml:space="preserve">. </w:t>
      </w:r>
    </w:p>
    <w:p w14:paraId="04FB81CC" w14:textId="77777777" w:rsidR="00737CDD" w:rsidRDefault="00737CDD" w:rsidP="00E347DE">
      <w:pPr>
        <w:pStyle w:val="p"/>
        <w:jc w:val="left"/>
        <w:rPr>
          <w:color w:val="000000"/>
          <w:sz w:val="22"/>
          <w:szCs w:val="22"/>
        </w:rPr>
      </w:pPr>
    </w:p>
    <w:p w14:paraId="3FAF1E64" w14:textId="77777777" w:rsidR="00C769AA" w:rsidRPr="00E347DE" w:rsidRDefault="00737CDD" w:rsidP="00E347DE">
      <w:pPr>
        <w:pStyle w:val="p"/>
        <w:jc w:val="left"/>
        <w:rPr>
          <w:color w:val="000000"/>
          <w:sz w:val="22"/>
          <w:szCs w:val="22"/>
        </w:rPr>
      </w:pPr>
      <w:r>
        <w:rPr>
          <w:color w:val="000000"/>
          <w:sz w:val="22"/>
          <w:szCs w:val="22"/>
        </w:rPr>
        <w:t xml:space="preserve">An order </w:t>
      </w:r>
      <w:r w:rsidR="00F4176B">
        <w:rPr>
          <w:color w:val="000000"/>
          <w:sz w:val="22"/>
          <w:szCs w:val="22"/>
        </w:rPr>
        <w:t xml:space="preserve">made in 2013 </w:t>
      </w:r>
      <w:r>
        <w:rPr>
          <w:color w:val="000000"/>
          <w:sz w:val="22"/>
          <w:szCs w:val="22"/>
        </w:rPr>
        <w:t xml:space="preserve">under the 2013 Act </w:t>
      </w:r>
      <w:r w:rsidR="00C769AA" w:rsidRPr="00E347DE">
        <w:rPr>
          <w:color w:val="000000"/>
          <w:sz w:val="22"/>
          <w:szCs w:val="22"/>
        </w:rPr>
        <w:t>permit</w:t>
      </w:r>
      <w:r>
        <w:rPr>
          <w:color w:val="000000"/>
          <w:sz w:val="22"/>
          <w:szCs w:val="22"/>
        </w:rPr>
        <w:t xml:space="preserve">s </w:t>
      </w:r>
      <w:r w:rsidR="00F4176B">
        <w:rPr>
          <w:color w:val="000000"/>
          <w:sz w:val="22"/>
          <w:szCs w:val="22"/>
        </w:rPr>
        <w:t xml:space="preserve">the </w:t>
      </w:r>
      <w:r w:rsidR="00C769AA" w:rsidRPr="00E347DE">
        <w:rPr>
          <w:color w:val="000000"/>
          <w:sz w:val="22"/>
          <w:szCs w:val="22"/>
        </w:rPr>
        <w:t xml:space="preserve">Court of Appeal to allow broadcasting of legal argument and judgments in its cases. </w:t>
      </w:r>
    </w:p>
    <w:p w14:paraId="3C2DAD68" w14:textId="77777777" w:rsidR="00737CDD" w:rsidRDefault="00737CDD" w:rsidP="00E347DE">
      <w:pPr>
        <w:pStyle w:val="p"/>
        <w:jc w:val="left"/>
        <w:rPr>
          <w:color w:val="000000"/>
          <w:sz w:val="22"/>
          <w:szCs w:val="22"/>
        </w:rPr>
      </w:pPr>
    </w:p>
    <w:p w14:paraId="3F6248C5" w14:textId="77777777" w:rsidR="00C769AA" w:rsidRPr="00E347DE" w:rsidRDefault="00C769AA" w:rsidP="00E347DE">
      <w:pPr>
        <w:pStyle w:val="p"/>
        <w:jc w:val="left"/>
        <w:rPr>
          <w:color w:val="000000"/>
          <w:sz w:val="22"/>
          <w:szCs w:val="22"/>
        </w:rPr>
      </w:pPr>
      <w:r w:rsidRPr="00E347DE">
        <w:rPr>
          <w:color w:val="000000"/>
          <w:sz w:val="22"/>
          <w:szCs w:val="22"/>
        </w:rPr>
        <w:t xml:space="preserve">Supreme Court and the Court of Appeal retain discretion to approve arrangements for broadcasting and to ban it in particular cases. </w:t>
      </w:r>
    </w:p>
    <w:p w14:paraId="388E8D2D" w14:textId="70A68C32" w:rsidR="00737CDD" w:rsidRDefault="00737CDD" w:rsidP="00E347DE">
      <w:pPr>
        <w:pStyle w:val="p"/>
        <w:jc w:val="left"/>
        <w:rPr>
          <w:color w:val="000000"/>
          <w:sz w:val="22"/>
          <w:szCs w:val="22"/>
        </w:rPr>
      </w:pPr>
    </w:p>
    <w:p w14:paraId="405D4B9B" w14:textId="4FB4ABD8" w:rsidR="00F93738" w:rsidRPr="00F93738" w:rsidRDefault="00F93738" w:rsidP="00E347DE">
      <w:pPr>
        <w:pStyle w:val="p"/>
        <w:jc w:val="left"/>
        <w:rPr>
          <w:b/>
          <w:bCs/>
          <w:color w:val="000000"/>
          <w:sz w:val="26"/>
          <w:szCs w:val="26"/>
        </w:rPr>
      </w:pPr>
      <w:r w:rsidRPr="00F93738">
        <w:rPr>
          <w:b/>
          <w:bCs/>
          <w:color w:val="000000"/>
          <w:sz w:val="26"/>
          <w:szCs w:val="26"/>
        </w:rPr>
        <w:t>Broadcasting of Crown Court judges’ sentencing remarks</w:t>
      </w:r>
    </w:p>
    <w:p w14:paraId="486B89CA" w14:textId="039469E2" w:rsidR="00604B3A" w:rsidRDefault="0027713F" w:rsidP="008E56E0">
      <w:pPr>
        <w:shd w:val="clear" w:color="auto" w:fill="FFFFFF"/>
        <w:spacing w:after="0" w:line="480" w:lineRule="auto"/>
        <w:textAlignment w:val="baseline"/>
        <w:rPr>
          <w:rFonts w:ascii="Times New Roman" w:hAnsi="Times New Roman" w:cs="Times New Roman"/>
          <w:color w:val="000000" w:themeColor="text1"/>
          <w:shd w:val="clear" w:color="auto" w:fill="FFFFFF"/>
        </w:rPr>
      </w:pPr>
      <w:r w:rsidRPr="008E56E0">
        <w:rPr>
          <w:rFonts w:ascii="Times New Roman" w:hAnsi="Times New Roman" w:cs="Times New Roman"/>
          <w:color w:val="000000" w:themeColor="text1"/>
        </w:rPr>
        <w:t xml:space="preserve">In January 2020 the Government announced </w:t>
      </w:r>
      <w:r w:rsidR="00F93738">
        <w:rPr>
          <w:rFonts w:ascii="Times New Roman" w:hAnsi="Times New Roman" w:cs="Times New Roman"/>
          <w:color w:val="000000" w:themeColor="text1"/>
        </w:rPr>
        <w:t xml:space="preserve">it would create </w:t>
      </w:r>
      <w:r w:rsidR="008E56E0" w:rsidRPr="008E56E0">
        <w:rPr>
          <w:rFonts w:ascii="Times New Roman" w:hAnsi="Times New Roman" w:cs="Times New Roman"/>
          <w:color w:val="000000" w:themeColor="text1"/>
        </w:rPr>
        <w:t xml:space="preserve">new </w:t>
      </w:r>
      <w:r w:rsidRPr="008E56E0">
        <w:rPr>
          <w:rFonts w:ascii="Times New Roman" w:hAnsi="Times New Roman" w:cs="Times New Roman"/>
          <w:color w:val="000000" w:themeColor="text1"/>
        </w:rPr>
        <w:t xml:space="preserve">law </w:t>
      </w:r>
      <w:r w:rsidR="008E56E0" w:rsidRPr="008E56E0">
        <w:rPr>
          <w:rFonts w:ascii="Times New Roman" w:hAnsi="Times New Roman" w:cs="Times New Roman"/>
          <w:color w:val="000000" w:themeColor="text1"/>
        </w:rPr>
        <w:t xml:space="preserve">to </w:t>
      </w:r>
      <w:r w:rsidRPr="008E56E0">
        <w:rPr>
          <w:rFonts w:ascii="Times New Roman" w:hAnsi="Times New Roman" w:cs="Times New Roman"/>
          <w:color w:val="000000" w:themeColor="text1"/>
          <w:shd w:val="clear" w:color="auto" w:fill="FFFFFF"/>
        </w:rPr>
        <w:t xml:space="preserve">allow </w:t>
      </w:r>
      <w:r w:rsidR="0003166E">
        <w:rPr>
          <w:rFonts w:ascii="Times New Roman" w:hAnsi="Times New Roman" w:cs="Times New Roman"/>
          <w:color w:val="000000" w:themeColor="text1"/>
          <w:shd w:val="clear" w:color="auto" w:fill="FFFFFF"/>
        </w:rPr>
        <w:t xml:space="preserve">the </w:t>
      </w:r>
      <w:r w:rsidRPr="008E56E0">
        <w:rPr>
          <w:rFonts w:ascii="Times New Roman" w:hAnsi="Times New Roman" w:cs="Times New Roman"/>
          <w:color w:val="000000" w:themeColor="text1"/>
          <w:shd w:val="clear" w:color="auto" w:fill="FFFFFF"/>
        </w:rPr>
        <w:t>broadcast</w:t>
      </w:r>
      <w:r w:rsidR="0003166E">
        <w:rPr>
          <w:rFonts w:ascii="Times New Roman" w:hAnsi="Times New Roman" w:cs="Times New Roman"/>
          <w:color w:val="000000" w:themeColor="text1"/>
          <w:shd w:val="clear" w:color="auto" w:fill="FFFFFF"/>
        </w:rPr>
        <w:t>ing</w:t>
      </w:r>
      <w:r w:rsidR="0037238A">
        <w:rPr>
          <w:rFonts w:ascii="Times New Roman" w:hAnsi="Times New Roman" w:cs="Times New Roman"/>
          <w:color w:val="000000" w:themeColor="text1"/>
          <w:shd w:val="clear" w:color="auto" w:fill="FFFFFF"/>
        </w:rPr>
        <w:t xml:space="preserve"> </w:t>
      </w:r>
      <w:r w:rsidR="0003166E">
        <w:rPr>
          <w:rFonts w:ascii="Times New Roman" w:hAnsi="Times New Roman" w:cs="Times New Roman"/>
          <w:color w:val="000000" w:themeColor="text1"/>
          <w:shd w:val="clear" w:color="auto" w:fill="FFFFFF"/>
        </w:rPr>
        <w:t xml:space="preserve">of </w:t>
      </w:r>
      <w:r w:rsidRPr="008E56E0">
        <w:rPr>
          <w:rFonts w:ascii="Times New Roman" w:hAnsi="Times New Roman" w:cs="Times New Roman"/>
          <w:color w:val="000000" w:themeColor="text1"/>
          <w:shd w:val="clear" w:color="auto" w:fill="FFFFFF"/>
        </w:rPr>
        <w:t>sentencing remarks</w:t>
      </w:r>
      <w:r w:rsidR="0037238A">
        <w:rPr>
          <w:rFonts w:ascii="Times New Roman" w:hAnsi="Times New Roman" w:cs="Times New Roman"/>
          <w:color w:val="000000" w:themeColor="text1"/>
          <w:shd w:val="clear" w:color="auto" w:fill="FFFFFF"/>
        </w:rPr>
        <w:t xml:space="preserve"> </w:t>
      </w:r>
      <w:r w:rsidR="00F93738">
        <w:rPr>
          <w:rFonts w:ascii="Times New Roman" w:hAnsi="Times New Roman" w:cs="Times New Roman"/>
          <w:color w:val="000000" w:themeColor="text1"/>
          <w:shd w:val="clear" w:color="auto" w:fill="FFFFFF"/>
        </w:rPr>
        <w:t xml:space="preserve">made by </w:t>
      </w:r>
      <w:r w:rsidRPr="008E56E0">
        <w:rPr>
          <w:rFonts w:ascii="Times New Roman" w:hAnsi="Times New Roman" w:cs="Times New Roman"/>
          <w:color w:val="000000" w:themeColor="text1"/>
          <w:shd w:val="clear" w:color="auto" w:fill="FFFFFF"/>
        </w:rPr>
        <w:t xml:space="preserve">High Court and senior circuit judges when </w:t>
      </w:r>
      <w:r w:rsidR="0037238A">
        <w:rPr>
          <w:rFonts w:ascii="Times New Roman" w:hAnsi="Times New Roman" w:cs="Times New Roman"/>
          <w:color w:val="000000" w:themeColor="text1"/>
          <w:shd w:val="clear" w:color="auto" w:fill="FFFFFF"/>
        </w:rPr>
        <w:t xml:space="preserve">they </w:t>
      </w:r>
      <w:r w:rsidRPr="008E56E0">
        <w:rPr>
          <w:rFonts w:ascii="Times New Roman" w:hAnsi="Times New Roman" w:cs="Times New Roman"/>
          <w:color w:val="000000" w:themeColor="text1"/>
          <w:shd w:val="clear" w:color="auto" w:fill="FFFFFF"/>
        </w:rPr>
        <w:t xml:space="preserve">sit as Crown court judges, including </w:t>
      </w:r>
      <w:r w:rsidR="0003166E">
        <w:rPr>
          <w:rFonts w:ascii="Times New Roman" w:hAnsi="Times New Roman" w:cs="Times New Roman"/>
          <w:color w:val="000000" w:themeColor="text1"/>
          <w:shd w:val="clear" w:color="auto" w:fill="FFFFFF"/>
        </w:rPr>
        <w:t xml:space="preserve">at </w:t>
      </w:r>
      <w:r w:rsidRPr="008E56E0">
        <w:rPr>
          <w:rFonts w:ascii="Times New Roman" w:hAnsi="Times New Roman" w:cs="Times New Roman"/>
          <w:color w:val="000000" w:themeColor="text1"/>
          <w:shd w:val="clear" w:color="auto" w:fill="FFFFFF"/>
        </w:rPr>
        <w:t xml:space="preserve">the Old Bailey. </w:t>
      </w:r>
      <w:r w:rsidR="00F93738">
        <w:rPr>
          <w:rFonts w:ascii="Times New Roman" w:hAnsi="Times New Roman" w:cs="Times New Roman"/>
          <w:color w:val="000000" w:themeColor="text1"/>
          <w:shd w:val="clear" w:color="auto" w:fill="FFFFFF"/>
        </w:rPr>
        <w:t xml:space="preserve">So, this would include the pronouncement of sentence. </w:t>
      </w:r>
      <w:r w:rsidR="0003166E">
        <w:rPr>
          <w:rFonts w:ascii="Times New Roman" w:hAnsi="Times New Roman" w:cs="Times New Roman"/>
          <w:color w:val="000000" w:themeColor="text1"/>
          <w:shd w:val="clear" w:color="auto" w:fill="FFFFFF"/>
        </w:rPr>
        <w:t>Th</w:t>
      </w:r>
      <w:r w:rsidR="0073469E">
        <w:rPr>
          <w:rFonts w:ascii="Times New Roman" w:hAnsi="Times New Roman" w:cs="Times New Roman"/>
          <w:color w:val="000000" w:themeColor="text1"/>
          <w:shd w:val="clear" w:color="auto" w:fill="FFFFFF"/>
        </w:rPr>
        <w:t>at month th</w:t>
      </w:r>
      <w:r w:rsidR="0003166E">
        <w:rPr>
          <w:rFonts w:ascii="Times New Roman" w:hAnsi="Times New Roman" w:cs="Times New Roman"/>
          <w:color w:val="000000" w:themeColor="text1"/>
          <w:shd w:val="clear" w:color="auto" w:fill="FFFFFF"/>
        </w:rPr>
        <w:t xml:space="preserve">e </w:t>
      </w:r>
      <w:r w:rsidR="005275BE" w:rsidRPr="008E56E0">
        <w:rPr>
          <w:rFonts w:ascii="Times New Roman" w:hAnsi="Times New Roman" w:cs="Times New Roman"/>
          <w:color w:val="000000" w:themeColor="text1"/>
          <w:shd w:val="clear" w:color="auto" w:fill="FFFFFF"/>
        </w:rPr>
        <w:t>Crown Court (Recording and Broadcasting) Order 2020</w:t>
      </w:r>
      <w:r w:rsidR="0003166E">
        <w:rPr>
          <w:rFonts w:ascii="Times New Roman" w:hAnsi="Times New Roman" w:cs="Times New Roman"/>
          <w:color w:val="000000" w:themeColor="text1"/>
          <w:shd w:val="clear" w:color="auto" w:fill="FFFFFF"/>
        </w:rPr>
        <w:t xml:space="preserve"> was placed i</w:t>
      </w:r>
      <w:r w:rsidRPr="008E56E0">
        <w:rPr>
          <w:rFonts w:ascii="Times New Roman" w:hAnsi="Times New Roman" w:cs="Times New Roman"/>
          <w:color w:val="000000" w:themeColor="text1"/>
          <w:shd w:val="clear" w:color="auto" w:fill="FFFFFF"/>
        </w:rPr>
        <w:t>n draft form before Parliament to implement this reform</w:t>
      </w:r>
      <w:r w:rsidR="00950173">
        <w:rPr>
          <w:rFonts w:ascii="Times New Roman" w:hAnsi="Times New Roman" w:cs="Times New Roman"/>
          <w:color w:val="000000" w:themeColor="text1"/>
          <w:shd w:val="clear" w:color="auto" w:fill="FFFFFF"/>
        </w:rPr>
        <w:t xml:space="preserve">. </w:t>
      </w:r>
    </w:p>
    <w:p w14:paraId="5612E5B7" w14:textId="77777777" w:rsidR="00604B3A" w:rsidRDefault="00604B3A" w:rsidP="008E56E0">
      <w:pPr>
        <w:shd w:val="clear" w:color="auto" w:fill="FFFFFF"/>
        <w:spacing w:after="0" w:line="480" w:lineRule="auto"/>
        <w:textAlignment w:val="baseline"/>
        <w:rPr>
          <w:rFonts w:ascii="Times New Roman" w:hAnsi="Times New Roman" w:cs="Times New Roman"/>
          <w:color w:val="000000" w:themeColor="text1"/>
          <w:shd w:val="clear" w:color="auto" w:fill="FFFFFF"/>
        </w:rPr>
      </w:pPr>
    </w:p>
    <w:p w14:paraId="5A1E8741" w14:textId="6568ED33" w:rsidR="00604B3A" w:rsidRDefault="00950173" w:rsidP="008E56E0">
      <w:pPr>
        <w:shd w:val="clear" w:color="auto" w:fill="FFFFFF"/>
        <w:spacing w:after="0" w:line="480" w:lineRule="auto"/>
        <w:textAlignment w:val="baseline"/>
        <w:rPr>
          <w:rFonts w:ascii="Times New Roman" w:hAnsi="Times New Roman" w:cs="Times New Roman"/>
        </w:rPr>
      </w:pPr>
      <w:r>
        <w:rPr>
          <w:rFonts w:ascii="Times New Roman" w:hAnsi="Times New Roman" w:cs="Times New Roman"/>
          <w:color w:val="000000" w:themeColor="text1"/>
          <w:shd w:val="clear" w:color="auto" w:fill="FFFFFF"/>
        </w:rPr>
        <w:t xml:space="preserve">The announcement </w:t>
      </w:r>
      <w:r w:rsidR="008E56E0" w:rsidRPr="008E56E0">
        <w:rPr>
          <w:rFonts w:ascii="Times New Roman" w:hAnsi="Times New Roman" w:cs="Times New Roman"/>
          <w:color w:val="000000" w:themeColor="text1"/>
          <w:shd w:val="clear" w:color="auto" w:fill="FFFFFF"/>
        </w:rPr>
        <w:t>follo</w:t>
      </w:r>
      <w:r>
        <w:rPr>
          <w:rFonts w:ascii="Times New Roman" w:hAnsi="Times New Roman" w:cs="Times New Roman"/>
          <w:color w:val="000000" w:themeColor="text1"/>
          <w:shd w:val="clear" w:color="auto" w:fill="FFFFFF"/>
        </w:rPr>
        <w:t xml:space="preserve">wed a three-month </w:t>
      </w:r>
      <w:r w:rsidR="008E56E0" w:rsidRPr="008E56E0">
        <w:rPr>
          <w:rFonts w:ascii="Times New Roman" w:hAnsi="Times New Roman" w:cs="Times New Roman"/>
          <w:color w:val="000000" w:themeColor="text1"/>
          <w:shd w:val="clear" w:color="auto" w:fill="FFFFFF"/>
        </w:rPr>
        <w:t xml:space="preserve">pilot project to film judges when sentencing, although pilot footage was not broadcast. </w:t>
      </w:r>
      <w:r w:rsidR="0037238A">
        <w:rPr>
          <w:rFonts w:ascii="Times New Roman" w:hAnsi="Times New Roman" w:cs="Times New Roman"/>
          <w:color w:val="000000" w:themeColor="text1"/>
          <w:shd w:val="clear" w:color="auto" w:fill="FFFFFF"/>
        </w:rPr>
        <w:t xml:space="preserve">The draft Order makes clear </w:t>
      </w:r>
      <w:r w:rsidR="0037238A" w:rsidRPr="00F93738">
        <w:rPr>
          <w:rFonts w:ascii="Times New Roman" w:hAnsi="Times New Roman" w:cs="Times New Roman"/>
          <w:color w:val="000000" w:themeColor="text1"/>
          <w:shd w:val="clear" w:color="auto" w:fill="FFFFFF"/>
        </w:rPr>
        <w:t>that its use of the term ‘broadcasting’ includes webcasting, so broadcasters and the press can benefit from</w:t>
      </w:r>
      <w:r w:rsidR="00F93738">
        <w:rPr>
          <w:rFonts w:ascii="Times New Roman" w:hAnsi="Times New Roman" w:cs="Times New Roman"/>
          <w:color w:val="000000" w:themeColor="text1"/>
          <w:shd w:val="clear" w:color="auto" w:fill="FFFFFF"/>
        </w:rPr>
        <w:t xml:space="preserve"> this law, when it takes effect</w:t>
      </w:r>
      <w:r w:rsidR="0037238A" w:rsidRPr="00F93738">
        <w:rPr>
          <w:rFonts w:ascii="Times New Roman" w:hAnsi="Times New Roman" w:cs="Times New Roman"/>
          <w:color w:val="000000" w:themeColor="text1"/>
          <w:shd w:val="clear" w:color="auto" w:fill="FFFFFF"/>
        </w:rPr>
        <w:t xml:space="preserve">. But </w:t>
      </w:r>
      <w:r w:rsidR="00F93738" w:rsidRPr="00F93738">
        <w:rPr>
          <w:rFonts w:ascii="Times New Roman" w:hAnsi="Times New Roman" w:cs="Times New Roman"/>
          <w:color w:val="000000" w:themeColor="text1"/>
          <w:shd w:val="clear" w:color="auto" w:fill="FFFFFF"/>
        </w:rPr>
        <w:t xml:space="preserve">the draft Order makes clear </w:t>
      </w:r>
      <w:r w:rsidR="00F93738">
        <w:rPr>
          <w:rFonts w:ascii="Times New Roman" w:hAnsi="Times New Roman" w:cs="Times New Roman"/>
          <w:color w:val="000000" w:themeColor="text1"/>
          <w:shd w:val="clear" w:color="auto" w:fill="FFFFFF"/>
        </w:rPr>
        <w:t xml:space="preserve">too </w:t>
      </w:r>
      <w:r w:rsidR="00F93738" w:rsidRPr="00F93738">
        <w:rPr>
          <w:rFonts w:ascii="Times New Roman" w:hAnsi="Times New Roman" w:cs="Times New Roman"/>
          <w:color w:val="000000" w:themeColor="text1"/>
          <w:shd w:val="clear" w:color="auto" w:fill="FFFFFF"/>
        </w:rPr>
        <w:t xml:space="preserve">that </w:t>
      </w:r>
      <w:r w:rsidR="0037238A" w:rsidRPr="00F93738">
        <w:rPr>
          <w:rFonts w:ascii="Times New Roman" w:hAnsi="Times New Roman" w:cs="Times New Roman"/>
          <w:color w:val="000000" w:themeColor="text1"/>
          <w:shd w:val="clear" w:color="auto" w:fill="FFFFFF"/>
        </w:rPr>
        <w:t>m</w:t>
      </w:r>
      <w:r w:rsidR="0003166E" w:rsidRPr="00F93738">
        <w:rPr>
          <w:rFonts w:ascii="Times New Roman" w:hAnsi="Times New Roman" w:cs="Times New Roman"/>
          <w:color w:val="000000" w:themeColor="text1"/>
          <w:shd w:val="clear" w:color="auto" w:fill="FFFFFF"/>
        </w:rPr>
        <w:t xml:space="preserve">edia organisations </w:t>
      </w:r>
      <w:r w:rsidR="008E56E0" w:rsidRPr="00F93738">
        <w:rPr>
          <w:rFonts w:ascii="Times New Roman" w:hAnsi="Times New Roman" w:cs="Times New Roman"/>
          <w:color w:val="000000" w:themeColor="text1"/>
        </w:rPr>
        <w:t xml:space="preserve">wanting </w:t>
      </w:r>
      <w:r w:rsidR="0003166E" w:rsidRPr="00F93738">
        <w:rPr>
          <w:rFonts w:ascii="Times New Roman" w:hAnsi="Times New Roman" w:cs="Times New Roman"/>
          <w:color w:val="000000" w:themeColor="text1"/>
        </w:rPr>
        <w:t xml:space="preserve">to shoot </w:t>
      </w:r>
      <w:r w:rsidR="00F93738" w:rsidRPr="00F93738">
        <w:rPr>
          <w:rFonts w:ascii="Times New Roman" w:hAnsi="Times New Roman" w:cs="Times New Roman"/>
          <w:color w:val="000000" w:themeColor="text1"/>
        </w:rPr>
        <w:t xml:space="preserve">and broadcast </w:t>
      </w:r>
      <w:r w:rsidRPr="00F93738">
        <w:rPr>
          <w:rFonts w:ascii="Times New Roman" w:hAnsi="Times New Roman" w:cs="Times New Roman"/>
          <w:color w:val="000000" w:themeColor="text1"/>
        </w:rPr>
        <w:t>footage of a</w:t>
      </w:r>
      <w:r w:rsidR="008E56E0" w:rsidRPr="00F93738">
        <w:rPr>
          <w:rFonts w:ascii="Times New Roman" w:hAnsi="Times New Roman" w:cs="Times New Roman"/>
          <w:color w:val="000000" w:themeColor="text1"/>
        </w:rPr>
        <w:t xml:space="preserve"> judge </w:t>
      </w:r>
      <w:r w:rsidRPr="00F93738">
        <w:rPr>
          <w:rFonts w:ascii="Times New Roman" w:hAnsi="Times New Roman" w:cs="Times New Roman"/>
          <w:color w:val="000000" w:themeColor="text1"/>
        </w:rPr>
        <w:t xml:space="preserve">sentencing </w:t>
      </w:r>
      <w:r w:rsidR="00F93738" w:rsidRPr="00F93738">
        <w:rPr>
          <w:rFonts w:ascii="Times New Roman" w:hAnsi="Times New Roman" w:cs="Times New Roman"/>
          <w:color w:val="000000" w:themeColor="text1"/>
        </w:rPr>
        <w:t xml:space="preserve">must </w:t>
      </w:r>
      <w:r w:rsidR="000E4025">
        <w:rPr>
          <w:rFonts w:ascii="Times New Roman" w:hAnsi="Times New Roman" w:cs="Times New Roman"/>
          <w:color w:val="000000" w:themeColor="text1"/>
        </w:rPr>
        <w:t xml:space="preserve">first </w:t>
      </w:r>
      <w:r w:rsidR="00604B3A">
        <w:rPr>
          <w:rFonts w:ascii="Times New Roman" w:hAnsi="Times New Roman" w:cs="Times New Roman"/>
          <w:color w:val="000000" w:themeColor="text1"/>
        </w:rPr>
        <w:t xml:space="preserve">have </w:t>
      </w:r>
      <w:r w:rsidR="0037238A" w:rsidRPr="00F93738">
        <w:rPr>
          <w:rFonts w:ascii="Times New Roman" w:hAnsi="Times New Roman" w:cs="Times New Roman"/>
          <w:color w:val="000000" w:themeColor="text1"/>
        </w:rPr>
        <w:t xml:space="preserve">in </w:t>
      </w:r>
      <w:r w:rsidR="0037238A" w:rsidRPr="00F93738">
        <w:rPr>
          <w:rFonts w:ascii="Times New Roman" w:hAnsi="Times New Roman" w:cs="Times New Roman"/>
        </w:rPr>
        <w:t xml:space="preserve">writing </w:t>
      </w:r>
      <w:r w:rsidR="000E4025">
        <w:rPr>
          <w:rFonts w:ascii="Times New Roman" w:hAnsi="Times New Roman" w:cs="Times New Roman"/>
        </w:rPr>
        <w:t xml:space="preserve">from </w:t>
      </w:r>
      <w:r w:rsidR="0037238A" w:rsidRPr="00F93738">
        <w:rPr>
          <w:rFonts w:ascii="Times New Roman" w:hAnsi="Times New Roman" w:cs="Times New Roman"/>
        </w:rPr>
        <w:t xml:space="preserve">the Lord Chancellor </w:t>
      </w:r>
      <w:r w:rsidR="000E4025">
        <w:rPr>
          <w:rFonts w:ascii="Times New Roman" w:hAnsi="Times New Roman" w:cs="Times New Roman"/>
        </w:rPr>
        <w:t>a general permission to do</w:t>
      </w:r>
      <w:r w:rsidR="0037238A" w:rsidRPr="00F93738">
        <w:rPr>
          <w:rFonts w:ascii="Times New Roman" w:hAnsi="Times New Roman" w:cs="Times New Roman"/>
        </w:rPr>
        <w:t xml:space="preserve"> this</w:t>
      </w:r>
      <w:r w:rsidR="00F93738" w:rsidRPr="00F93738">
        <w:rPr>
          <w:rFonts w:ascii="Times New Roman" w:hAnsi="Times New Roman" w:cs="Times New Roman"/>
        </w:rPr>
        <w:t>,</w:t>
      </w:r>
      <w:r w:rsidR="00604B3A">
        <w:rPr>
          <w:rFonts w:ascii="Times New Roman" w:hAnsi="Times New Roman" w:cs="Times New Roman"/>
        </w:rPr>
        <w:t xml:space="preserve"> </w:t>
      </w:r>
      <w:r w:rsidR="0037238A" w:rsidRPr="00F93738">
        <w:rPr>
          <w:rFonts w:ascii="Times New Roman" w:hAnsi="Times New Roman" w:cs="Times New Roman"/>
        </w:rPr>
        <w:t xml:space="preserve">will also need </w:t>
      </w:r>
      <w:r w:rsidR="00F93738" w:rsidRPr="00F93738">
        <w:rPr>
          <w:rFonts w:ascii="Times New Roman" w:hAnsi="Times New Roman" w:cs="Times New Roman"/>
        </w:rPr>
        <w:t xml:space="preserve">written </w:t>
      </w:r>
      <w:r w:rsidR="0037238A" w:rsidRPr="00F93738">
        <w:rPr>
          <w:rFonts w:ascii="Times New Roman" w:hAnsi="Times New Roman" w:cs="Times New Roman"/>
        </w:rPr>
        <w:t xml:space="preserve">permission </w:t>
      </w:r>
      <w:r w:rsidR="0073469E">
        <w:rPr>
          <w:rFonts w:ascii="Times New Roman" w:hAnsi="Times New Roman" w:cs="Times New Roman"/>
        </w:rPr>
        <w:t xml:space="preserve">from </w:t>
      </w:r>
      <w:r w:rsidR="0037238A" w:rsidRPr="00F93738">
        <w:rPr>
          <w:rFonts w:ascii="Times New Roman" w:hAnsi="Times New Roman" w:cs="Times New Roman"/>
        </w:rPr>
        <w:t>the judge in the particular cas</w:t>
      </w:r>
      <w:r w:rsidR="00F93738" w:rsidRPr="00F93738">
        <w:rPr>
          <w:rFonts w:ascii="Times New Roman" w:hAnsi="Times New Roman" w:cs="Times New Roman"/>
        </w:rPr>
        <w:t>e</w:t>
      </w:r>
      <w:r w:rsidR="00F93738">
        <w:rPr>
          <w:rFonts w:ascii="Times New Roman" w:hAnsi="Times New Roman" w:cs="Times New Roman"/>
        </w:rPr>
        <w:t xml:space="preserve">, and are required to obey any conditions imposed by the judge. </w:t>
      </w:r>
    </w:p>
    <w:p w14:paraId="34D2A23E" w14:textId="2E0392AB" w:rsidR="008E56E0" w:rsidRPr="008E56E0" w:rsidRDefault="008E56E0" w:rsidP="008E56E0">
      <w:pPr>
        <w:shd w:val="clear" w:color="auto" w:fill="FFFFFF"/>
        <w:spacing w:after="0" w:line="480" w:lineRule="auto"/>
        <w:textAlignment w:val="baseline"/>
        <w:rPr>
          <w:rFonts w:ascii="Times New Roman" w:hAnsi="Times New Roman" w:cs="Times New Roman"/>
          <w:color w:val="000000" w:themeColor="text1"/>
        </w:rPr>
      </w:pPr>
      <w:r w:rsidRPr="00F93738">
        <w:rPr>
          <w:rFonts w:ascii="Times New Roman" w:hAnsi="Times New Roman" w:cs="Times New Roman"/>
          <w:color w:val="000000" w:themeColor="text1"/>
        </w:rPr>
        <w:lastRenderedPageBreak/>
        <w:t xml:space="preserve">The Ministry of Justice (MoJ) said </w:t>
      </w:r>
      <w:r w:rsidR="0037238A" w:rsidRPr="00F93738">
        <w:rPr>
          <w:rFonts w:ascii="Times New Roman" w:hAnsi="Times New Roman" w:cs="Times New Roman"/>
          <w:color w:val="000000" w:themeColor="text1"/>
        </w:rPr>
        <w:t xml:space="preserve">such </w:t>
      </w:r>
      <w:r w:rsidRPr="00F93738">
        <w:rPr>
          <w:rFonts w:ascii="Times New Roman" w:hAnsi="Times New Roman" w:cs="Times New Roman"/>
          <w:color w:val="000000" w:themeColor="text1"/>
        </w:rPr>
        <w:t>footage will be ‘appropriately edited before leaving the</w:t>
      </w:r>
      <w:r w:rsidRPr="008E56E0">
        <w:rPr>
          <w:rFonts w:ascii="Times New Roman" w:hAnsi="Times New Roman" w:cs="Times New Roman"/>
          <w:color w:val="000000" w:themeColor="text1"/>
        </w:rPr>
        <w:t xml:space="preserve"> courtroom’, and </w:t>
      </w:r>
      <w:r w:rsidR="00F93738">
        <w:rPr>
          <w:rFonts w:ascii="Times New Roman" w:hAnsi="Times New Roman" w:cs="Times New Roman"/>
          <w:color w:val="000000" w:themeColor="text1"/>
        </w:rPr>
        <w:t xml:space="preserve">that </w:t>
      </w:r>
      <w:r w:rsidRPr="008E56E0">
        <w:rPr>
          <w:rFonts w:ascii="Times New Roman" w:hAnsi="Times New Roman" w:cs="Times New Roman"/>
          <w:color w:val="000000" w:themeColor="text1"/>
        </w:rPr>
        <w:t xml:space="preserve">if the broadcast is to be live there will be a short delay before broadcast to avoid any breach of reporting restrictions </w:t>
      </w:r>
      <w:r w:rsidR="00950173">
        <w:rPr>
          <w:rFonts w:ascii="Times New Roman" w:hAnsi="Times New Roman" w:cs="Times New Roman"/>
          <w:color w:val="000000" w:themeColor="text1"/>
        </w:rPr>
        <w:t>‘</w:t>
      </w:r>
      <w:r w:rsidRPr="008E56E0">
        <w:rPr>
          <w:rFonts w:ascii="Times New Roman" w:hAnsi="Times New Roman" w:cs="Times New Roman"/>
          <w:color w:val="000000" w:themeColor="text1"/>
        </w:rPr>
        <w:t>or any other error</w:t>
      </w:r>
      <w:r w:rsidR="00950173">
        <w:rPr>
          <w:rFonts w:ascii="Times New Roman" w:hAnsi="Times New Roman" w:cs="Times New Roman"/>
          <w:color w:val="000000" w:themeColor="text1"/>
        </w:rPr>
        <w:t>’</w:t>
      </w:r>
      <w:r w:rsidRPr="008E56E0">
        <w:rPr>
          <w:rFonts w:ascii="Times New Roman" w:hAnsi="Times New Roman" w:cs="Times New Roman"/>
          <w:color w:val="000000" w:themeColor="text1"/>
        </w:rPr>
        <w:t>.</w:t>
      </w:r>
    </w:p>
    <w:p w14:paraId="154229DB" w14:textId="77777777" w:rsidR="0003166E" w:rsidRDefault="0003166E" w:rsidP="008E56E0">
      <w:pPr>
        <w:shd w:val="clear" w:color="auto" w:fill="FFFFFF"/>
        <w:spacing w:after="0" w:line="480" w:lineRule="auto"/>
        <w:textAlignment w:val="baseline"/>
        <w:rPr>
          <w:rFonts w:ascii="Times New Roman" w:hAnsi="Times New Roman" w:cs="Times New Roman"/>
          <w:color w:val="000000" w:themeColor="text1"/>
        </w:rPr>
      </w:pPr>
    </w:p>
    <w:p w14:paraId="0FA6EA6F" w14:textId="600B07BD" w:rsidR="008E56E0" w:rsidRPr="0003166E" w:rsidRDefault="0003166E" w:rsidP="008E56E0">
      <w:pPr>
        <w:shd w:val="clear" w:color="auto" w:fill="FFFFFF"/>
        <w:spacing w:after="0" w:line="480" w:lineRule="auto"/>
        <w:textAlignment w:val="baseline"/>
        <w:rPr>
          <w:rFonts w:ascii="Times New Roman" w:hAnsi="Times New Roman" w:cs="Times New Roman"/>
          <w:color w:val="000000" w:themeColor="text1"/>
        </w:rPr>
      </w:pPr>
      <w:r w:rsidRPr="0003166E">
        <w:rPr>
          <w:rFonts w:ascii="Times New Roman" w:hAnsi="Times New Roman" w:cs="Times New Roman"/>
          <w:color w:val="0B0C0C"/>
        </w:rPr>
        <w:t xml:space="preserve">The restriction that only the most senior judges can be filmed when sentencing means the footage will be from the most serious cases, such as murder. </w:t>
      </w:r>
      <w:r w:rsidR="00950173" w:rsidRPr="0003166E">
        <w:rPr>
          <w:rFonts w:ascii="Times New Roman" w:hAnsi="Times New Roman" w:cs="Times New Roman"/>
          <w:color w:val="000000" w:themeColor="text1"/>
        </w:rPr>
        <w:t>The new law will not permit anyone else in the court or any earlier stage of the proceedings</w:t>
      </w:r>
      <w:r w:rsidR="0073469E">
        <w:rPr>
          <w:rFonts w:ascii="Times New Roman" w:hAnsi="Times New Roman" w:cs="Times New Roman"/>
          <w:color w:val="000000" w:themeColor="text1"/>
        </w:rPr>
        <w:t xml:space="preserve"> to be filmed</w:t>
      </w:r>
      <w:r w:rsidR="00950173" w:rsidRPr="0003166E">
        <w:rPr>
          <w:rFonts w:ascii="Times New Roman" w:hAnsi="Times New Roman" w:cs="Times New Roman"/>
          <w:color w:val="000000" w:themeColor="text1"/>
        </w:rPr>
        <w:t>, but the reform is a breakthrough.</w:t>
      </w:r>
    </w:p>
    <w:p w14:paraId="774E9F37" w14:textId="56791E98" w:rsidR="008E56E0" w:rsidRPr="00946A9B" w:rsidRDefault="008E56E0" w:rsidP="008E56E0">
      <w:pPr>
        <w:pStyle w:val="NormalWeb"/>
        <w:shd w:val="clear" w:color="auto" w:fill="FFFFFF"/>
        <w:spacing w:before="0" w:beforeAutospacing="0" w:after="0" w:afterAutospacing="0" w:line="480" w:lineRule="auto"/>
        <w:rPr>
          <w:color w:val="0B0C0C"/>
          <w:sz w:val="22"/>
          <w:szCs w:val="22"/>
        </w:rPr>
      </w:pPr>
      <w:r w:rsidRPr="008E56E0">
        <w:rPr>
          <w:color w:val="0B0C0C"/>
          <w:sz w:val="22"/>
          <w:szCs w:val="22"/>
        </w:rPr>
        <w:t>John Battle, Head of Compliance at ITN, who</w:t>
      </w:r>
      <w:r w:rsidR="0073469E">
        <w:rPr>
          <w:color w:val="0B0C0C"/>
          <w:sz w:val="22"/>
          <w:szCs w:val="22"/>
        </w:rPr>
        <w:t xml:space="preserve"> </w:t>
      </w:r>
      <w:r w:rsidRPr="008E56E0">
        <w:rPr>
          <w:color w:val="0B0C0C"/>
          <w:sz w:val="22"/>
          <w:szCs w:val="22"/>
        </w:rPr>
        <w:t>campaigned for</w:t>
      </w:r>
      <w:r w:rsidR="0073469E">
        <w:rPr>
          <w:color w:val="0B0C0C"/>
          <w:sz w:val="22"/>
          <w:szCs w:val="22"/>
        </w:rPr>
        <w:t xml:space="preserve"> it</w:t>
      </w:r>
      <w:r w:rsidRPr="008E56E0">
        <w:rPr>
          <w:color w:val="0B0C0C"/>
          <w:sz w:val="22"/>
          <w:szCs w:val="22"/>
        </w:rPr>
        <w:t xml:space="preserve">, said after the Government announced it: ‘This is a landmark moment and an important day for open justice and transparency of our legal system. For the first time the public will see images of proceedings in the </w:t>
      </w:r>
      <w:r w:rsidRPr="00946A9B">
        <w:rPr>
          <w:color w:val="0B0C0C"/>
          <w:sz w:val="22"/>
          <w:szCs w:val="22"/>
        </w:rPr>
        <w:t>Crown Court on television news.’</w:t>
      </w:r>
    </w:p>
    <w:p w14:paraId="7C65BBFB" w14:textId="77777777" w:rsidR="00604B3A" w:rsidRDefault="00604B3A" w:rsidP="00950173">
      <w:pPr>
        <w:pStyle w:val="NormalWeb"/>
        <w:shd w:val="clear" w:color="auto" w:fill="FFFFFF"/>
        <w:spacing w:before="0" w:beforeAutospacing="0" w:after="0" w:afterAutospacing="0" w:line="480" w:lineRule="auto"/>
        <w:rPr>
          <w:color w:val="000000" w:themeColor="text1"/>
          <w:sz w:val="22"/>
          <w:szCs w:val="22"/>
        </w:rPr>
      </w:pPr>
    </w:p>
    <w:p w14:paraId="117C69DC" w14:textId="2796AFCC" w:rsidR="008E56E0" w:rsidRPr="00946A9B" w:rsidRDefault="00946A9B" w:rsidP="00950173">
      <w:pPr>
        <w:pStyle w:val="NormalWeb"/>
        <w:shd w:val="clear" w:color="auto" w:fill="FFFFFF"/>
        <w:spacing w:before="0" w:beforeAutospacing="0" w:after="0" w:afterAutospacing="0" w:line="480" w:lineRule="auto"/>
        <w:rPr>
          <w:color w:val="000000" w:themeColor="text1"/>
          <w:sz w:val="22"/>
          <w:szCs w:val="22"/>
        </w:rPr>
      </w:pPr>
      <w:r w:rsidRPr="00946A9B">
        <w:rPr>
          <w:color w:val="000000" w:themeColor="text1"/>
          <w:sz w:val="22"/>
          <w:szCs w:val="22"/>
        </w:rPr>
        <w:t xml:space="preserve">Her Majesty’s Courts </w:t>
      </w:r>
      <w:r w:rsidR="000E4025">
        <w:rPr>
          <w:color w:val="000000" w:themeColor="text1"/>
          <w:sz w:val="22"/>
          <w:szCs w:val="22"/>
        </w:rPr>
        <w:t xml:space="preserve">and Tribunals </w:t>
      </w:r>
      <w:r w:rsidRPr="00946A9B">
        <w:rPr>
          <w:color w:val="000000" w:themeColor="text1"/>
          <w:sz w:val="22"/>
          <w:szCs w:val="22"/>
        </w:rPr>
        <w:t xml:space="preserve">Service, the MoJ and </w:t>
      </w:r>
      <w:r w:rsidR="00604B3A">
        <w:rPr>
          <w:color w:val="000000" w:themeColor="text1"/>
          <w:sz w:val="22"/>
          <w:szCs w:val="22"/>
        </w:rPr>
        <w:t xml:space="preserve">the </w:t>
      </w:r>
      <w:r w:rsidRPr="00946A9B">
        <w:rPr>
          <w:color w:val="000000" w:themeColor="text1"/>
          <w:sz w:val="22"/>
          <w:szCs w:val="22"/>
        </w:rPr>
        <w:t>Judicial Office will have the right to access any of the footage shot in court</w:t>
      </w:r>
      <w:r w:rsidR="000E4025">
        <w:rPr>
          <w:color w:val="000000" w:themeColor="text1"/>
          <w:sz w:val="22"/>
          <w:szCs w:val="22"/>
        </w:rPr>
        <w:t xml:space="preserve">. The </w:t>
      </w:r>
      <w:r w:rsidRPr="00946A9B">
        <w:rPr>
          <w:color w:val="000000" w:themeColor="text1"/>
          <w:sz w:val="22"/>
          <w:szCs w:val="22"/>
        </w:rPr>
        <w:t xml:space="preserve">draft order </w:t>
      </w:r>
      <w:r w:rsidR="000E4025">
        <w:rPr>
          <w:color w:val="000000" w:themeColor="text1"/>
          <w:sz w:val="22"/>
          <w:szCs w:val="22"/>
        </w:rPr>
        <w:t xml:space="preserve">specifies </w:t>
      </w:r>
      <w:r w:rsidRPr="00946A9B">
        <w:rPr>
          <w:color w:val="000000" w:themeColor="text1"/>
          <w:sz w:val="22"/>
          <w:szCs w:val="22"/>
        </w:rPr>
        <w:t xml:space="preserve">that copyright in the footage is automatically assigned to the Lord Chancellor. </w:t>
      </w:r>
      <w:r w:rsidR="008E56E0" w:rsidRPr="00946A9B">
        <w:rPr>
          <w:color w:val="000000" w:themeColor="text1"/>
          <w:sz w:val="22"/>
          <w:szCs w:val="22"/>
        </w:rPr>
        <w:t>The MoJ said</w:t>
      </w:r>
      <w:r w:rsidR="00950173" w:rsidRPr="00946A9B">
        <w:rPr>
          <w:color w:val="000000" w:themeColor="text1"/>
          <w:sz w:val="22"/>
          <w:szCs w:val="22"/>
        </w:rPr>
        <w:t xml:space="preserve"> that</w:t>
      </w:r>
      <w:r w:rsidR="008E56E0" w:rsidRPr="00946A9B">
        <w:rPr>
          <w:color w:val="000000" w:themeColor="text1"/>
          <w:sz w:val="22"/>
          <w:szCs w:val="22"/>
        </w:rPr>
        <w:t xml:space="preserve"> the full sentencing remarks of any case </w:t>
      </w:r>
      <w:r w:rsidR="0073469E">
        <w:rPr>
          <w:color w:val="000000" w:themeColor="text1"/>
          <w:sz w:val="22"/>
          <w:szCs w:val="22"/>
        </w:rPr>
        <w:t xml:space="preserve">in which they are </w:t>
      </w:r>
      <w:r w:rsidR="008E56E0" w:rsidRPr="00946A9B">
        <w:rPr>
          <w:color w:val="000000" w:themeColor="text1"/>
          <w:sz w:val="22"/>
          <w:szCs w:val="22"/>
        </w:rPr>
        <w:t>broadcast will be hosted on a website to which the public has access.</w:t>
      </w:r>
    </w:p>
    <w:p w14:paraId="55DAFA36" w14:textId="77777777" w:rsidR="00604B3A" w:rsidRDefault="00604B3A" w:rsidP="00950173">
      <w:pPr>
        <w:pStyle w:val="NormalWeb"/>
        <w:shd w:val="clear" w:color="auto" w:fill="FFFFFF"/>
        <w:spacing w:before="0" w:beforeAutospacing="0" w:after="0" w:afterAutospacing="0" w:line="480" w:lineRule="auto"/>
        <w:rPr>
          <w:sz w:val="22"/>
          <w:szCs w:val="22"/>
        </w:rPr>
      </w:pPr>
    </w:p>
    <w:p w14:paraId="438578D8" w14:textId="43EAE9A3" w:rsidR="0037238A" w:rsidRDefault="0037238A" w:rsidP="00950173">
      <w:pPr>
        <w:pStyle w:val="NormalWeb"/>
        <w:shd w:val="clear" w:color="auto" w:fill="FFFFFF"/>
        <w:spacing w:before="0" w:beforeAutospacing="0" w:after="0" w:afterAutospacing="0" w:line="480" w:lineRule="auto"/>
        <w:rPr>
          <w:sz w:val="22"/>
          <w:szCs w:val="22"/>
        </w:rPr>
      </w:pPr>
      <w:r w:rsidRPr="000E4025">
        <w:rPr>
          <w:sz w:val="22"/>
          <w:szCs w:val="22"/>
        </w:rPr>
        <w:t xml:space="preserve">The draft </w:t>
      </w:r>
      <w:r w:rsidR="00F93738" w:rsidRPr="000E4025">
        <w:rPr>
          <w:sz w:val="22"/>
          <w:szCs w:val="22"/>
        </w:rPr>
        <w:t>O</w:t>
      </w:r>
      <w:r w:rsidRPr="000E4025">
        <w:rPr>
          <w:sz w:val="22"/>
          <w:szCs w:val="22"/>
        </w:rPr>
        <w:t xml:space="preserve">rder says </w:t>
      </w:r>
      <w:r w:rsidR="000E4025" w:rsidRPr="000E4025">
        <w:rPr>
          <w:sz w:val="22"/>
          <w:szCs w:val="22"/>
        </w:rPr>
        <w:t xml:space="preserve">too </w:t>
      </w:r>
      <w:r w:rsidRPr="000E4025">
        <w:rPr>
          <w:sz w:val="22"/>
          <w:szCs w:val="22"/>
        </w:rPr>
        <w:t>that</w:t>
      </w:r>
      <w:r w:rsidR="00F93738" w:rsidRPr="000E4025">
        <w:rPr>
          <w:sz w:val="22"/>
          <w:szCs w:val="22"/>
        </w:rPr>
        <w:t xml:space="preserve"> a </w:t>
      </w:r>
      <w:r w:rsidRPr="000E4025">
        <w:rPr>
          <w:sz w:val="22"/>
          <w:szCs w:val="22"/>
        </w:rPr>
        <w:t xml:space="preserve">report or presentation of </w:t>
      </w:r>
      <w:r w:rsidR="00F93738" w:rsidRPr="000E4025">
        <w:rPr>
          <w:sz w:val="22"/>
          <w:szCs w:val="22"/>
        </w:rPr>
        <w:t xml:space="preserve">court </w:t>
      </w:r>
      <w:r w:rsidRPr="000E4025">
        <w:rPr>
          <w:sz w:val="22"/>
          <w:szCs w:val="22"/>
        </w:rPr>
        <w:t xml:space="preserve">proceedings that includes a broadcast of sentencing remarks must be fair and accurate having regard </w:t>
      </w:r>
      <w:r w:rsidR="000E4025" w:rsidRPr="000E4025">
        <w:rPr>
          <w:sz w:val="22"/>
          <w:szCs w:val="22"/>
        </w:rPr>
        <w:t xml:space="preserve">to </w:t>
      </w:r>
      <w:r w:rsidRPr="000E4025">
        <w:rPr>
          <w:sz w:val="22"/>
          <w:szCs w:val="22"/>
        </w:rPr>
        <w:t xml:space="preserve">the overall content of the report or </w:t>
      </w:r>
      <w:r w:rsidR="0073469E">
        <w:rPr>
          <w:sz w:val="22"/>
          <w:szCs w:val="22"/>
        </w:rPr>
        <w:t>presentation,</w:t>
      </w:r>
      <w:r w:rsidRPr="000E4025">
        <w:rPr>
          <w:sz w:val="22"/>
          <w:szCs w:val="22"/>
        </w:rPr>
        <w:t xml:space="preserve"> and the context in which the broadcast is presented</w:t>
      </w:r>
      <w:r w:rsidR="00946A9B" w:rsidRPr="000E4025">
        <w:rPr>
          <w:sz w:val="22"/>
          <w:szCs w:val="22"/>
        </w:rPr>
        <w:t xml:space="preserve">. The draft Order includes a ban on use of the footage in </w:t>
      </w:r>
      <w:r w:rsidR="000E4025" w:rsidRPr="000E4025">
        <w:rPr>
          <w:sz w:val="22"/>
          <w:szCs w:val="22"/>
        </w:rPr>
        <w:t xml:space="preserve">a </w:t>
      </w:r>
      <w:r w:rsidR="00946A9B" w:rsidRPr="000E4025">
        <w:rPr>
          <w:sz w:val="22"/>
          <w:szCs w:val="22"/>
        </w:rPr>
        <w:t>party political broadcast or for ‘light entertainment’ or satire. The draft Order also contains a ban on use of the footage in any advertisement or promotion, except where the advertisement or promotion relates to a report of or presentation of the relevant court case that includes a broadcast of the sentencing remarks- so this would permit, for example, some of the footage to be used in a ‘trailer’ for a TV programme about the case</w:t>
      </w:r>
      <w:r w:rsidR="000E4025">
        <w:rPr>
          <w:sz w:val="22"/>
          <w:szCs w:val="22"/>
        </w:rPr>
        <w:t xml:space="preserve">, as long as the programme </w:t>
      </w:r>
      <w:r w:rsidR="0073469E">
        <w:rPr>
          <w:sz w:val="22"/>
          <w:szCs w:val="22"/>
        </w:rPr>
        <w:t xml:space="preserve">too </w:t>
      </w:r>
      <w:r w:rsidR="000E4025">
        <w:rPr>
          <w:sz w:val="22"/>
          <w:szCs w:val="22"/>
        </w:rPr>
        <w:t>included the footage</w:t>
      </w:r>
      <w:r w:rsidR="00946A9B" w:rsidRPr="000E4025">
        <w:rPr>
          <w:sz w:val="22"/>
          <w:szCs w:val="22"/>
        </w:rPr>
        <w:t>.</w:t>
      </w:r>
    </w:p>
    <w:p w14:paraId="4C66786C" w14:textId="77777777" w:rsidR="00D93012" w:rsidRDefault="00D93012" w:rsidP="00950173">
      <w:pPr>
        <w:pStyle w:val="NormalWeb"/>
        <w:shd w:val="clear" w:color="auto" w:fill="FFFFFF"/>
        <w:spacing w:before="0" w:beforeAutospacing="0" w:after="0" w:afterAutospacing="0" w:line="480" w:lineRule="auto"/>
        <w:rPr>
          <w:sz w:val="22"/>
          <w:szCs w:val="22"/>
        </w:rPr>
      </w:pPr>
    </w:p>
    <w:p w14:paraId="27BB08C5" w14:textId="21082879" w:rsidR="00604B3A" w:rsidRPr="000E4025" w:rsidRDefault="00604B3A" w:rsidP="00950173">
      <w:pPr>
        <w:pStyle w:val="NormalWeb"/>
        <w:shd w:val="clear" w:color="auto" w:fill="FFFFFF"/>
        <w:spacing w:before="0" w:beforeAutospacing="0" w:after="0" w:afterAutospacing="0" w:line="480" w:lineRule="auto"/>
        <w:rPr>
          <w:color w:val="0B0C0C"/>
          <w:sz w:val="22"/>
          <w:szCs w:val="22"/>
        </w:rPr>
      </w:pPr>
      <w:r>
        <w:rPr>
          <w:sz w:val="22"/>
          <w:szCs w:val="22"/>
        </w:rPr>
        <w:lastRenderedPageBreak/>
        <w:t xml:space="preserve">The wording of the draft Order </w:t>
      </w:r>
      <w:r w:rsidR="0073469E">
        <w:rPr>
          <w:sz w:val="22"/>
          <w:szCs w:val="22"/>
        </w:rPr>
        <w:t xml:space="preserve">also means </w:t>
      </w:r>
      <w:r>
        <w:rPr>
          <w:sz w:val="22"/>
          <w:szCs w:val="22"/>
        </w:rPr>
        <w:t>that a person who fail</w:t>
      </w:r>
      <w:r w:rsidR="0073469E">
        <w:rPr>
          <w:sz w:val="22"/>
          <w:szCs w:val="22"/>
        </w:rPr>
        <w:t>s</w:t>
      </w:r>
      <w:r>
        <w:rPr>
          <w:sz w:val="22"/>
          <w:szCs w:val="22"/>
        </w:rPr>
        <w:t xml:space="preserve"> to comply with this law or conditions set by a judge as regards the shooting of or use of the footage could be punished under section 41 of the Criminal Justice Act 1925</w:t>
      </w:r>
      <w:r w:rsidR="00D93012">
        <w:rPr>
          <w:sz w:val="22"/>
          <w:szCs w:val="22"/>
        </w:rPr>
        <w:t xml:space="preserve"> or, in respect of the audio recording element, section 9 of the Contempt of Court Act </w:t>
      </w:r>
      <w:r w:rsidR="0073469E">
        <w:rPr>
          <w:sz w:val="22"/>
          <w:szCs w:val="22"/>
        </w:rPr>
        <w:t xml:space="preserve">1981 </w:t>
      </w:r>
      <w:r>
        <w:rPr>
          <w:sz w:val="22"/>
          <w:szCs w:val="22"/>
        </w:rPr>
        <w:t xml:space="preserve">– see </w:t>
      </w:r>
      <w:r w:rsidRPr="00604B3A">
        <w:rPr>
          <w:i/>
          <w:iCs/>
          <w:sz w:val="22"/>
          <w:szCs w:val="22"/>
        </w:rPr>
        <w:t xml:space="preserve">McNae’s </w:t>
      </w:r>
      <w:r>
        <w:rPr>
          <w:sz w:val="22"/>
          <w:szCs w:val="22"/>
        </w:rPr>
        <w:t>12.1</w:t>
      </w:r>
      <w:r w:rsidR="00D93012">
        <w:rPr>
          <w:sz w:val="22"/>
          <w:szCs w:val="22"/>
        </w:rPr>
        <w:t xml:space="preserve"> and 12.2</w:t>
      </w:r>
      <w:r>
        <w:rPr>
          <w:sz w:val="22"/>
          <w:szCs w:val="22"/>
        </w:rPr>
        <w:t>.</w:t>
      </w:r>
      <w:r w:rsidR="0073469E">
        <w:rPr>
          <w:sz w:val="22"/>
          <w:szCs w:val="22"/>
        </w:rPr>
        <w:t xml:space="preserve"> This could mean a jail term of up to two years and/or a fine unlimited by statute, if punishment was under the 1981 Act.</w:t>
      </w:r>
    </w:p>
    <w:p w14:paraId="1A5AB7ED" w14:textId="67019B9E" w:rsidR="005275BE" w:rsidRPr="00F93738" w:rsidRDefault="005275BE" w:rsidP="00E347DE">
      <w:pPr>
        <w:pStyle w:val="p"/>
        <w:jc w:val="left"/>
        <w:rPr>
          <w:color w:val="000000" w:themeColor="text1"/>
          <w:sz w:val="22"/>
          <w:szCs w:val="22"/>
          <w:lang w:val="en-GB"/>
        </w:rPr>
      </w:pPr>
    </w:p>
    <w:p w14:paraId="317A7F1D" w14:textId="77777777" w:rsidR="00FB02A5" w:rsidRPr="0073469E" w:rsidRDefault="00FB02A5" w:rsidP="00FB02A5">
      <w:pPr>
        <w:pStyle w:val="1hd"/>
        <w:rPr>
          <w:sz w:val="30"/>
          <w:szCs w:val="30"/>
          <w:lang w:val="en-US"/>
        </w:rPr>
      </w:pPr>
      <w:r w:rsidRPr="0073469E">
        <w:rPr>
          <w:b w:val="0"/>
          <w:sz w:val="30"/>
          <w:szCs w:val="30"/>
          <w:lang w:val="en-US"/>
        </w:rPr>
        <w:t>12.4</w:t>
      </w:r>
      <w:r w:rsidRPr="0073469E">
        <w:rPr>
          <w:rFonts w:ascii="MS Mincho" w:eastAsia="MS Mincho" w:hAnsi="MS Mincho" w:cs="MS Mincho" w:hint="eastAsia"/>
          <w:b w:val="0"/>
          <w:sz w:val="30"/>
          <w:szCs w:val="30"/>
          <w:lang w:val="en-US"/>
        </w:rPr>
        <w:t> </w:t>
      </w:r>
      <w:r w:rsidRPr="0073469E">
        <w:rPr>
          <w:sz w:val="30"/>
          <w:szCs w:val="30"/>
          <w:lang w:val="en-US"/>
        </w:rPr>
        <w:t>Confidentiality of jury deliberations</w:t>
      </w:r>
    </w:p>
    <w:p w14:paraId="048C7A05" w14:textId="34419476" w:rsidR="00FB02A5" w:rsidRPr="0073469E" w:rsidRDefault="00FB02A5" w:rsidP="0073469E">
      <w:pPr>
        <w:pStyle w:val="Casehd"/>
        <w:spacing w:before="0" w:after="0" w:line="480" w:lineRule="auto"/>
        <w:ind w:left="357"/>
        <w:rPr>
          <w:b w:val="0"/>
          <w:bCs/>
          <w:sz w:val="22"/>
          <w:szCs w:val="22"/>
        </w:rPr>
      </w:pPr>
      <w:r w:rsidRPr="0073469E">
        <w:rPr>
          <w:sz w:val="22"/>
          <w:szCs w:val="22"/>
        </w:rPr>
        <w:t>Case study</w:t>
      </w:r>
      <w:r w:rsidR="0073469E">
        <w:rPr>
          <w:sz w:val="22"/>
          <w:szCs w:val="22"/>
        </w:rPr>
        <w:t xml:space="preserve">: </w:t>
      </w:r>
      <w:r w:rsidRPr="0073469E">
        <w:rPr>
          <w:b w:val="0"/>
          <w:bCs/>
          <w:sz w:val="22"/>
          <w:szCs w:val="22"/>
        </w:rPr>
        <w:t xml:space="preserve">In 2009 the High Court fined </w:t>
      </w:r>
      <w:r w:rsidRPr="0073469E">
        <w:rPr>
          <w:b w:val="0"/>
          <w:bCs/>
          <w:i/>
          <w:sz w:val="22"/>
          <w:szCs w:val="22"/>
        </w:rPr>
        <w:t>The Times</w:t>
      </w:r>
      <w:r w:rsidRPr="0073469E">
        <w:rPr>
          <w:b w:val="0"/>
          <w:bCs/>
          <w:sz w:val="22"/>
          <w:szCs w:val="22"/>
        </w:rPr>
        <w:t xml:space="preserve"> £15,000 and ordered it to pay £27,426 costs for breaching the confidentiality of jury deliberations. The newspaper had published an article about the 10–2 majority verdict with which a Crown court jury convicted a childminder of a child’s manslaughter. It did not name the jury foreman, who had approached the newspaper, but quoted him expressing doubt about the medical evidence, and as saying that, early in its deliberations, the jury voted 10–2 in an initial indication of its consensus and that the majority of jurors—because of what he called ‘common sense’ rather than ‘logical thinking’—held to their initial view that the defendant was guilty. </w:t>
      </w:r>
      <w:r w:rsidRPr="0073469E">
        <w:rPr>
          <w:b w:val="0"/>
          <w:bCs/>
          <w:i/>
          <w:sz w:val="22"/>
          <w:szCs w:val="22"/>
        </w:rPr>
        <w:t>The Times</w:t>
      </w:r>
      <w:r w:rsidRPr="0073469E">
        <w:rPr>
          <w:b w:val="0"/>
          <w:bCs/>
          <w:sz w:val="22"/>
          <w:szCs w:val="22"/>
        </w:rPr>
        <w:t xml:space="preserve"> denied contempt, but the High Court ruled that, by using these quotes, it had breached the law banning disclosure of ‘votes cast’, ‘opinions expressed’ and ‘statements made’ during the jury’s deliberations, even though jurors’ identities were not disclosed, and the foreman’s descriptions of the deliberations were brief and possibly inaccurate (</w:t>
      </w:r>
      <w:r w:rsidRPr="0073469E">
        <w:rPr>
          <w:b w:val="0"/>
          <w:bCs/>
          <w:i/>
          <w:sz w:val="22"/>
          <w:szCs w:val="22"/>
        </w:rPr>
        <w:t>Attorney General v Michael Alexander Seckerson and Times Newspapers Ltd</w:t>
      </w:r>
      <w:r w:rsidRPr="0073469E">
        <w:rPr>
          <w:b w:val="0"/>
          <w:bCs/>
          <w:sz w:val="22"/>
          <w:szCs w:val="22"/>
        </w:rPr>
        <w:t xml:space="preserve"> [2009] EWHC 1023 (Admin)). The jury foreman was fined £5,000 for his part in the breach (</w:t>
      </w:r>
      <w:r w:rsidRPr="0073469E">
        <w:rPr>
          <w:b w:val="0"/>
          <w:bCs/>
          <w:i/>
          <w:sz w:val="22"/>
          <w:szCs w:val="22"/>
        </w:rPr>
        <w:t>Media Lawyer,</w:t>
      </w:r>
      <w:r w:rsidRPr="0073469E">
        <w:rPr>
          <w:b w:val="0"/>
          <w:bCs/>
          <w:sz w:val="22"/>
          <w:szCs w:val="22"/>
        </w:rPr>
        <w:t xml:space="preserve"> 20 December 2009).</w:t>
      </w:r>
    </w:p>
    <w:p w14:paraId="1C31D016" w14:textId="77777777" w:rsidR="00E347DE" w:rsidRDefault="00E347DE" w:rsidP="00E347DE">
      <w:pPr>
        <w:autoSpaceDE w:val="0"/>
        <w:autoSpaceDN w:val="0"/>
        <w:adjustRightInd w:val="0"/>
        <w:spacing w:after="0" w:line="240" w:lineRule="auto"/>
        <w:rPr>
          <w:rFonts w:ascii="Times New Roman" w:hAnsi="Times New Roman" w:cs="Times New Roman"/>
          <w:b/>
          <w:sz w:val="28"/>
          <w:szCs w:val="28"/>
        </w:rPr>
      </w:pPr>
    </w:p>
    <w:p w14:paraId="3E088D4C" w14:textId="77777777" w:rsidR="00FB02A5" w:rsidRDefault="00FB02A5" w:rsidP="00E347DE">
      <w:pPr>
        <w:autoSpaceDE w:val="0"/>
        <w:autoSpaceDN w:val="0"/>
        <w:adjustRightInd w:val="0"/>
        <w:spacing w:after="0" w:line="240" w:lineRule="auto"/>
        <w:rPr>
          <w:rFonts w:ascii="Times New Roman" w:hAnsi="Times New Roman" w:cs="Times New Roman"/>
          <w:b/>
          <w:sz w:val="28"/>
          <w:szCs w:val="28"/>
        </w:rPr>
      </w:pPr>
    </w:p>
    <w:p w14:paraId="69216404" w14:textId="77777777" w:rsidR="00C769AA" w:rsidRPr="00E347DE" w:rsidRDefault="00E347DE" w:rsidP="00E347DE">
      <w:pPr>
        <w:autoSpaceDE w:val="0"/>
        <w:autoSpaceDN w:val="0"/>
        <w:adjustRightInd w:val="0"/>
        <w:spacing w:after="0" w:line="240" w:lineRule="auto"/>
        <w:rPr>
          <w:rFonts w:ascii="Times New Roman" w:hAnsi="Times New Roman" w:cs="Times New Roman"/>
          <w:b/>
          <w:bCs/>
          <w:sz w:val="28"/>
          <w:szCs w:val="28"/>
        </w:rPr>
      </w:pPr>
      <w:r w:rsidRPr="00E347DE">
        <w:rPr>
          <w:rFonts w:ascii="Times New Roman" w:hAnsi="Times New Roman" w:cs="Times New Roman"/>
          <w:b/>
          <w:sz w:val="28"/>
          <w:szCs w:val="28"/>
        </w:rPr>
        <w:t xml:space="preserve">12.11 </w:t>
      </w:r>
      <w:r w:rsidRPr="00E347DE">
        <w:rPr>
          <w:rFonts w:ascii="Times New Roman" w:hAnsi="Times New Roman" w:cs="Times New Roman"/>
          <w:b/>
          <w:bCs/>
          <w:sz w:val="28"/>
          <w:szCs w:val="28"/>
        </w:rPr>
        <w:t>Indefinite anonymity for convicted</w:t>
      </w:r>
      <w:r>
        <w:rPr>
          <w:rFonts w:ascii="Times New Roman" w:hAnsi="Times New Roman" w:cs="Times New Roman"/>
          <w:b/>
          <w:bCs/>
          <w:sz w:val="28"/>
          <w:szCs w:val="28"/>
        </w:rPr>
        <w:t xml:space="preserve"> </w:t>
      </w:r>
      <w:r w:rsidRPr="00E347DE">
        <w:rPr>
          <w:rFonts w:ascii="Times New Roman" w:hAnsi="Times New Roman" w:cs="Times New Roman"/>
          <w:b/>
          <w:bCs/>
          <w:sz w:val="28"/>
          <w:szCs w:val="28"/>
        </w:rPr>
        <w:t>defendants and others</w:t>
      </w:r>
    </w:p>
    <w:p w14:paraId="4106CB43" w14:textId="77777777" w:rsidR="001C23CB" w:rsidRDefault="001C23CB" w:rsidP="00E347DE">
      <w:pPr>
        <w:spacing w:after="0" w:line="480" w:lineRule="auto"/>
        <w:rPr>
          <w:rFonts w:ascii="Times New Roman" w:hAnsi="Times New Roman" w:cs="Times New Roman"/>
          <w:sz w:val="24"/>
          <w:szCs w:val="24"/>
        </w:rPr>
      </w:pPr>
    </w:p>
    <w:p w14:paraId="3CB0B310" w14:textId="77777777" w:rsidR="00C769AA" w:rsidRPr="001C23CB" w:rsidRDefault="00C769AA" w:rsidP="00E347DE">
      <w:pPr>
        <w:spacing w:after="0" w:line="480" w:lineRule="auto"/>
        <w:rPr>
          <w:rFonts w:ascii="Times New Roman" w:hAnsi="Times New Roman" w:cs="Times New Roman"/>
        </w:rPr>
      </w:pPr>
      <w:r w:rsidRPr="001C23CB">
        <w:rPr>
          <w:rFonts w:ascii="Times New Roman" w:hAnsi="Times New Roman" w:cs="Times New Roman"/>
        </w:rPr>
        <w:t xml:space="preserve">In a few exceptional cases the High Court has issued injunctions – court orders – banning the media from publishing the new identities and whereabouts of people who became notorious after </w:t>
      </w:r>
      <w:r w:rsidRPr="001C23CB">
        <w:rPr>
          <w:rFonts w:ascii="Times New Roman" w:hAnsi="Times New Roman" w:cs="Times New Roman"/>
        </w:rPr>
        <w:lastRenderedPageBreak/>
        <w:t>committing, or being associated with, horrific crimes. The aim was to help rehabilitate them after their release from prison, and protect them from public hostility and possible vengeance attacks.</w:t>
      </w:r>
    </w:p>
    <w:p w14:paraId="61D251F7" w14:textId="77777777" w:rsidR="00763A9F" w:rsidRDefault="00763A9F" w:rsidP="00E347DE">
      <w:pPr>
        <w:spacing w:after="0" w:line="480" w:lineRule="auto"/>
        <w:rPr>
          <w:rFonts w:ascii="Times New Roman" w:hAnsi="Times New Roman" w:cs="Times New Roman"/>
          <w:i/>
          <w:iCs/>
        </w:rPr>
      </w:pPr>
    </w:p>
    <w:p w14:paraId="5C9F52CF" w14:textId="77777777" w:rsidR="00C769AA" w:rsidRPr="001C23CB" w:rsidRDefault="00C769AA" w:rsidP="00E347DE">
      <w:pPr>
        <w:spacing w:after="0" w:line="480" w:lineRule="auto"/>
        <w:rPr>
          <w:rFonts w:ascii="Times New Roman" w:hAnsi="Times New Roman" w:cs="Times New Roman"/>
        </w:rPr>
      </w:pPr>
      <w:r w:rsidRPr="001C23CB">
        <w:rPr>
          <w:rFonts w:ascii="Times New Roman" w:hAnsi="Times New Roman" w:cs="Times New Roman"/>
          <w:i/>
          <w:iCs/>
        </w:rPr>
        <w:t xml:space="preserve">Mary Bell </w:t>
      </w:r>
      <w:r w:rsidRPr="001C23CB">
        <w:rPr>
          <w:rFonts w:ascii="Times New Roman" w:hAnsi="Times New Roman" w:cs="Times New Roman"/>
        </w:rPr>
        <w:t>– This was first such case. In 1968, when she was 11, Mary Bell was convicted of the manslaughter of two boys, aged 4 and 3, and sentenced to detention for life. When she was released on licence in 1980, the Home Office gave her a new identity to help her rehabilitation and because the killings remained notorious. In 1984 the High Court made an order banning any publication of her new name and anything else which could identify her new-born daughter as being her child, or which could identify the child’s father (</w:t>
      </w:r>
      <w:r w:rsidRPr="001C23CB">
        <w:rPr>
          <w:rFonts w:ascii="Times New Roman" w:hAnsi="Times New Roman" w:cs="Times New Roman"/>
          <w:i/>
        </w:rPr>
        <w:t>X County Council v A and another</w:t>
      </w:r>
      <w:r w:rsidRPr="001C23CB">
        <w:rPr>
          <w:rFonts w:ascii="Times New Roman" w:hAnsi="Times New Roman" w:cs="Times New Roman"/>
        </w:rPr>
        <w:t xml:space="preserve"> [1985] 1 All ER 53). This order was made for the welfare of the daughter, to ensure a stable home environment, and was based in the court’s </w:t>
      </w:r>
      <w:r w:rsidRPr="001C23CB">
        <w:rPr>
          <w:rFonts w:ascii="Times New Roman" w:hAnsi="Times New Roman" w:cs="Times New Roman"/>
          <w:b/>
          <w:bCs/>
        </w:rPr>
        <w:t xml:space="preserve">inherent jurisdiction </w:t>
      </w:r>
      <w:r w:rsidRPr="001C23CB">
        <w:rPr>
          <w:rFonts w:ascii="Times New Roman" w:hAnsi="Times New Roman" w:cs="Times New Roman"/>
        </w:rPr>
        <w:t>to protect the child as a ward of court</w:t>
      </w:r>
      <w:r w:rsidR="0035280A" w:rsidRPr="001C23CB">
        <w:rPr>
          <w:rFonts w:ascii="Times New Roman" w:hAnsi="Times New Roman" w:cs="Times New Roman"/>
        </w:rPr>
        <w:t xml:space="preserve"> - f</w:t>
      </w:r>
      <w:r w:rsidRPr="001C23CB">
        <w:rPr>
          <w:rFonts w:ascii="Times New Roman" w:hAnsi="Times New Roman" w:cs="Times New Roman"/>
        </w:rPr>
        <w:t xml:space="preserve">or information on wardship, see </w:t>
      </w:r>
      <w:r w:rsidR="00E347DE" w:rsidRPr="001C23CB">
        <w:rPr>
          <w:rFonts w:ascii="Times New Roman" w:hAnsi="Times New Roman" w:cs="Times New Roman"/>
        </w:rPr>
        <w:t xml:space="preserve">14.4.3.1 in </w:t>
      </w:r>
      <w:r w:rsidRPr="001C23CB">
        <w:rPr>
          <w:rFonts w:ascii="Times New Roman" w:hAnsi="Times New Roman" w:cs="Times New Roman"/>
          <w:i/>
          <w:iCs/>
        </w:rPr>
        <w:t>McNae’s</w:t>
      </w:r>
      <w:r w:rsidRPr="001C23CB">
        <w:rPr>
          <w:rFonts w:ascii="Times New Roman" w:hAnsi="Times New Roman" w:cs="Times New Roman"/>
        </w:rPr>
        <w:t xml:space="preserve"> </w:t>
      </w:r>
      <w:r w:rsidR="00E347DE" w:rsidRPr="001C23CB">
        <w:rPr>
          <w:rFonts w:ascii="Times New Roman" w:hAnsi="Times New Roman" w:cs="Times New Roman"/>
        </w:rPr>
        <w:t xml:space="preserve">and the extended version of ch. 14 on </w:t>
      </w:r>
      <w:hyperlink r:id="rId8" w:history="1">
        <w:r w:rsidR="00E347DE" w:rsidRPr="001C23CB">
          <w:rPr>
            <w:rStyle w:val="Hyperlink"/>
            <w:rFonts w:ascii="Times New Roman" w:hAnsi="Times New Roman" w:cs="Times New Roman"/>
            <w:color w:val="auto"/>
            <w:u w:val="none"/>
          </w:rPr>
          <w:t>www.mcnaes.com</w:t>
        </w:r>
      </w:hyperlink>
      <w:r w:rsidR="0035280A" w:rsidRPr="001C23CB">
        <w:rPr>
          <w:rFonts w:ascii="Times New Roman" w:hAnsi="Times New Roman" w:cs="Times New Roman"/>
        </w:rPr>
        <w:t xml:space="preserve">. </w:t>
      </w:r>
      <w:r w:rsidRPr="001C23CB">
        <w:rPr>
          <w:rFonts w:ascii="Times New Roman" w:hAnsi="Times New Roman" w:cs="Times New Roman"/>
        </w:rPr>
        <w:t xml:space="preserve">By 2003 the daughter </w:t>
      </w:r>
      <w:r w:rsidR="00E40201">
        <w:rPr>
          <w:rFonts w:ascii="Times New Roman" w:hAnsi="Times New Roman" w:cs="Times New Roman"/>
        </w:rPr>
        <w:t xml:space="preserve">had </w:t>
      </w:r>
      <w:r w:rsidRPr="001C23CB">
        <w:rPr>
          <w:rFonts w:ascii="Times New Roman" w:hAnsi="Times New Roman" w:cs="Times New Roman"/>
        </w:rPr>
        <w:t xml:space="preserve">ceased to be a ward, having reached the age of 18. But that year the High Court made a fresh order giving Bell and her daughter lifelong anonymity and banning any publication of where either of them lives. The judge, Dame Elizabeth Butler-Sloss, had heard evidence that Bell and her daughter had moved home five times because of press intrusion and hostility from the public. She said the women’s privacy rights under the law of confidence and Article 8 </w:t>
      </w:r>
      <w:r w:rsidR="00E40201">
        <w:rPr>
          <w:rFonts w:ascii="Times New Roman" w:hAnsi="Times New Roman" w:cs="Times New Roman"/>
        </w:rPr>
        <w:t xml:space="preserve">of the European Convention on Human Rights </w:t>
      </w:r>
      <w:r w:rsidRPr="001C23CB">
        <w:rPr>
          <w:rFonts w:ascii="Times New Roman" w:hAnsi="Times New Roman" w:cs="Times New Roman"/>
        </w:rPr>
        <w:t>overrode the media’s rights to freedom of expression under Article 10 (</w:t>
      </w:r>
      <w:r w:rsidRPr="001C23CB">
        <w:rPr>
          <w:rFonts w:ascii="Times New Roman" w:hAnsi="Times New Roman" w:cs="Times New Roman"/>
          <w:i/>
        </w:rPr>
        <w:t xml:space="preserve">X (a woman formerly known as Mary Bell) and another v O’Brien and others </w:t>
      </w:r>
      <w:r w:rsidRPr="001C23CB">
        <w:rPr>
          <w:rFonts w:ascii="Times New Roman" w:hAnsi="Times New Roman" w:cs="Times New Roman"/>
        </w:rPr>
        <w:t xml:space="preserve">[2003] All ER (D) 282 (May)). </w:t>
      </w:r>
      <w:r w:rsidR="0035280A" w:rsidRPr="001C23CB">
        <w:rPr>
          <w:rFonts w:ascii="Times New Roman" w:hAnsi="Times New Roman" w:cs="Times New Roman"/>
        </w:rPr>
        <w:t>T</w:t>
      </w:r>
      <w:r w:rsidRPr="001C23CB">
        <w:rPr>
          <w:rFonts w:ascii="Times New Roman" w:hAnsi="Times New Roman" w:cs="Times New Roman"/>
        </w:rPr>
        <w:t xml:space="preserve">hese Articles </w:t>
      </w:r>
      <w:r w:rsidR="0035280A" w:rsidRPr="001C23CB">
        <w:rPr>
          <w:rFonts w:ascii="Times New Roman" w:hAnsi="Times New Roman" w:cs="Times New Roman"/>
        </w:rPr>
        <w:t xml:space="preserve">are explained in 1.3 in </w:t>
      </w:r>
      <w:r w:rsidR="0035280A" w:rsidRPr="001C23CB">
        <w:rPr>
          <w:rFonts w:ascii="Times New Roman" w:hAnsi="Times New Roman" w:cs="Times New Roman"/>
          <w:i/>
        </w:rPr>
        <w:t>McNae’s</w:t>
      </w:r>
      <w:r w:rsidR="0035280A" w:rsidRPr="001C23CB">
        <w:rPr>
          <w:rFonts w:ascii="Times New Roman" w:hAnsi="Times New Roman" w:cs="Times New Roman"/>
        </w:rPr>
        <w:t>.</w:t>
      </w:r>
    </w:p>
    <w:p w14:paraId="6738C67C" w14:textId="77777777" w:rsidR="0035280A" w:rsidRPr="001C23CB" w:rsidRDefault="0035280A" w:rsidP="00E347DE">
      <w:pPr>
        <w:spacing w:after="0" w:line="480" w:lineRule="auto"/>
        <w:rPr>
          <w:rFonts w:ascii="Times New Roman" w:hAnsi="Times New Roman" w:cs="Times New Roman"/>
          <w:i/>
          <w:iCs/>
        </w:rPr>
      </w:pPr>
    </w:p>
    <w:p w14:paraId="0823637C" w14:textId="77777777" w:rsidR="00C769AA" w:rsidRPr="001C23CB" w:rsidRDefault="00C769AA" w:rsidP="00E347DE">
      <w:pPr>
        <w:spacing w:after="0" w:line="480" w:lineRule="auto"/>
        <w:rPr>
          <w:rFonts w:ascii="Times New Roman" w:hAnsi="Times New Roman" w:cs="Times New Roman"/>
        </w:rPr>
      </w:pPr>
      <w:r w:rsidRPr="001C23CB">
        <w:rPr>
          <w:rFonts w:ascii="Times New Roman" w:hAnsi="Times New Roman" w:cs="Times New Roman"/>
          <w:i/>
          <w:iCs/>
        </w:rPr>
        <w:t>Venables and Thompson</w:t>
      </w:r>
      <w:r w:rsidRPr="001C23CB">
        <w:rPr>
          <w:rFonts w:ascii="Times New Roman" w:hAnsi="Times New Roman" w:cs="Times New Roman"/>
        </w:rPr>
        <w:t xml:space="preserve"> – In 2001 Lady Butler-Sloss granted indefinite anonymity to Jon Venables and Robert Thompson, at their lawyers’ request. In 1993 when they were aged 11, they were convicted of having murdered two-year-old James Bulger on a railway line in Merseyside after leading him from a shopping centre. Both were sentenced to detention ‘during Her Majesty’s pleasure’ (the equivalent, for a juvenile, of a life sentence). In 2001 the Parole Board was due to make a decision about when the pair, then both 18, should be released and reintegrated into the outside world. Lady Butler-Sloss agreed to issue an injunction banning publication of their new identities, </w:t>
      </w:r>
      <w:r w:rsidRPr="001C23CB">
        <w:rPr>
          <w:rFonts w:ascii="Times New Roman" w:hAnsi="Times New Roman" w:cs="Times New Roman"/>
        </w:rPr>
        <w:lastRenderedPageBreak/>
        <w:t>recent photos of them, and of anything likely to identify their ‘present or future whereabouts’ (</w:t>
      </w:r>
      <w:r w:rsidRPr="001C23CB">
        <w:rPr>
          <w:rFonts w:ascii="Times New Roman" w:hAnsi="Times New Roman" w:cs="Times New Roman"/>
          <w:i/>
          <w:iCs/>
        </w:rPr>
        <w:t>Venables v News Group Newspapers Ltd and others; Thompson v News Group Newspapers Ltd and others</w:t>
      </w:r>
      <w:r w:rsidRPr="001C23CB">
        <w:rPr>
          <w:rFonts w:ascii="Times New Roman" w:hAnsi="Times New Roman" w:cs="Times New Roman"/>
        </w:rPr>
        <w:t xml:space="preserve"> [2001] 2 WLR 1038). She said that – because their crime had led to credible death threats – Venables and Thompson had, as well as Article 8 rights, a right to anonymity under Article 2, the right to life, and under Article 3, which bans torture – see </w:t>
      </w:r>
      <w:r w:rsidR="001C23CB">
        <w:rPr>
          <w:rFonts w:ascii="Times New Roman" w:hAnsi="Times New Roman" w:cs="Times New Roman"/>
        </w:rPr>
        <w:t xml:space="preserve">1.3.3 in </w:t>
      </w:r>
      <w:r w:rsidRPr="001C23CB">
        <w:rPr>
          <w:rFonts w:ascii="Times New Roman" w:hAnsi="Times New Roman" w:cs="Times New Roman"/>
          <w:i/>
        </w:rPr>
        <w:t>M</w:t>
      </w:r>
      <w:r w:rsidRPr="001C23CB">
        <w:rPr>
          <w:rFonts w:ascii="Times New Roman" w:hAnsi="Times New Roman" w:cs="Times New Roman"/>
          <w:i/>
          <w:iCs/>
        </w:rPr>
        <w:t>cNae’s</w:t>
      </w:r>
      <w:r w:rsidR="00E40201">
        <w:rPr>
          <w:rFonts w:ascii="Times New Roman" w:hAnsi="Times New Roman" w:cs="Times New Roman"/>
        </w:rPr>
        <w:t>.</w:t>
      </w:r>
      <w:r w:rsidRPr="001C23CB">
        <w:rPr>
          <w:rFonts w:ascii="Times New Roman" w:hAnsi="Times New Roman" w:cs="Times New Roman"/>
        </w:rPr>
        <w:t xml:space="preserve"> Later in 2001 the </w:t>
      </w:r>
      <w:r w:rsidRPr="001C23CB">
        <w:rPr>
          <w:rFonts w:ascii="Times New Roman" w:hAnsi="Times New Roman" w:cs="Times New Roman"/>
          <w:i/>
        </w:rPr>
        <w:t>Manchester Evening News</w:t>
      </w:r>
      <w:r w:rsidRPr="001C23CB">
        <w:rPr>
          <w:rFonts w:ascii="Times New Roman" w:hAnsi="Times New Roman" w:cs="Times New Roman"/>
        </w:rPr>
        <w:t xml:space="preserve"> was fined £30,000 for contempt of court for publishing material which – the High Court ruled – included detail likely to identify, to someone with local knowledge, the secure units in which Venables and Thompson were then being held. The court accepted that the material was not published deliberately to identify them (</w:t>
      </w:r>
      <w:r w:rsidRPr="001C23CB">
        <w:rPr>
          <w:rFonts w:ascii="Times New Roman" w:hAnsi="Times New Roman" w:cs="Times New Roman"/>
          <w:i/>
        </w:rPr>
        <w:t>Attorney General v Greater Manchester Newspapers Ltd</w:t>
      </w:r>
      <w:r w:rsidRPr="001C23CB">
        <w:rPr>
          <w:rFonts w:ascii="Times New Roman" w:hAnsi="Times New Roman" w:cs="Times New Roman"/>
        </w:rPr>
        <w:t xml:space="preserve"> [2001] All ER (D) 32 (Dec)). Venables and Thompson were released on licence in 2001. In 2010 Venables, aged 27, was returned to prison after he was discovered to have downloaded and distributed pornographic photos of children, for which he was sentenced to two years. The injunction banning the media from disclosing his (and Thompson’s) whereabouts was not lifted. But the judge who sentenced Venables in 2010 allowed the media to report he had been living in Cheshire (</w:t>
      </w:r>
      <w:r w:rsidRPr="001C23CB">
        <w:rPr>
          <w:rFonts w:ascii="Times New Roman" w:hAnsi="Times New Roman" w:cs="Times New Roman"/>
          <w:i/>
          <w:iCs/>
        </w:rPr>
        <w:t>Media Lawyer</w:t>
      </w:r>
      <w:r w:rsidRPr="001C23CB">
        <w:rPr>
          <w:rFonts w:ascii="Times New Roman" w:hAnsi="Times New Roman" w:cs="Times New Roman"/>
        </w:rPr>
        <w:t xml:space="preserve">, July 30, 2010). </w:t>
      </w:r>
    </w:p>
    <w:p w14:paraId="50AC36C1" w14:textId="77777777" w:rsidR="0035280A" w:rsidRPr="001C23CB" w:rsidRDefault="0035280A" w:rsidP="00E347DE">
      <w:pPr>
        <w:spacing w:after="0" w:line="480" w:lineRule="auto"/>
        <w:rPr>
          <w:rFonts w:ascii="Times New Roman" w:hAnsi="Times New Roman" w:cs="Times New Roman"/>
          <w:i/>
          <w:iCs/>
        </w:rPr>
      </w:pPr>
    </w:p>
    <w:p w14:paraId="79BD787B" w14:textId="77777777" w:rsidR="00C769AA" w:rsidRPr="001C23CB" w:rsidRDefault="00C769AA" w:rsidP="00E347DE">
      <w:pPr>
        <w:spacing w:after="0" w:line="480" w:lineRule="auto"/>
        <w:rPr>
          <w:rFonts w:ascii="Times New Roman" w:hAnsi="Times New Roman" w:cs="Times New Roman"/>
        </w:rPr>
      </w:pPr>
      <w:r w:rsidRPr="001C23CB">
        <w:rPr>
          <w:rFonts w:ascii="Times New Roman" w:hAnsi="Times New Roman" w:cs="Times New Roman"/>
          <w:i/>
          <w:iCs/>
        </w:rPr>
        <w:t>Maxine Carr</w:t>
      </w:r>
      <w:r w:rsidRPr="001C23CB">
        <w:rPr>
          <w:rFonts w:ascii="Times New Roman" w:hAnsi="Times New Roman" w:cs="Times New Roman"/>
        </w:rPr>
        <w:t xml:space="preserve"> – Anonymity was also granted to Maxine Carr, former girlfriend of Ian Huntley. In 2003 Huntley, a school caretaker, was convicted of murdering two schoolgirls in Soham. Carr was convicted at the same trial of conspiring to pervert the course of justice because she gave Huntley a false alibi during the police investigation of the murders. She was acquitted of having known, when she gave the alibi, that he had murdered the girls. In 2005 at the High Court Mr Justice Eady granted an injunction, indefinitely banning publication of her new identity and whereabouts, or the nature of her employment, after hearing that she received death thr</w:t>
      </w:r>
      <w:r w:rsidR="00E40201">
        <w:rPr>
          <w:rFonts w:ascii="Times New Roman" w:hAnsi="Times New Roman" w:cs="Times New Roman"/>
        </w:rPr>
        <w:t xml:space="preserve">eats and was harassed after </w:t>
      </w:r>
      <w:r w:rsidR="00072E9C">
        <w:rPr>
          <w:rFonts w:ascii="Times New Roman" w:hAnsi="Times New Roman" w:cs="Times New Roman"/>
        </w:rPr>
        <w:t xml:space="preserve">serving </w:t>
      </w:r>
      <w:r w:rsidRPr="001C23CB">
        <w:rPr>
          <w:rFonts w:ascii="Times New Roman" w:hAnsi="Times New Roman" w:cs="Times New Roman"/>
        </w:rPr>
        <w:t>her jail sentence (</w:t>
      </w:r>
      <w:r w:rsidRPr="001C23CB">
        <w:rPr>
          <w:rFonts w:ascii="Times New Roman" w:hAnsi="Times New Roman" w:cs="Times New Roman"/>
          <w:i/>
          <w:iCs/>
          <w:color w:val="000000"/>
        </w:rPr>
        <w:t xml:space="preserve">Maxine Carr v. News Group Newspapers </w:t>
      </w:r>
      <w:r w:rsidRPr="001C23CB">
        <w:rPr>
          <w:rFonts w:ascii="Times New Roman" w:hAnsi="Times New Roman" w:cs="Times New Roman"/>
          <w:i/>
          <w:iCs/>
        </w:rPr>
        <w:t xml:space="preserve">Limited </w:t>
      </w:r>
      <w:hyperlink r:id="rId9" w:tooltip="Link to BAILII version" w:history="1">
        <w:r w:rsidRPr="001C23CB">
          <w:rPr>
            <w:rStyle w:val="Hyperlink"/>
            <w:rFonts w:ascii="Times New Roman" w:hAnsi="Times New Roman" w:cs="Times New Roman"/>
            <w:color w:val="auto"/>
            <w:u w:val="none"/>
          </w:rPr>
          <w:t>[2005] EWHC 971 (QB)</w:t>
        </w:r>
      </w:hyperlink>
      <w:r w:rsidRPr="001C23CB">
        <w:rPr>
          <w:rFonts w:ascii="Times New Roman" w:hAnsi="Times New Roman" w:cs="Times New Roman"/>
        </w:rPr>
        <w:t xml:space="preserve">; </w:t>
      </w:r>
      <w:r w:rsidRPr="001C23CB">
        <w:rPr>
          <w:rFonts w:ascii="Times New Roman" w:hAnsi="Times New Roman" w:cs="Times New Roman"/>
          <w:i/>
        </w:rPr>
        <w:t>Media Lawyer</w:t>
      </w:r>
      <w:r w:rsidRPr="001C23CB">
        <w:rPr>
          <w:rFonts w:ascii="Times New Roman" w:hAnsi="Times New Roman" w:cs="Times New Roman"/>
        </w:rPr>
        <w:t>, 25 February 2005).</w:t>
      </w:r>
    </w:p>
    <w:p w14:paraId="74C3F5E0" w14:textId="77777777" w:rsidR="00C769AA" w:rsidRPr="001C23CB" w:rsidRDefault="00C769AA" w:rsidP="00E347DE">
      <w:pPr>
        <w:spacing w:after="0" w:line="480" w:lineRule="auto"/>
        <w:rPr>
          <w:rFonts w:ascii="Times New Roman" w:hAnsi="Times New Roman" w:cs="Times New Roman"/>
        </w:rPr>
      </w:pPr>
    </w:p>
    <w:p w14:paraId="1CBC817F" w14:textId="77777777" w:rsidR="00C769AA" w:rsidRPr="001C23CB" w:rsidRDefault="00C769AA" w:rsidP="00E347DE">
      <w:pPr>
        <w:spacing w:after="0" w:line="480" w:lineRule="auto"/>
        <w:rPr>
          <w:rFonts w:ascii="Times New Roman" w:hAnsi="Times New Roman" w:cs="Times New Roman"/>
        </w:rPr>
      </w:pPr>
      <w:r w:rsidRPr="001C23CB">
        <w:rPr>
          <w:rFonts w:ascii="Times New Roman" w:hAnsi="Times New Roman" w:cs="Times New Roman"/>
          <w:i/>
          <w:iCs/>
        </w:rPr>
        <w:t>Kenneth Callaghan</w:t>
      </w:r>
      <w:r w:rsidRPr="001C23CB">
        <w:rPr>
          <w:rFonts w:ascii="Times New Roman" w:hAnsi="Times New Roman" w:cs="Times New Roman"/>
        </w:rPr>
        <w:t xml:space="preserve"> – In 2009 Mr Justice Stephen, in the High Court in Belfast, banned the publishers of </w:t>
      </w:r>
      <w:r w:rsidRPr="001C23CB">
        <w:rPr>
          <w:rFonts w:ascii="Times New Roman" w:hAnsi="Times New Roman" w:cs="Times New Roman"/>
          <w:i/>
        </w:rPr>
        <w:t>Sunday Life</w:t>
      </w:r>
      <w:r w:rsidRPr="001C23CB">
        <w:rPr>
          <w:rFonts w:ascii="Times New Roman" w:hAnsi="Times New Roman" w:cs="Times New Roman"/>
        </w:rPr>
        <w:t xml:space="preserve"> newspaper, and all the media, from publishing any photograph which would identify </w:t>
      </w:r>
      <w:r w:rsidRPr="001C23CB">
        <w:rPr>
          <w:rFonts w:ascii="Times New Roman" w:hAnsi="Times New Roman" w:cs="Times New Roman"/>
        </w:rPr>
        <w:lastRenderedPageBreak/>
        <w:t>Kenneth Henry Callaghan, then aged 39, and any information identifying his address, place of work, and any location he frequented or stayed at. Callaghan had become eligible for parole after serving 21 years for the 1987 murder of a woman whom he raped as she was dying or after she died. The newspaper took photographs of him in 2008 when he was on temporary release from a Northern Ireland Office (NIO) prisoner assessment unit. The judge said the newspaper’s articles about Callaghan’s possible release, which described him as an ongoing risk to the public, were likely to incite hatred against him. They were also counter-productive, he said, as such hatred and the disclosure, through the photographs, of his future whereabouts would increase the risk that he would reoffend. The judge granted the injunction on the grounds of Callaghan’s Article 8 privacy rights and to protect him from harassment. The judge also ordered, at the request of the Northern Ireland Office, that nobody should publish any photograph which identified any serving prisoner who was being assessed at the unit without giving the NIO 48 hours’ notice of intention to publish it (</w:t>
      </w:r>
      <w:r w:rsidRPr="001C23CB">
        <w:rPr>
          <w:rFonts w:ascii="Times New Roman" w:hAnsi="Times New Roman" w:cs="Times New Roman"/>
          <w:i/>
        </w:rPr>
        <w:t>Callaghan v Independent News and Media</w:t>
      </w:r>
      <w:r w:rsidRPr="001C23CB">
        <w:rPr>
          <w:rFonts w:ascii="Times New Roman" w:hAnsi="Times New Roman" w:cs="Times New Roman"/>
        </w:rPr>
        <w:t xml:space="preserve"> </w:t>
      </w:r>
      <w:r w:rsidRPr="001C23CB">
        <w:rPr>
          <w:rFonts w:ascii="Times New Roman" w:hAnsi="Times New Roman" w:cs="Times New Roman"/>
          <w:i/>
          <w:iCs/>
        </w:rPr>
        <w:t xml:space="preserve">Ltd </w:t>
      </w:r>
      <w:r w:rsidRPr="001C23CB">
        <w:rPr>
          <w:rFonts w:ascii="Times New Roman" w:hAnsi="Times New Roman" w:cs="Times New Roman"/>
        </w:rPr>
        <w:t>[2009] NIQB 1).</w:t>
      </w:r>
    </w:p>
    <w:p w14:paraId="06C0A701" w14:textId="77777777" w:rsidR="00072E9C" w:rsidRDefault="00072E9C" w:rsidP="00E347DE">
      <w:pPr>
        <w:spacing w:after="0" w:line="480" w:lineRule="auto"/>
        <w:rPr>
          <w:rFonts w:ascii="Times New Roman" w:hAnsi="Times New Roman" w:cs="Times New Roman"/>
          <w:i/>
        </w:rPr>
      </w:pPr>
    </w:p>
    <w:p w14:paraId="27D377E1" w14:textId="69676CB1" w:rsidR="00E347DE" w:rsidRPr="001C23CB" w:rsidRDefault="0035280A" w:rsidP="00E347DE">
      <w:pPr>
        <w:spacing w:after="0" w:line="480" w:lineRule="auto"/>
        <w:rPr>
          <w:rFonts w:ascii="Times New Roman" w:hAnsi="Times New Roman" w:cs="Times New Roman"/>
        </w:rPr>
      </w:pPr>
      <w:r w:rsidRPr="001C23CB">
        <w:rPr>
          <w:rFonts w:ascii="Times New Roman" w:hAnsi="Times New Roman" w:cs="Times New Roman"/>
          <w:i/>
        </w:rPr>
        <w:t xml:space="preserve">The </w:t>
      </w:r>
      <w:r w:rsidR="00E347DE" w:rsidRPr="001C23CB">
        <w:rPr>
          <w:rFonts w:ascii="Times New Roman" w:hAnsi="Times New Roman" w:cs="Times New Roman"/>
          <w:i/>
        </w:rPr>
        <w:t>Edlington case</w:t>
      </w:r>
      <w:r w:rsidR="00E347DE" w:rsidRPr="001C23CB">
        <w:rPr>
          <w:rFonts w:ascii="Times New Roman" w:hAnsi="Times New Roman" w:cs="Times New Roman"/>
        </w:rPr>
        <w:t xml:space="preserve"> </w:t>
      </w:r>
      <w:r w:rsidRPr="001C23CB">
        <w:rPr>
          <w:rFonts w:ascii="Times New Roman" w:hAnsi="Times New Roman" w:cs="Times New Roman"/>
        </w:rPr>
        <w:t xml:space="preserve">- </w:t>
      </w:r>
      <w:r w:rsidR="00E347DE" w:rsidRPr="001C23CB">
        <w:rPr>
          <w:rFonts w:ascii="Times New Roman" w:hAnsi="Times New Roman" w:cs="Times New Roman"/>
        </w:rPr>
        <w:t xml:space="preserve">In 2016 </w:t>
      </w:r>
      <w:r w:rsidR="00FF3C8D">
        <w:rPr>
          <w:rFonts w:ascii="Times New Roman" w:hAnsi="Times New Roman" w:cs="Times New Roman"/>
        </w:rPr>
        <w:t xml:space="preserve">the </w:t>
      </w:r>
      <w:r w:rsidR="00E347DE" w:rsidRPr="001C23CB">
        <w:rPr>
          <w:rFonts w:ascii="Times New Roman" w:hAnsi="Times New Roman" w:cs="Times New Roman"/>
        </w:rPr>
        <w:t>High Court banned the media indefinitely from revealed the former and new names of two brothers responsible for notorious, sadistic attacks in 2009 on two other boys</w:t>
      </w:r>
      <w:r w:rsidRPr="001C23CB">
        <w:rPr>
          <w:rFonts w:ascii="Times New Roman" w:hAnsi="Times New Roman" w:cs="Times New Roman"/>
        </w:rPr>
        <w:t xml:space="preserve">. </w:t>
      </w:r>
      <w:r w:rsidR="00E347DE" w:rsidRPr="001C23CB">
        <w:rPr>
          <w:rFonts w:ascii="Times New Roman" w:hAnsi="Times New Roman" w:cs="Times New Roman"/>
        </w:rPr>
        <w:t>The brothers</w:t>
      </w:r>
      <w:r w:rsidR="0097427B">
        <w:rPr>
          <w:rFonts w:ascii="Times New Roman" w:hAnsi="Times New Roman" w:cs="Times New Roman"/>
        </w:rPr>
        <w:t xml:space="preserve">, </w:t>
      </w:r>
      <w:r w:rsidR="0097427B" w:rsidRPr="001C23CB">
        <w:rPr>
          <w:rFonts w:ascii="Times New Roman" w:hAnsi="Times New Roman" w:cs="Times New Roman"/>
        </w:rPr>
        <w:t xml:space="preserve">who were aged 10 and 11 at the time of these offences, </w:t>
      </w:r>
      <w:r w:rsidR="00E347DE" w:rsidRPr="001C23CB">
        <w:rPr>
          <w:rFonts w:ascii="Times New Roman" w:hAnsi="Times New Roman" w:cs="Times New Roman"/>
        </w:rPr>
        <w:t xml:space="preserve">inflicted around 90 minutes of violence on the victims, including stamping on them, hitting them with bricks, choking and burning them, and inflicting humiliations, some of them sexual. The older </w:t>
      </w:r>
      <w:r w:rsidR="00072E9C">
        <w:rPr>
          <w:rFonts w:ascii="Times New Roman" w:hAnsi="Times New Roman" w:cs="Times New Roman"/>
        </w:rPr>
        <w:t xml:space="preserve">victim </w:t>
      </w:r>
      <w:r w:rsidR="00E347DE" w:rsidRPr="001C23CB">
        <w:rPr>
          <w:rFonts w:ascii="Times New Roman" w:hAnsi="Times New Roman" w:cs="Times New Roman"/>
        </w:rPr>
        <w:t>almost died from his injuries.</w:t>
      </w:r>
      <w:r w:rsidRPr="001C23CB">
        <w:rPr>
          <w:rFonts w:ascii="Times New Roman" w:hAnsi="Times New Roman" w:cs="Times New Roman"/>
        </w:rPr>
        <w:t xml:space="preserve"> </w:t>
      </w:r>
      <w:r w:rsidR="00FF3C8D">
        <w:rPr>
          <w:rFonts w:ascii="Times New Roman" w:hAnsi="Times New Roman" w:cs="Times New Roman"/>
        </w:rPr>
        <w:t xml:space="preserve">In </w:t>
      </w:r>
      <w:r w:rsidR="00E347DE" w:rsidRPr="001C23CB">
        <w:rPr>
          <w:rFonts w:ascii="Times New Roman" w:hAnsi="Times New Roman" w:cs="Times New Roman"/>
        </w:rPr>
        <w:t xml:space="preserve">2010 </w:t>
      </w:r>
      <w:r w:rsidR="00FF3C8D">
        <w:rPr>
          <w:rFonts w:ascii="Times New Roman" w:hAnsi="Times New Roman" w:cs="Times New Roman"/>
        </w:rPr>
        <w:t xml:space="preserve">at Sheffield Crown court the brothers were </w:t>
      </w:r>
      <w:r w:rsidR="00E347DE" w:rsidRPr="001C23CB">
        <w:rPr>
          <w:rFonts w:ascii="Times New Roman" w:hAnsi="Times New Roman" w:cs="Times New Roman"/>
        </w:rPr>
        <w:t>sentenced to indef</w:t>
      </w:r>
      <w:r w:rsidR="00FF3C8D">
        <w:rPr>
          <w:rFonts w:ascii="Times New Roman" w:hAnsi="Times New Roman" w:cs="Times New Roman"/>
        </w:rPr>
        <w:t xml:space="preserve">inite detention. In those proceedings </w:t>
      </w:r>
      <w:r w:rsidR="00E347DE" w:rsidRPr="001C23CB">
        <w:rPr>
          <w:rFonts w:ascii="Times New Roman" w:hAnsi="Times New Roman" w:cs="Times New Roman"/>
        </w:rPr>
        <w:t>anonymity was provided for them under section 39 of the Children and Young Persons Act 1933</w:t>
      </w:r>
      <w:r w:rsidR="00FF3C8D">
        <w:rPr>
          <w:rFonts w:ascii="Times New Roman" w:hAnsi="Times New Roman" w:cs="Times New Roman"/>
        </w:rPr>
        <w:t xml:space="preserve"> (at that time a power used in criminal courts).</w:t>
      </w:r>
      <w:r w:rsidR="00E347DE" w:rsidRPr="001C23CB">
        <w:rPr>
          <w:rFonts w:ascii="Times New Roman" w:hAnsi="Times New Roman" w:cs="Times New Roman"/>
        </w:rPr>
        <w:t xml:space="preserve"> But </w:t>
      </w:r>
      <w:r w:rsidRPr="001C23CB">
        <w:rPr>
          <w:rFonts w:ascii="Times New Roman" w:hAnsi="Times New Roman" w:cs="Times New Roman"/>
        </w:rPr>
        <w:t>– as 10.</w:t>
      </w:r>
      <w:r w:rsidR="004849CE">
        <w:rPr>
          <w:rFonts w:ascii="Times New Roman" w:hAnsi="Times New Roman" w:cs="Times New Roman"/>
        </w:rPr>
        <w:t>5</w:t>
      </w:r>
      <w:r w:rsidRPr="001C23CB">
        <w:rPr>
          <w:rFonts w:ascii="Times New Roman" w:hAnsi="Times New Roman" w:cs="Times New Roman"/>
        </w:rPr>
        <w:t xml:space="preserve"> in </w:t>
      </w:r>
      <w:r w:rsidRPr="001C23CB">
        <w:rPr>
          <w:rFonts w:ascii="Times New Roman" w:hAnsi="Times New Roman" w:cs="Times New Roman"/>
          <w:i/>
        </w:rPr>
        <w:t xml:space="preserve">McNae’s </w:t>
      </w:r>
      <w:r w:rsidRPr="001C23CB">
        <w:rPr>
          <w:rFonts w:ascii="Times New Roman" w:hAnsi="Times New Roman" w:cs="Times New Roman"/>
        </w:rPr>
        <w:t xml:space="preserve">explains </w:t>
      </w:r>
      <w:r w:rsidR="00FF3C8D">
        <w:rPr>
          <w:rFonts w:ascii="Times New Roman" w:hAnsi="Times New Roman" w:cs="Times New Roman"/>
        </w:rPr>
        <w:t>–</w:t>
      </w:r>
      <w:r w:rsidRPr="001C23CB">
        <w:rPr>
          <w:rFonts w:ascii="Times New Roman" w:hAnsi="Times New Roman" w:cs="Times New Roman"/>
        </w:rPr>
        <w:t xml:space="preserve"> </w:t>
      </w:r>
      <w:r w:rsidR="00FF3C8D">
        <w:rPr>
          <w:rFonts w:ascii="Times New Roman" w:hAnsi="Times New Roman" w:cs="Times New Roman"/>
        </w:rPr>
        <w:t xml:space="preserve">section </w:t>
      </w:r>
      <w:r w:rsidR="00E347DE" w:rsidRPr="001C23CB">
        <w:rPr>
          <w:rFonts w:ascii="Times New Roman" w:hAnsi="Times New Roman" w:cs="Times New Roman"/>
        </w:rPr>
        <w:t xml:space="preserve">39 anonymity expires when the person </w:t>
      </w:r>
      <w:r w:rsidRPr="001C23CB">
        <w:rPr>
          <w:rFonts w:ascii="Times New Roman" w:hAnsi="Times New Roman" w:cs="Times New Roman"/>
        </w:rPr>
        <w:t xml:space="preserve">given it reaches the age of 18. </w:t>
      </w:r>
      <w:r w:rsidR="00E347DE" w:rsidRPr="001C23CB">
        <w:rPr>
          <w:rFonts w:ascii="Times New Roman" w:hAnsi="Times New Roman" w:cs="Times New Roman"/>
        </w:rPr>
        <w:t xml:space="preserve">In December 2016 High Court judge Sir Geoffrey Vos - who heard that the brothers had new identities and had been released from detention - said he was satisfied that making an indefinite anonymity order </w:t>
      </w:r>
      <w:r w:rsidR="00FF3C8D">
        <w:rPr>
          <w:rFonts w:ascii="Times New Roman" w:hAnsi="Times New Roman" w:cs="Times New Roman"/>
        </w:rPr>
        <w:t xml:space="preserve">to cover them </w:t>
      </w:r>
      <w:r w:rsidR="00E347DE" w:rsidRPr="001C23CB">
        <w:rPr>
          <w:rFonts w:ascii="Times New Roman" w:hAnsi="Times New Roman" w:cs="Times New Roman"/>
        </w:rPr>
        <w:t xml:space="preserve">was in the public interest. He said neither the brothers' original names nor their new identities could be </w:t>
      </w:r>
      <w:r w:rsidR="00FF3C8D">
        <w:rPr>
          <w:rFonts w:ascii="Times New Roman" w:hAnsi="Times New Roman" w:cs="Times New Roman"/>
        </w:rPr>
        <w:t xml:space="preserve">published. </w:t>
      </w:r>
      <w:r w:rsidR="00E347DE" w:rsidRPr="001C23CB">
        <w:rPr>
          <w:rFonts w:ascii="Times New Roman" w:hAnsi="Times New Roman" w:cs="Times New Roman"/>
        </w:rPr>
        <w:t>A barrister representing them had asked for this anonymity (</w:t>
      </w:r>
      <w:r w:rsidR="00E347DE" w:rsidRPr="001C23CB">
        <w:rPr>
          <w:rFonts w:ascii="Times New Roman" w:hAnsi="Times New Roman" w:cs="Times New Roman"/>
          <w:i/>
        </w:rPr>
        <w:t>A and B v Persons Unknown</w:t>
      </w:r>
      <w:r w:rsidR="00E347DE" w:rsidRPr="001C23CB">
        <w:rPr>
          <w:rFonts w:ascii="Times New Roman" w:hAnsi="Times New Roman" w:cs="Times New Roman"/>
        </w:rPr>
        <w:t xml:space="preserve"> [2016] EWHC 3295 (Ch); </w:t>
      </w:r>
      <w:r w:rsidR="00E347DE" w:rsidRPr="001C23CB">
        <w:rPr>
          <w:rFonts w:ascii="Times New Roman" w:hAnsi="Times New Roman" w:cs="Times New Roman"/>
          <w:i/>
        </w:rPr>
        <w:t>The Guardian</w:t>
      </w:r>
      <w:r w:rsidR="00E347DE" w:rsidRPr="001C23CB">
        <w:rPr>
          <w:rFonts w:ascii="Times New Roman" w:hAnsi="Times New Roman" w:cs="Times New Roman"/>
        </w:rPr>
        <w:t xml:space="preserve">, 22 January 2010; </w:t>
      </w:r>
      <w:r w:rsidR="00E347DE" w:rsidRPr="001C23CB">
        <w:rPr>
          <w:rFonts w:ascii="Times New Roman" w:hAnsi="Times New Roman" w:cs="Times New Roman"/>
          <w:i/>
        </w:rPr>
        <w:t>Media Lawyer</w:t>
      </w:r>
      <w:r w:rsidR="00E347DE" w:rsidRPr="001C23CB">
        <w:rPr>
          <w:rFonts w:ascii="Times New Roman" w:hAnsi="Times New Roman" w:cs="Times New Roman"/>
        </w:rPr>
        <w:t>, 12 December 2016)</w:t>
      </w:r>
    </w:p>
    <w:p w14:paraId="76AAB426" w14:textId="77777777" w:rsidR="00A77B16" w:rsidRDefault="00A77B16" w:rsidP="00E347DE">
      <w:pPr>
        <w:spacing w:after="0" w:line="480" w:lineRule="auto"/>
        <w:rPr>
          <w:rFonts w:ascii="Times New Roman" w:hAnsi="Times New Roman" w:cs="Times New Roman"/>
          <w:i/>
        </w:rPr>
      </w:pPr>
    </w:p>
    <w:p w14:paraId="0DCE059A" w14:textId="5D6BB24F" w:rsidR="00F3363D" w:rsidRDefault="00D74909" w:rsidP="00E347DE">
      <w:pPr>
        <w:spacing w:after="0" w:line="480" w:lineRule="auto"/>
        <w:rPr>
          <w:rFonts w:ascii="Times New Roman" w:hAnsi="Times New Roman" w:cs="Times New Roman"/>
        </w:rPr>
      </w:pPr>
      <w:r w:rsidRPr="00D121CF">
        <w:rPr>
          <w:rFonts w:ascii="Times New Roman" w:hAnsi="Times New Roman" w:cs="Times New Roman"/>
          <w:i/>
        </w:rPr>
        <w:t xml:space="preserve">RXG – </w:t>
      </w:r>
      <w:r w:rsidRPr="00D121CF">
        <w:rPr>
          <w:rFonts w:ascii="Times New Roman" w:hAnsi="Times New Roman" w:cs="Times New Roman"/>
        </w:rPr>
        <w:t xml:space="preserve">In 2015 at Manchester Crown court a </w:t>
      </w:r>
      <w:r w:rsidR="000B0B49" w:rsidRPr="00D121CF">
        <w:rPr>
          <w:rFonts w:ascii="Times New Roman" w:hAnsi="Times New Roman" w:cs="Times New Roman"/>
        </w:rPr>
        <w:t xml:space="preserve">14-year-old </w:t>
      </w:r>
      <w:r w:rsidRPr="00D121CF">
        <w:rPr>
          <w:rFonts w:ascii="Times New Roman" w:hAnsi="Times New Roman" w:cs="Times New Roman"/>
        </w:rPr>
        <w:t xml:space="preserve">boy </w:t>
      </w:r>
      <w:r w:rsidR="00977CD1" w:rsidRPr="00D121CF">
        <w:rPr>
          <w:rFonts w:ascii="Times New Roman" w:hAnsi="Times New Roman" w:cs="Times New Roman"/>
        </w:rPr>
        <w:t xml:space="preserve">from Blackburn, Lancashire, </w:t>
      </w:r>
      <w:r w:rsidRPr="00D121CF">
        <w:rPr>
          <w:rFonts w:ascii="Times New Roman" w:hAnsi="Times New Roman" w:cs="Times New Roman"/>
        </w:rPr>
        <w:t xml:space="preserve">admitted two charges under section 59 of the Terrorism Act 2000 of inciting terrorism overseas. </w:t>
      </w:r>
      <w:r w:rsidR="00B927B2">
        <w:rPr>
          <w:rFonts w:ascii="Times New Roman" w:hAnsi="Times New Roman" w:cs="Times New Roman"/>
        </w:rPr>
        <w:t xml:space="preserve">He </w:t>
      </w:r>
      <w:r w:rsidR="00B927B2" w:rsidRPr="00D121CF">
        <w:rPr>
          <w:rFonts w:ascii="Times New Roman" w:hAnsi="Times New Roman" w:cs="Times New Roman"/>
        </w:rPr>
        <w:t xml:space="preserve">is the youngest person to be convicted in the UK of any terrorism offence. </w:t>
      </w:r>
      <w:r w:rsidR="000C4771">
        <w:rPr>
          <w:rFonts w:ascii="Times New Roman" w:hAnsi="Times New Roman" w:cs="Times New Roman"/>
        </w:rPr>
        <w:t>I</w:t>
      </w:r>
      <w:r w:rsidR="000C4771" w:rsidRPr="00D121CF">
        <w:rPr>
          <w:rFonts w:ascii="Times New Roman" w:hAnsi="Times New Roman" w:cs="Times New Roman"/>
        </w:rPr>
        <w:t xml:space="preserve">n thousands of </w:t>
      </w:r>
      <w:r w:rsidR="000C4771" w:rsidRPr="00D121CF">
        <w:rPr>
          <w:rFonts w:ascii="Times New Roman" w:hAnsi="Times New Roman" w:cs="Times New Roman"/>
          <w:shd w:val="clear" w:color="auto" w:fill="FFFFFF"/>
        </w:rPr>
        <w:t>encrypted, internet messages</w:t>
      </w:r>
      <w:r w:rsidR="000C4771">
        <w:rPr>
          <w:rFonts w:ascii="Times New Roman" w:hAnsi="Times New Roman" w:cs="Times New Roman"/>
          <w:shd w:val="clear" w:color="auto" w:fill="FFFFFF"/>
        </w:rPr>
        <w:t xml:space="preserve"> he had </w:t>
      </w:r>
      <w:r w:rsidR="000C4771">
        <w:rPr>
          <w:rFonts w:ascii="Times New Roman" w:hAnsi="Times New Roman" w:cs="Times New Roman"/>
        </w:rPr>
        <w:t xml:space="preserve">incited </w:t>
      </w:r>
      <w:r w:rsidR="00D121CF" w:rsidRPr="00D121CF">
        <w:rPr>
          <w:rFonts w:ascii="Times New Roman" w:hAnsi="Times New Roman" w:cs="Times New Roman"/>
          <w:color w:val="121212"/>
          <w:shd w:val="clear" w:color="auto" w:fill="FFFFFF"/>
        </w:rPr>
        <w:t>Sevdet Ramadan Besim</w:t>
      </w:r>
      <w:r w:rsidR="00D121CF">
        <w:rPr>
          <w:rFonts w:ascii="Times New Roman" w:hAnsi="Times New Roman" w:cs="Times New Roman"/>
          <w:color w:val="121212"/>
          <w:shd w:val="clear" w:color="auto" w:fill="FFFFFF"/>
        </w:rPr>
        <w:t xml:space="preserve">, </w:t>
      </w:r>
      <w:r w:rsidR="00FF15FA" w:rsidRPr="00D121CF">
        <w:rPr>
          <w:rFonts w:ascii="Times New Roman" w:hAnsi="Times New Roman" w:cs="Times New Roman"/>
          <w:shd w:val="clear" w:color="auto" w:fill="FFFFFF"/>
        </w:rPr>
        <w:t>a</w:t>
      </w:r>
      <w:r w:rsidR="00D121CF">
        <w:rPr>
          <w:rFonts w:ascii="Times New Roman" w:hAnsi="Times New Roman" w:cs="Times New Roman"/>
          <w:shd w:val="clear" w:color="auto" w:fill="FFFFFF"/>
        </w:rPr>
        <w:t xml:space="preserve"> </w:t>
      </w:r>
      <w:r w:rsidR="00FF15FA" w:rsidRPr="00D121CF">
        <w:rPr>
          <w:rFonts w:ascii="Times New Roman" w:hAnsi="Times New Roman" w:cs="Times New Roman"/>
          <w:shd w:val="clear" w:color="auto" w:fill="FFFFFF"/>
        </w:rPr>
        <w:t>teenage jihad</w:t>
      </w:r>
      <w:r w:rsidR="00D121CF">
        <w:rPr>
          <w:rFonts w:ascii="Times New Roman" w:hAnsi="Times New Roman" w:cs="Times New Roman"/>
          <w:shd w:val="clear" w:color="auto" w:fill="FFFFFF"/>
        </w:rPr>
        <w:t>i who lived in Melbourne, Australia</w:t>
      </w:r>
      <w:r w:rsidR="000C4771">
        <w:rPr>
          <w:rFonts w:ascii="Times New Roman" w:hAnsi="Times New Roman" w:cs="Times New Roman"/>
          <w:shd w:val="clear" w:color="auto" w:fill="FFFFFF"/>
        </w:rPr>
        <w:t>,</w:t>
      </w:r>
      <w:r w:rsidR="00D121CF">
        <w:rPr>
          <w:rFonts w:ascii="Times New Roman" w:hAnsi="Times New Roman" w:cs="Times New Roman"/>
          <w:shd w:val="clear" w:color="auto" w:fill="FFFFFF"/>
        </w:rPr>
        <w:t xml:space="preserve"> </w:t>
      </w:r>
      <w:r w:rsidRPr="00D121CF">
        <w:rPr>
          <w:rFonts w:ascii="Times New Roman" w:hAnsi="Times New Roman" w:cs="Times New Roman"/>
        </w:rPr>
        <w:t xml:space="preserve">to murder police officers during </w:t>
      </w:r>
      <w:r w:rsidR="00A77B16" w:rsidRPr="00D121CF">
        <w:rPr>
          <w:rFonts w:ascii="Times New Roman" w:hAnsi="Times New Roman" w:cs="Times New Roman"/>
        </w:rPr>
        <w:t xml:space="preserve">what was planned to be </w:t>
      </w:r>
      <w:r w:rsidR="00B927B2">
        <w:rPr>
          <w:rFonts w:ascii="Times New Roman" w:hAnsi="Times New Roman" w:cs="Times New Roman"/>
        </w:rPr>
        <w:t xml:space="preserve">an </w:t>
      </w:r>
      <w:r w:rsidRPr="00D121CF">
        <w:rPr>
          <w:rFonts w:ascii="Times New Roman" w:hAnsi="Times New Roman" w:cs="Times New Roman"/>
        </w:rPr>
        <w:t xml:space="preserve">attack on an ANZAC parade in </w:t>
      </w:r>
      <w:r w:rsidR="00D121CF">
        <w:rPr>
          <w:rFonts w:ascii="Times New Roman" w:hAnsi="Times New Roman" w:cs="Times New Roman"/>
        </w:rPr>
        <w:t>that city</w:t>
      </w:r>
      <w:r w:rsidR="00B927B2">
        <w:rPr>
          <w:rFonts w:ascii="Times New Roman" w:hAnsi="Times New Roman" w:cs="Times New Roman"/>
        </w:rPr>
        <w:t xml:space="preserve">. The boy </w:t>
      </w:r>
      <w:r w:rsidR="00031079" w:rsidRPr="00D121CF">
        <w:rPr>
          <w:rFonts w:ascii="Times New Roman" w:hAnsi="Times New Roman" w:cs="Times New Roman"/>
        </w:rPr>
        <w:t>incit</w:t>
      </w:r>
      <w:r w:rsidR="000C4771">
        <w:rPr>
          <w:rFonts w:ascii="Times New Roman" w:hAnsi="Times New Roman" w:cs="Times New Roman"/>
        </w:rPr>
        <w:t xml:space="preserve">ed </w:t>
      </w:r>
      <w:r w:rsidR="00B927B2">
        <w:rPr>
          <w:rFonts w:ascii="Times New Roman" w:hAnsi="Times New Roman" w:cs="Times New Roman"/>
        </w:rPr>
        <w:t>Besi</w:t>
      </w:r>
      <w:r w:rsidR="00D121CF">
        <w:rPr>
          <w:rFonts w:ascii="Times New Roman" w:hAnsi="Times New Roman" w:cs="Times New Roman"/>
        </w:rPr>
        <w:t xml:space="preserve">m to </w:t>
      </w:r>
      <w:r w:rsidRPr="00D121CF">
        <w:rPr>
          <w:rFonts w:ascii="Times New Roman" w:hAnsi="Times New Roman" w:cs="Times New Roman"/>
        </w:rPr>
        <w:t xml:space="preserve">murder </w:t>
      </w:r>
      <w:r w:rsidR="00D121CF" w:rsidRPr="00D121CF">
        <w:rPr>
          <w:rFonts w:ascii="Times New Roman" w:hAnsi="Times New Roman" w:cs="Times New Roman"/>
        </w:rPr>
        <w:t>one such officer</w:t>
      </w:r>
      <w:r w:rsidR="00D121CF">
        <w:rPr>
          <w:rFonts w:ascii="Times New Roman" w:hAnsi="Times New Roman" w:cs="Times New Roman"/>
        </w:rPr>
        <w:t xml:space="preserve"> by beheading</w:t>
      </w:r>
      <w:r w:rsidR="00D121CF" w:rsidRPr="00D121CF">
        <w:rPr>
          <w:rFonts w:ascii="Times New Roman" w:hAnsi="Times New Roman" w:cs="Times New Roman"/>
        </w:rPr>
        <w:t xml:space="preserve">. </w:t>
      </w:r>
      <w:r w:rsidR="000B0B49" w:rsidRPr="00D121CF">
        <w:rPr>
          <w:rFonts w:ascii="Times New Roman" w:hAnsi="Times New Roman" w:cs="Times New Roman"/>
        </w:rPr>
        <w:t>British police discovered the messages</w:t>
      </w:r>
      <w:r w:rsidR="00D121CF">
        <w:rPr>
          <w:rFonts w:ascii="Times New Roman" w:hAnsi="Times New Roman" w:cs="Times New Roman"/>
        </w:rPr>
        <w:t xml:space="preserve"> about the plot</w:t>
      </w:r>
      <w:r w:rsidR="000B0B49" w:rsidRPr="00D121CF">
        <w:rPr>
          <w:rFonts w:ascii="Times New Roman" w:hAnsi="Times New Roman" w:cs="Times New Roman"/>
        </w:rPr>
        <w:t xml:space="preserve">, </w:t>
      </w:r>
      <w:r w:rsidR="00A77B16" w:rsidRPr="00D121CF">
        <w:rPr>
          <w:rFonts w:ascii="Times New Roman" w:hAnsi="Times New Roman" w:cs="Times New Roman"/>
        </w:rPr>
        <w:t xml:space="preserve">and there were no such attacks. </w:t>
      </w:r>
      <w:r w:rsidR="00D121CF" w:rsidRPr="00D121CF">
        <w:rPr>
          <w:rFonts w:ascii="Times New Roman" w:hAnsi="Times New Roman" w:cs="Times New Roman"/>
          <w:color w:val="121212"/>
          <w:shd w:val="clear" w:color="auto" w:fill="FFFFFF"/>
        </w:rPr>
        <w:t>Besim</w:t>
      </w:r>
      <w:r w:rsidR="00D121CF">
        <w:rPr>
          <w:rFonts w:ascii="Times New Roman" w:hAnsi="Times New Roman" w:cs="Times New Roman"/>
          <w:color w:val="121212"/>
          <w:shd w:val="clear" w:color="auto" w:fill="FFFFFF"/>
        </w:rPr>
        <w:t xml:space="preserve">, </w:t>
      </w:r>
      <w:r w:rsidR="00D121CF" w:rsidRPr="00D121CF">
        <w:rPr>
          <w:rFonts w:ascii="Times New Roman" w:hAnsi="Times New Roman" w:cs="Times New Roman"/>
          <w:color w:val="121212"/>
          <w:shd w:val="clear" w:color="auto" w:fill="FFFFFF"/>
        </w:rPr>
        <w:t xml:space="preserve">aged 19, </w:t>
      </w:r>
      <w:r w:rsidR="000C4771">
        <w:rPr>
          <w:rFonts w:ascii="Times New Roman" w:hAnsi="Times New Roman" w:cs="Times New Roman"/>
          <w:color w:val="121212"/>
          <w:shd w:val="clear" w:color="auto" w:fill="FFFFFF"/>
        </w:rPr>
        <w:t xml:space="preserve">was </w:t>
      </w:r>
      <w:r w:rsidR="00D121CF" w:rsidRPr="00D121CF">
        <w:rPr>
          <w:rFonts w:ascii="Times New Roman" w:hAnsi="Times New Roman" w:cs="Times New Roman"/>
          <w:color w:val="121212"/>
          <w:shd w:val="clear" w:color="auto" w:fill="FFFFFF"/>
        </w:rPr>
        <w:t>su</w:t>
      </w:r>
      <w:r w:rsidR="00A77B16" w:rsidRPr="00D121CF">
        <w:rPr>
          <w:rFonts w:ascii="Times New Roman" w:hAnsi="Times New Roman" w:cs="Times New Roman"/>
        </w:rPr>
        <w:t xml:space="preserve">bsequently jailed </w:t>
      </w:r>
      <w:r w:rsidR="008853A9" w:rsidRPr="00D121CF">
        <w:rPr>
          <w:rFonts w:ascii="Times New Roman" w:hAnsi="Times New Roman" w:cs="Times New Roman"/>
        </w:rPr>
        <w:t xml:space="preserve">in Australia </w:t>
      </w:r>
      <w:r w:rsidR="00A77B16" w:rsidRPr="00D121CF">
        <w:rPr>
          <w:rFonts w:ascii="Times New Roman" w:hAnsi="Times New Roman" w:cs="Times New Roman"/>
        </w:rPr>
        <w:t>for his invol</w:t>
      </w:r>
      <w:r w:rsidR="00D121CF" w:rsidRPr="00D121CF">
        <w:rPr>
          <w:rFonts w:ascii="Times New Roman" w:hAnsi="Times New Roman" w:cs="Times New Roman"/>
        </w:rPr>
        <w:t xml:space="preserve">vement in the </w:t>
      </w:r>
      <w:r w:rsidR="00D121CF">
        <w:rPr>
          <w:rFonts w:ascii="Times New Roman" w:hAnsi="Times New Roman" w:cs="Times New Roman"/>
        </w:rPr>
        <w:t xml:space="preserve">plot. </w:t>
      </w:r>
      <w:r w:rsidR="00A77B16" w:rsidRPr="00D121CF">
        <w:rPr>
          <w:rFonts w:ascii="Times New Roman" w:hAnsi="Times New Roman" w:cs="Times New Roman"/>
        </w:rPr>
        <w:t xml:space="preserve">The judge </w:t>
      </w:r>
      <w:r w:rsidR="00031079" w:rsidRPr="00D121CF">
        <w:rPr>
          <w:rFonts w:ascii="Times New Roman" w:hAnsi="Times New Roman" w:cs="Times New Roman"/>
        </w:rPr>
        <w:t>at</w:t>
      </w:r>
      <w:r w:rsidR="00031079">
        <w:rPr>
          <w:rFonts w:ascii="Times New Roman" w:hAnsi="Times New Roman" w:cs="Times New Roman"/>
        </w:rPr>
        <w:t xml:space="preserve"> Manchester </w:t>
      </w:r>
      <w:r w:rsidR="000C4771">
        <w:rPr>
          <w:rFonts w:ascii="Times New Roman" w:hAnsi="Times New Roman" w:cs="Times New Roman"/>
        </w:rPr>
        <w:t xml:space="preserve">- </w:t>
      </w:r>
      <w:r w:rsidR="00B14261">
        <w:rPr>
          <w:rFonts w:ascii="Times New Roman" w:hAnsi="Times New Roman" w:cs="Times New Roman"/>
        </w:rPr>
        <w:t xml:space="preserve">who </w:t>
      </w:r>
      <w:r w:rsidR="00A77B16">
        <w:rPr>
          <w:rFonts w:ascii="Times New Roman" w:hAnsi="Times New Roman" w:cs="Times New Roman"/>
        </w:rPr>
        <w:t xml:space="preserve">sentenced </w:t>
      </w:r>
      <w:r w:rsidR="00B927B2">
        <w:rPr>
          <w:rFonts w:ascii="Times New Roman" w:hAnsi="Times New Roman" w:cs="Times New Roman"/>
        </w:rPr>
        <w:t xml:space="preserve">the boy </w:t>
      </w:r>
      <w:r w:rsidR="00A77B16">
        <w:rPr>
          <w:rFonts w:ascii="Times New Roman" w:hAnsi="Times New Roman" w:cs="Times New Roman"/>
        </w:rPr>
        <w:t>to life imprisonment, with a minimum term of five years</w:t>
      </w:r>
      <w:r w:rsidR="00B14261">
        <w:rPr>
          <w:rFonts w:ascii="Times New Roman" w:hAnsi="Times New Roman" w:cs="Times New Roman"/>
        </w:rPr>
        <w:t xml:space="preserve">, </w:t>
      </w:r>
      <w:r w:rsidR="00D121CF">
        <w:rPr>
          <w:rFonts w:ascii="Times New Roman" w:hAnsi="Times New Roman" w:cs="Times New Roman"/>
        </w:rPr>
        <w:t xml:space="preserve">for the incitement </w:t>
      </w:r>
      <w:r w:rsidR="000C4771">
        <w:rPr>
          <w:rFonts w:ascii="Times New Roman" w:hAnsi="Times New Roman" w:cs="Times New Roman"/>
        </w:rPr>
        <w:t xml:space="preserve">- </w:t>
      </w:r>
      <w:r w:rsidR="00B14261">
        <w:rPr>
          <w:rFonts w:ascii="Times New Roman" w:hAnsi="Times New Roman" w:cs="Times New Roman"/>
        </w:rPr>
        <w:t xml:space="preserve">accepted that </w:t>
      </w:r>
      <w:r w:rsidR="00D121CF">
        <w:rPr>
          <w:rFonts w:ascii="Times New Roman" w:hAnsi="Times New Roman" w:cs="Times New Roman"/>
        </w:rPr>
        <w:t xml:space="preserve">he </w:t>
      </w:r>
      <w:r w:rsidR="00B14261">
        <w:rPr>
          <w:rFonts w:ascii="Times New Roman" w:hAnsi="Times New Roman" w:cs="Times New Roman"/>
        </w:rPr>
        <w:t>had been groomed over the internet by extremist propagandists who either worked for or supported the proscribed terrorist grou</w:t>
      </w:r>
      <w:r w:rsidR="00934D03">
        <w:rPr>
          <w:rFonts w:ascii="Times New Roman" w:hAnsi="Times New Roman" w:cs="Times New Roman"/>
        </w:rPr>
        <w:t>p</w:t>
      </w:r>
      <w:r w:rsidR="00B14261">
        <w:rPr>
          <w:rFonts w:ascii="Times New Roman" w:hAnsi="Times New Roman" w:cs="Times New Roman"/>
        </w:rPr>
        <w:t xml:space="preserve"> ISIS</w:t>
      </w:r>
      <w:bookmarkStart w:id="1" w:name="_Hlk42183086"/>
      <w:r w:rsidR="004849CE">
        <w:rPr>
          <w:rFonts w:ascii="Times New Roman" w:hAnsi="Times New Roman" w:cs="Times New Roman"/>
        </w:rPr>
        <w:t xml:space="preserve"> - </w:t>
      </w:r>
      <w:r w:rsidR="00934D03">
        <w:rPr>
          <w:rFonts w:ascii="Times New Roman" w:hAnsi="Times New Roman" w:cs="Times New Roman"/>
        </w:rPr>
        <w:t>for ‘proscribed’ groups s</w:t>
      </w:r>
      <w:r w:rsidR="00B14261">
        <w:rPr>
          <w:rFonts w:ascii="Times New Roman" w:hAnsi="Times New Roman" w:cs="Times New Roman"/>
        </w:rPr>
        <w:t xml:space="preserve">ee </w:t>
      </w:r>
      <w:r w:rsidR="00934D03">
        <w:rPr>
          <w:rFonts w:ascii="Times New Roman" w:hAnsi="Times New Roman" w:cs="Times New Roman"/>
        </w:rPr>
        <w:t xml:space="preserve">40.2.1 in </w:t>
      </w:r>
      <w:r w:rsidR="00B14261">
        <w:rPr>
          <w:rFonts w:ascii="Times New Roman" w:hAnsi="Times New Roman" w:cs="Times New Roman"/>
        </w:rPr>
        <w:t xml:space="preserve">chapter </w:t>
      </w:r>
      <w:r w:rsidR="00934D03">
        <w:rPr>
          <w:rFonts w:ascii="Times New Roman" w:hAnsi="Times New Roman" w:cs="Times New Roman"/>
        </w:rPr>
        <w:t xml:space="preserve">40 </w:t>
      </w:r>
      <w:r w:rsidR="00B14261">
        <w:rPr>
          <w:rFonts w:ascii="Times New Roman" w:hAnsi="Times New Roman" w:cs="Times New Roman"/>
        </w:rPr>
        <w:t xml:space="preserve">on </w:t>
      </w:r>
      <w:r w:rsidR="00934D03">
        <w:rPr>
          <w:rFonts w:ascii="Times New Roman" w:hAnsi="Times New Roman" w:cs="Times New Roman"/>
        </w:rPr>
        <w:t xml:space="preserve">terrorism law on </w:t>
      </w:r>
      <w:hyperlink r:id="rId10" w:history="1">
        <w:r w:rsidR="00934D03" w:rsidRPr="000C4771">
          <w:rPr>
            <w:rStyle w:val="Hyperlink"/>
            <w:rFonts w:ascii="Times New Roman" w:hAnsi="Times New Roman" w:cs="Times New Roman"/>
            <w:color w:val="auto"/>
            <w:u w:val="none"/>
          </w:rPr>
          <w:t>www.mcnaes.com</w:t>
        </w:r>
      </w:hyperlink>
      <w:r w:rsidR="004849CE">
        <w:rPr>
          <w:rStyle w:val="Hyperlink"/>
          <w:rFonts w:ascii="Times New Roman" w:hAnsi="Times New Roman" w:cs="Times New Roman"/>
          <w:color w:val="auto"/>
          <w:u w:val="none"/>
        </w:rPr>
        <w:t>.</w:t>
      </w:r>
      <w:r w:rsidR="004849CE">
        <w:rPr>
          <w:rFonts w:ascii="Times New Roman" w:hAnsi="Times New Roman" w:cs="Times New Roman"/>
        </w:rPr>
        <w:t xml:space="preserve"> </w:t>
      </w:r>
      <w:r w:rsidR="00B14261">
        <w:rPr>
          <w:rFonts w:ascii="Times New Roman" w:hAnsi="Times New Roman" w:cs="Times New Roman"/>
        </w:rPr>
        <w:t xml:space="preserve">The </w:t>
      </w:r>
      <w:bookmarkEnd w:id="1"/>
      <w:r w:rsidR="00B14261">
        <w:rPr>
          <w:rFonts w:ascii="Times New Roman" w:hAnsi="Times New Roman" w:cs="Times New Roman"/>
        </w:rPr>
        <w:t xml:space="preserve">boy’s identity could not </w:t>
      </w:r>
      <w:r w:rsidR="00A77B16">
        <w:rPr>
          <w:rFonts w:ascii="Times New Roman" w:hAnsi="Times New Roman" w:cs="Times New Roman"/>
        </w:rPr>
        <w:t xml:space="preserve">be reported, because the </w:t>
      </w:r>
      <w:r w:rsidR="00704E7F">
        <w:rPr>
          <w:rFonts w:ascii="Times New Roman" w:hAnsi="Times New Roman" w:cs="Times New Roman"/>
        </w:rPr>
        <w:t xml:space="preserve">court </w:t>
      </w:r>
      <w:r w:rsidR="00A77B16">
        <w:rPr>
          <w:rFonts w:ascii="Times New Roman" w:hAnsi="Times New Roman" w:cs="Times New Roman"/>
        </w:rPr>
        <w:t xml:space="preserve">had imposed an anonymity order under section 45 of the Youth Justice and Criminal Evidence Act 1999. </w:t>
      </w:r>
      <w:r w:rsidR="000C4771">
        <w:rPr>
          <w:rFonts w:ascii="Times New Roman" w:hAnsi="Times New Roman" w:cs="Times New Roman"/>
        </w:rPr>
        <w:t>But a</w:t>
      </w:r>
      <w:r w:rsidR="00A77B16">
        <w:rPr>
          <w:rFonts w:ascii="Times New Roman" w:hAnsi="Times New Roman" w:cs="Times New Roman"/>
        </w:rPr>
        <w:t>s explained in 10</w:t>
      </w:r>
      <w:r w:rsidR="00AB3D05">
        <w:rPr>
          <w:rFonts w:ascii="Times New Roman" w:hAnsi="Times New Roman" w:cs="Times New Roman"/>
        </w:rPr>
        <w:t>.</w:t>
      </w:r>
      <w:r w:rsidR="004849CE">
        <w:rPr>
          <w:rFonts w:ascii="Times New Roman" w:hAnsi="Times New Roman" w:cs="Times New Roman"/>
        </w:rPr>
        <w:t>4</w:t>
      </w:r>
      <w:r w:rsidR="00A77B16">
        <w:rPr>
          <w:rFonts w:ascii="Times New Roman" w:hAnsi="Times New Roman" w:cs="Times New Roman"/>
        </w:rPr>
        <w:t xml:space="preserve"> of the </w:t>
      </w:r>
      <w:r w:rsidR="00A77B16" w:rsidRPr="00A77B16">
        <w:rPr>
          <w:rFonts w:ascii="Times New Roman" w:hAnsi="Times New Roman" w:cs="Times New Roman"/>
          <w:i/>
        </w:rPr>
        <w:t>McNae’s</w:t>
      </w:r>
      <w:r w:rsidR="00A77B16">
        <w:rPr>
          <w:rFonts w:ascii="Times New Roman" w:hAnsi="Times New Roman" w:cs="Times New Roman"/>
        </w:rPr>
        <w:t xml:space="preserve"> book</w:t>
      </w:r>
      <w:r w:rsidR="00AB3D05">
        <w:rPr>
          <w:rFonts w:ascii="Times New Roman" w:hAnsi="Times New Roman" w:cs="Times New Roman"/>
        </w:rPr>
        <w:t xml:space="preserve">, </w:t>
      </w:r>
      <w:r w:rsidR="008F4293">
        <w:rPr>
          <w:rFonts w:ascii="Times New Roman" w:hAnsi="Times New Roman" w:cs="Times New Roman"/>
        </w:rPr>
        <w:t xml:space="preserve">section 45 </w:t>
      </w:r>
      <w:r w:rsidR="00AB3D05">
        <w:rPr>
          <w:rFonts w:ascii="Times New Roman" w:hAnsi="Times New Roman" w:cs="Times New Roman"/>
        </w:rPr>
        <w:t xml:space="preserve">anonymity expires when </w:t>
      </w:r>
      <w:r w:rsidR="00B927B2">
        <w:rPr>
          <w:rFonts w:ascii="Times New Roman" w:hAnsi="Times New Roman" w:cs="Times New Roman"/>
        </w:rPr>
        <w:t xml:space="preserve">the </w:t>
      </w:r>
      <w:r w:rsidR="00AB3D05">
        <w:rPr>
          <w:rFonts w:ascii="Times New Roman" w:hAnsi="Times New Roman" w:cs="Times New Roman"/>
        </w:rPr>
        <w:t xml:space="preserve">juvenile </w:t>
      </w:r>
      <w:r w:rsidR="00B927B2">
        <w:rPr>
          <w:rFonts w:ascii="Times New Roman" w:hAnsi="Times New Roman" w:cs="Times New Roman"/>
        </w:rPr>
        <w:t xml:space="preserve">for whom it was provided </w:t>
      </w:r>
      <w:r w:rsidR="00AB3D05">
        <w:rPr>
          <w:rFonts w:ascii="Times New Roman" w:hAnsi="Times New Roman" w:cs="Times New Roman"/>
        </w:rPr>
        <w:t>reaches the age of 18. In 2019</w:t>
      </w:r>
      <w:r w:rsidR="008640F8">
        <w:rPr>
          <w:rFonts w:ascii="Times New Roman" w:hAnsi="Times New Roman" w:cs="Times New Roman"/>
        </w:rPr>
        <w:t xml:space="preserve"> </w:t>
      </w:r>
      <w:r w:rsidR="008F4293">
        <w:rPr>
          <w:rFonts w:ascii="Times New Roman" w:hAnsi="Times New Roman" w:cs="Times New Roman"/>
        </w:rPr>
        <w:t xml:space="preserve">his </w:t>
      </w:r>
      <w:r w:rsidR="001A3F2F">
        <w:rPr>
          <w:rFonts w:ascii="Times New Roman" w:hAnsi="Times New Roman" w:cs="Times New Roman"/>
        </w:rPr>
        <w:t xml:space="preserve">barrister </w:t>
      </w:r>
      <w:r w:rsidR="00AB3D05">
        <w:rPr>
          <w:rFonts w:ascii="Times New Roman" w:hAnsi="Times New Roman" w:cs="Times New Roman"/>
        </w:rPr>
        <w:t>asked the High Court to use its power</w:t>
      </w:r>
      <w:r w:rsidR="008F4293">
        <w:rPr>
          <w:rFonts w:ascii="Times New Roman" w:hAnsi="Times New Roman" w:cs="Times New Roman"/>
        </w:rPr>
        <w:t>s</w:t>
      </w:r>
      <w:r w:rsidR="00AB3D05">
        <w:rPr>
          <w:rFonts w:ascii="Times New Roman" w:hAnsi="Times New Roman" w:cs="Times New Roman"/>
        </w:rPr>
        <w:t xml:space="preserve"> under the European Convention </w:t>
      </w:r>
      <w:r w:rsidR="000C4771">
        <w:rPr>
          <w:rFonts w:ascii="Times New Roman" w:hAnsi="Times New Roman" w:cs="Times New Roman"/>
        </w:rPr>
        <w:t>t</w:t>
      </w:r>
      <w:r w:rsidR="004849CE">
        <w:rPr>
          <w:rFonts w:ascii="Times New Roman" w:hAnsi="Times New Roman" w:cs="Times New Roman"/>
        </w:rPr>
        <w:t>o</w:t>
      </w:r>
      <w:r w:rsidR="000C4771">
        <w:rPr>
          <w:rFonts w:ascii="Times New Roman" w:hAnsi="Times New Roman" w:cs="Times New Roman"/>
        </w:rPr>
        <w:t xml:space="preserve"> make </w:t>
      </w:r>
      <w:r w:rsidR="00FF15FA">
        <w:rPr>
          <w:rFonts w:ascii="Times New Roman" w:hAnsi="Times New Roman" w:cs="Times New Roman"/>
        </w:rPr>
        <w:t xml:space="preserve">an injunction </w:t>
      </w:r>
      <w:r w:rsidR="00AB3D05">
        <w:rPr>
          <w:rFonts w:ascii="Times New Roman" w:hAnsi="Times New Roman" w:cs="Times New Roman"/>
        </w:rPr>
        <w:t xml:space="preserve">to give </w:t>
      </w:r>
      <w:r w:rsidR="00704E7F">
        <w:rPr>
          <w:rFonts w:ascii="Times New Roman" w:hAnsi="Times New Roman" w:cs="Times New Roman"/>
        </w:rPr>
        <w:t xml:space="preserve">the boy – who at that time was in a secure home for children – </w:t>
      </w:r>
      <w:r w:rsidR="008853A9">
        <w:rPr>
          <w:rFonts w:ascii="Times New Roman" w:hAnsi="Times New Roman" w:cs="Times New Roman"/>
        </w:rPr>
        <w:t xml:space="preserve">lifelong </w:t>
      </w:r>
      <w:r w:rsidR="00AB3D05">
        <w:rPr>
          <w:rFonts w:ascii="Times New Roman" w:hAnsi="Times New Roman" w:cs="Times New Roman"/>
        </w:rPr>
        <w:t xml:space="preserve">anonymity </w:t>
      </w:r>
      <w:r w:rsidR="008F4293">
        <w:rPr>
          <w:rFonts w:ascii="Times New Roman" w:hAnsi="Times New Roman" w:cs="Times New Roman"/>
        </w:rPr>
        <w:t xml:space="preserve">as regards </w:t>
      </w:r>
      <w:r w:rsidR="00AB3D05">
        <w:rPr>
          <w:rFonts w:ascii="Times New Roman" w:hAnsi="Times New Roman" w:cs="Times New Roman"/>
        </w:rPr>
        <w:t>coverage of the criminal proceedings against him</w:t>
      </w:r>
      <w:r w:rsidR="000C4771">
        <w:rPr>
          <w:rFonts w:ascii="Times New Roman" w:hAnsi="Times New Roman" w:cs="Times New Roman"/>
        </w:rPr>
        <w:t xml:space="preserve"> for the incitement. </w:t>
      </w:r>
      <w:r w:rsidR="00FF15FA">
        <w:rPr>
          <w:rFonts w:ascii="Times New Roman" w:hAnsi="Times New Roman" w:cs="Times New Roman"/>
        </w:rPr>
        <w:t xml:space="preserve">The barrister argued that </w:t>
      </w:r>
      <w:r w:rsidR="001F140F">
        <w:rPr>
          <w:rFonts w:ascii="Times New Roman" w:hAnsi="Times New Roman" w:cs="Times New Roman"/>
        </w:rPr>
        <w:t>if it bec</w:t>
      </w:r>
      <w:r w:rsidR="008853A9">
        <w:rPr>
          <w:rFonts w:ascii="Times New Roman" w:hAnsi="Times New Roman" w:cs="Times New Roman"/>
        </w:rPr>
        <w:t>a</w:t>
      </w:r>
      <w:r w:rsidR="001F140F">
        <w:rPr>
          <w:rFonts w:ascii="Times New Roman" w:hAnsi="Times New Roman" w:cs="Times New Roman"/>
        </w:rPr>
        <w:t xml:space="preserve">me known </w:t>
      </w:r>
      <w:r w:rsidR="00FF15FA">
        <w:rPr>
          <w:rFonts w:ascii="Times New Roman" w:hAnsi="Times New Roman" w:cs="Times New Roman"/>
        </w:rPr>
        <w:t xml:space="preserve">that the boy </w:t>
      </w:r>
      <w:r w:rsidR="001F140F">
        <w:rPr>
          <w:rFonts w:ascii="Times New Roman" w:hAnsi="Times New Roman" w:cs="Times New Roman"/>
        </w:rPr>
        <w:t>was a convicted terrorist he would be at risk of attack in the adult prison he was due to be transferred to; that he was not ‘streetwise</w:t>
      </w:r>
      <w:r w:rsidR="000C4771">
        <w:rPr>
          <w:rFonts w:ascii="Times New Roman" w:hAnsi="Times New Roman" w:cs="Times New Roman"/>
        </w:rPr>
        <w:t xml:space="preserve">’ and so the transfer </w:t>
      </w:r>
      <w:r w:rsidR="001F140F">
        <w:rPr>
          <w:rFonts w:ascii="Times New Roman" w:hAnsi="Times New Roman" w:cs="Times New Roman"/>
        </w:rPr>
        <w:t>would be traumatic in any event</w:t>
      </w:r>
      <w:r w:rsidR="008853A9">
        <w:rPr>
          <w:rFonts w:ascii="Times New Roman" w:hAnsi="Times New Roman" w:cs="Times New Roman"/>
        </w:rPr>
        <w:t xml:space="preserve">; </w:t>
      </w:r>
      <w:r w:rsidR="000C4771">
        <w:rPr>
          <w:rFonts w:ascii="Times New Roman" w:hAnsi="Times New Roman" w:cs="Times New Roman"/>
        </w:rPr>
        <w:t xml:space="preserve">that </w:t>
      </w:r>
      <w:r w:rsidR="008853A9">
        <w:rPr>
          <w:rFonts w:ascii="Times New Roman" w:hAnsi="Times New Roman" w:cs="Times New Roman"/>
        </w:rPr>
        <w:t>a</w:t>
      </w:r>
      <w:r w:rsidR="001F140F">
        <w:rPr>
          <w:rFonts w:ascii="Times New Roman" w:hAnsi="Times New Roman" w:cs="Times New Roman"/>
        </w:rPr>
        <w:t xml:space="preserve"> psychologist </w:t>
      </w:r>
      <w:r w:rsidR="008853A9">
        <w:rPr>
          <w:rFonts w:ascii="Times New Roman" w:hAnsi="Times New Roman" w:cs="Times New Roman"/>
        </w:rPr>
        <w:t xml:space="preserve">had said </w:t>
      </w:r>
      <w:r w:rsidR="001F140F">
        <w:rPr>
          <w:rFonts w:ascii="Times New Roman" w:hAnsi="Times New Roman" w:cs="Times New Roman"/>
        </w:rPr>
        <w:t>that it was probable that allowing the boy to be identified, and so suffer the stigma and shame of being known as a terrorist, would have a profound impact on his psychological well-being and would undo progress he had already made in rehabilitation</w:t>
      </w:r>
      <w:r w:rsidR="003A34A7">
        <w:rPr>
          <w:rFonts w:ascii="Times New Roman" w:hAnsi="Times New Roman" w:cs="Times New Roman"/>
        </w:rPr>
        <w:t xml:space="preserve">. The barrister argued too that the boy had </w:t>
      </w:r>
      <w:r w:rsidR="00636CD6">
        <w:rPr>
          <w:rFonts w:ascii="Times New Roman" w:hAnsi="Times New Roman" w:cs="Times New Roman"/>
        </w:rPr>
        <w:t>been diagnosed as having ‘high functioning autism’</w:t>
      </w:r>
      <w:r w:rsidR="001F140F">
        <w:rPr>
          <w:rFonts w:ascii="Times New Roman" w:hAnsi="Times New Roman" w:cs="Times New Roman"/>
        </w:rPr>
        <w:t xml:space="preserve">, and that his autism made him vulnerable to </w:t>
      </w:r>
      <w:r w:rsidR="00B927B2">
        <w:rPr>
          <w:rFonts w:ascii="Times New Roman" w:hAnsi="Times New Roman" w:cs="Times New Roman"/>
        </w:rPr>
        <w:t xml:space="preserve">further </w:t>
      </w:r>
      <w:r w:rsidR="001F140F">
        <w:rPr>
          <w:rFonts w:ascii="Times New Roman" w:hAnsi="Times New Roman" w:cs="Times New Roman"/>
        </w:rPr>
        <w:t>exploitation by extremists</w:t>
      </w:r>
      <w:r w:rsidR="00B927B2">
        <w:rPr>
          <w:rFonts w:ascii="Times New Roman" w:hAnsi="Times New Roman" w:cs="Times New Roman"/>
        </w:rPr>
        <w:t xml:space="preserve">. The argument was </w:t>
      </w:r>
      <w:r w:rsidR="003B41AF">
        <w:rPr>
          <w:rFonts w:ascii="Times New Roman" w:hAnsi="Times New Roman" w:cs="Times New Roman"/>
        </w:rPr>
        <w:t>that allowing him to be identified would mean prisoners who shared the extremist ideology of ISIS would</w:t>
      </w:r>
      <w:r w:rsidR="00B927B2">
        <w:rPr>
          <w:rFonts w:ascii="Times New Roman" w:hAnsi="Times New Roman" w:cs="Times New Roman"/>
        </w:rPr>
        <w:t>,</w:t>
      </w:r>
      <w:r w:rsidR="003B41AF">
        <w:rPr>
          <w:rFonts w:ascii="Times New Roman" w:hAnsi="Times New Roman" w:cs="Times New Roman"/>
        </w:rPr>
        <w:t xml:space="preserve"> </w:t>
      </w:r>
      <w:r w:rsidR="001F140F">
        <w:rPr>
          <w:rFonts w:ascii="Times New Roman" w:hAnsi="Times New Roman" w:cs="Times New Roman"/>
        </w:rPr>
        <w:t>know</w:t>
      </w:r>
      <w:r w:rsidR="00B927B2">
        <w:rPr>
          <w:rFonts w:ascii="Times New Roman" w:hAnsi="Times New Roman" w:cs="Times New Roman"/>
        </w:rPr>
        <w:t xml:space="preserve">ing of his past crimes, </w:t>
      </w:r>
      <w:r w:rsidR="003B41AF">
        <w:rPr>
          <w:rFonts w:ascii="Times New Roman" w:hAnsi="Times New Roman" w:cs="Times New Roman"/>
        </w:rPr>
        <w:t>seek to re-radicalise him</w:t>
      </w:r>
      <w:r w:rsidR="001A3F2F">
        <w:rPr>
          <w:rFonts w:ascii="Times New Roman" w:hAnsi="Times New Roman" w:cs="Times New Roman"/>
        </w:rPr>
        <w:t xml:space="preserve">, particularly in view of his </w:t>
      </w:r>
      <w:r w:rsidR="008853A9">
        <w:rPr>
          <w:rFonts w:ascii="Times New Roman" w:hAnsi="Times New Roman" w:cs="Times New Roman"/>
        </w:rPr>
        <w:t xml:space="preserve">‘poster boy’ </w:t>
      </w:r>
      <w:r w:rsidR="001A3F2F">
        <w:rPr>
          <w:rFonts w:ascii="Times New Roman" w:hAnsi="Times New Roman" w:cs="Times New Roman"/>
        </w:rPr>
        <w:t xml:space="preserve">propaganda value to them of being the youngest such </w:t>
      </w:r>
      <w:r w:rsidR="001A3F2F">
        <w:rPr>
          <w:rFonts w:ascii="Times New Roman" w:hAnsi="Times New Roman" w:cs="Times New Roman"/>
        </w:rPr>
        <w:lastRenderedPageBreak/>
        <w:t xml:space="preserve">offender, and that would increase a risk to the public by making </w:t>
      </w:r>
      <w:r w:rsidR="008853A9">
        <w:rPr>
          <w:rFonts w:ascii="Times New Roman" w:hAnsi="Times New Roman" w:cs="Times New Roman"/>
        </w:rPr>
        <w:t xml:space="preserve">him </w:t>
      </w:r>
      <w:r w:rsidR="001A3F2F">
        <w:rPr>
          <w:rFonts w:ascii="Times New Roman" w:hAnsi="Times New Roman" w:cs="Times New Roman"/>
        </w:rPr>
        <w:t>more likely to commit further terroris</w:t>
      </w:r>
      <w:r w:rsidR="008853A9">
        <w:rPr>
          <w:rFonts w:ascii="Times New Roman" w:hAnsi="Times New Roman" w:cs="Times New Roman"/>
        </w:rPr>
        <w:t>m</w:t>
      </w:r>
      <w:r w:rsidR="001A3F2F">
        <w:rPr>
          <w:rFonts w:ascii="Times New Roman" w:hAnsi="Times New Roman" w:cs="Times New Roman"/>
        </w:rPr>
        <w:t xml:space="preserve"> offences</w:t>
      </w:r>
      <w:r w:rsidR="003A34A7">
        <w:rPr>
          <w:rFonts w:ascii="Times New Roman" w:hAnsi="Times New Roman" w:cs="Times New Roman"/>
        </w:rPr>
        <w:t xml:space="preserve">. The barrister said that </w:t>
      </w:r>
      <w:r w:rsidR="00704E7F">
        <w:rPr>
          <w:rFonts w:ascii="Times New Roman" w:hAnsi="Times New Roman" w:cs="Times New Roman"/>
        </w:rPr>
        <w:t xml:space="preserve">coverage of the criminal proceedings against </w:t>
      </w:r>
      <w:r w:rsidR="003A34A7">
        <w:rPr>
          <w:rFonts w:ascii="Times New Roman" w:hAnsi="Times New Roman" w:cs="Times New Roman"/>
        </w:rPr>
        <w:t xml:space="preserve">the boy in 2015 </w:t>
      </w:r>
      <w:r w:rsidR="00704E7F">
        <w:rPr>
          <w:rFonts w:ascii="Times New Roman" w:hAnsi="Times New Roman" w:cs="Times New Roman"/>
        </w:rPr>
        <w:t>had already generated a public reaction to him which was overwhelmingly negative</w:t>
      </w:r>
      <w:r w:rsidR="003B41AF">
        <w:rPr>
          <w:rFonts w:ascii="Times New Roman" w:hAnsi="Times New Roman" w:cs="Times New Roman"/>
        </w:rPr>
        <w:t>, including death threats</w:t>
      </w:r>
      <w:r w:rsidR="00B927B2">
        <w:rPr>
          <w:rFonts w:ascii="Times New Roman" w:hAnsi="Times New Roman" w:cs="Times New Roman"/>
        </w:rPr>
        <w:t>,</w:t>
      </w:r>
      <w:r w:rsidR="001A3F2F">
        <w:rPr>
          <w:rFonts w:ascii="Times New Roman" w:hAnsi="Times New Roman" w:cs="Times New Roman"/>
        </w:rPr>
        <w:t xml:space="preserve"> </w:t>
      </w:r>
      <w:r w:rsidR="003A34A7">
        <w:rPr>
          <w:rFonts w:ascii="Times New Roman" w:hAnsi="Times New Roman" w:cs="Times New Roman"/>
        </w:rPr>
        <w:t xml:space="preserve">and </w:t>
      </w:r>
      <w:r w:rsidR="001A3F2F">
        <w:rPr>
          <w:rFonts w:ascii="Times New Roman" w:hAnsi="Times New Roman" w:cs="Times New Roman"/>
        </w:rPr>
        <w:t>that if he was identified as having such convictions</w:t>
      </w:r>
      <w:r w:rsidR="003A34A7">
        <w:rPr>
          <w:rFonts w:ascii="Times New Roman" w:hAnsi="Times New Roman" w:cs="Times New Roman"/>
        </w:rPr>
        <w:t xml:space="preserve">, </w:t>
      </w:r>
      <w:r w:rsidR="001A3F2F">
        <w:rPr>
          <w:rFonts w:ascii="Times New Roman" w:hAnsi="Times New Roman" w:cs="Times New Roman"/>
        </w:rPr>
        <w:t xml:space="preserve">that would be embedded </w:t>
      </w:r>
      <w:r w:rsidR="003A34A7">
        <w:rPr>
          <w:rFonts w:ascii="Times New Roman" w:hAnsi="Times New Roman" w:cs="Times New Roman"/>
        </w:rPr>
        <w:t xml:space="preserve">via the internet </w:t>
      </w:r>
      <w:r w:rsidR="001A3F2F">
        <w:rPr>
          <w:rFonts w:ascii="Times New Roman" w:hAnsi="Times New Roman" w:cs="Times New Roman"/>
        </w:rPr>
        <w:t>in the public domain and make him globally infamous</w:t>
      </w:r>
      <w:r w:rsidR="00704E7F">
        <w:rPr>
          <w:rFonts w:ascii="Times New Roman" w:hAnsi="Times New Roman" w:cs="Times New Roman"/>
        </w:rPr>
        <w:t xml:space="preserve">. </w:t>
      </w:r>
      <w:r w:rsidR="003B41AF">
        <w:rPr>
          <w:rFonts w:ascii="Times New Roman" w:hAnsi="Times New Roman" w:cs="Times New Roman"/>
        </w:rPr>
        <w:t xml:space="preserve">However, </w:t>
      </w:r>
      <w:r w:rsidR="008853A9">
        <w:rPr>
          <w:rFonts w:ascii="Times New Roman" w:hAnsi="Times New Roman" w:cs="Times New Roman"/>
        </w:rPr>
        <w:t xml:space="preserve">in a submission to the Hugh Court </w:t>
      </w:r>
      <w:r w:rsidR="003B41AF">
        <w:rPr>
          <w:rFonts w:ascii="Times New Roman" w:hAnsi="Times New Roman" w:cs="Times New Roman"/>
        </w:rPr>
        <w:t>the Ministry of Justice adopt</w:t>
      </w:r>
      <w:r w:rsidR="008853A9">
        <w:rPr>
          <w:rFonts w:ascii="Times New Roman" w:hAnsi="Times New Roman" w:cs="Times New Roman"/>
        </w:rPr>
        <w:t>ed</w:t>
      </w:r>
      <w:r w:rsidR="003B41AF">
        <w:rPr>
          <w:rFonts w:ascii="Times New Roman" w:hAnsi="Times New Roman" w:cs="Times New Roman"/>
        </w:rPr>
        <w:t xml:space="preserve"> a neutral position on whether the boy should have continued anonymity, </w:t>
      </w:r>
      <w:r w:rsidR="008853A9">
        <w:rPr>
          <w:rFonts w:ascii="Times New Roman" w:hAnsi="Times New Roman" w:cs="Times New Roman"/>
        </w:rPr>
        <w:t xml:space="preserve">saying </w:t>
      </w:r>
      <w:r w:rsidR="003B41AF">
        <w:rPr>
          <w:rFonts w:ascii="Times New Roman" w:hAnsi="Times New Roman" w:cs="Times New Roman"/>
        </w:rPr>
        <w:t>that its experience of managing other terrorists and young offenders was that reporting of an offender’s identity rarely manifested itself in any increase of any risk of threat or violence to the offender</w:t>
      </w:r>
      <w:r w:rsidR="00D20711">
        <w:rPr>
          <w:rFonts w:ascii="Times New Roman" w:hAnsi="Times New Roman" w:cs="Times New Roman"/>
        </w:rPr>
        <w:t xml:space="preserve">; </w:t>
      </w:r>
      <w:r w:rsidR="003B41AF">
        <w:rPr>
          <w:rFonts w:ascii="Times New Roman" w:hAnsi="Times New Roman" w:cs="Times New Roman"/>
        </w:rPr>
        <w:t>that there was no current assessed threat of real or immediate risk</w:t>
      </w:r>
      <w:r w:rsidR="004849CE">
        <w:rPr>
          <w:rStyle w:val="FootnoteReference"/>
          <w:rFonts w:ascii="Times New Roman" w:hAnsi="Times New Roman" w:cs="Times New Roman"/>
        </w:rPr>
        <w:t xml:space="preserve"> </w:t>
      </w:r>
      <w:r w:rsidR="004849CE">
        <w:rPr>
          <w:rFonts w:ascii="Times New Roman" w:hAnsi="Times New Roman" w:cs="Times New Roman"/>
        </w:rPr>
        <w:t>t</w:t>
      </w:r>
      <w:r w:rsidR="003B41AF">
        <w:rPr>
          <w:rFonts w:ascii="Times New Roman" w:hAnsi="Times New Roman" w:cs="Times New Roman"/>
        </w:rPr>
        <w:t xml:space="preserve">o </w:t>
      </w:r>
      <w:r w:rsidR="00F3363D">
        <w:rPr>
          <w:rFonts w:ascii="Times New Roman" w:hAnsi="Times New Roman" w:cs="Times New Roman"/>
        </w:rPr>
        <w:t>the boy’s l</w:t>
      </w:r>
      <w:r w:rsidR="003B41AF">
        <w:rPr>
          <w:rFonts w:ascii="Times New Roman" w:hAnsi="Times New Roman" w:cs="Times New Roman"/>
        </w:rPr>
        <w:t>ife either from his current secure setting or the wider public</w:t>
      </w:r>
      <w:r w:rsidR="00D20711">
        <w:rPr>
          <w:rFonts w:ascii="Times New Roman" w:hAnsi="Times New Roman" w:cs="Times New Roman"/>
        </w:rPr>
        <w:t xml:space="preserve">; and that </w:t>
      </w:r>
      <w:r w:rsidR="00EA385B">
        <w:rPr>
          <w:rFonts w:ascii="Times New Roman" w:hAnsi="Times New Roman" w:cs="Times New Roman"/>
        </w:rPr>
        <w:t xml:space="preserve">it felt that management strategies could be effectively deployed to support his rehabilitation were the media </w:t>
      </w:r>
      <w:r w:rsidR="008853A9">
        <w:rPr>
          <w:rFonts w:ascii="Times New Roman" w:hAnsi="Times New Roman" w:cs="Times New Roman"/>
        </w:rPr>
        <w:t xml:space="preserve">to </w:t>
      </w:r>
      <w:r w:rsidR="00EA385B">
        <w:rPr>
          <w:rFonts w:ascii="Times New Roman" w:hAnsi="Times New Roman" w:cs="Times New Roman"/>
        </w:rPr>
        <w:t>be allowed to identify him</w:t>
      </w:r>
      <w:r w:rsidR="004849CE">
        <w:rPr>
          <w:rFonts w:ascii="Times New Roman" w:hAnsi="Times New Roman" w:cs="Times New Roman"/>
        </w:rPr>
        <w:t xml:space="preserve">. For the ‘real and immediate risk’ criterion- see </w:t>
      </w:r>
      <w:r w:rsidR="004849CE" w:rsidRPr="004849CE">
        <w:rPr>
          <w:rFonts w:ascii="Times New Roman" w:hAnsi="Times New Roman" w:cs="Times New Roman"/>
          <w:i/>
          <w:iCs/>
        </w:rPr>
        <w:t>McNae’s</w:t>
      </w:r>
      <w:r w:rsidR="004849CE">
        <w:rPr>
          <w:rFonts w:ascii="Times New Roman" w:hAnsi="Times New Roman" w:cs="Times New Roman"/>
        </w:rPr>
        <w:t xml:space="preserve"> 16.9</w:t>
      </w:r>
      <w:r w:rsidR="003B41AF">
        <w:rPr>
          <w:rFonts w:ascii="Times New Roman" w:hAnsi="Times New Roman" w:cs="Times New Roman"/>
        </w:rPr>
        <w:t xml:space="preserve">. </w:t>
      </w:r>
      <w:r w:rsidR="00F3363D">
        <w:rPr>
          <w:rFonts w:ascii="Times New Roman" w:hAnsi="Times New Roman" w:cs="Times New Roman"/>
        </w:rPr>
        <w:t xml:space="preserve">The Press Association, arguing against the boy being given anonymity </w:t>
      </w:r>
      <w:r w:rsidR="00414B0D">
        <w:rPr>
          <w:rFonts w:ascii="Times New Roman" w:hAnsi="Times New Roman" w:cs="Times New Roman"/>
        </w:rPr>
        <w:t xml:space="preserve">beyond the age of </w:t>
      </w:r>
      <w:r w:rsidR="00F3363D">
        <w:rPr>
          <w:rFonts w:ascii="Times New Roman" w:hAnsi="Times New Roman" w:cs="Times New Roman"/>
        </w:rPr>
        <w:t>18, pointed out that when Parliament created section 45A of the 1999 Act as a means of giving</w:t>
      </w:r>
      <w:r w:rsidR="003A34A7">
        <w:rPr>
          <w:rFonts w:ascii="Times New Roman" w:hAnsi="Times New Roman" w:cs="Times New Roman"/>
        </w:rPr>
        <w:t xml:space="preserve"> some </w:t>
      </w:r>
      <w:r w:rsidR="000C4771">
        <w:rPr>
          <w:rFonts w:ascii="Times New Roman" w:hAnsi="Times New Roman" w:cs="Times New Roman"/>
        </w:rPr>
        <w:t xml:space="preserve">juveniles </w:t>
      </w:r>
      <w:r w:rsidR="00F3363D">
        <w:rPr>
          <w:rFonts w:ascii="Times New Roman" w:hAnsi="Times New Roman" w:cs="Times New Roman"/>
        </w:rPr>
        <w:t>lifetime anon</w:t>
      </w:r>
      <w:r w:rsidR="000C4771">
        <w:rPr>
          <w:rFonts w:ascii="Times New Roman" w:hAnsi="Times New Roman" w:cs="Times New Roman"/>
        </w:rPr>
        <w:t xml:space="preserve">ymity in respect of criminal cases in which they were witnesses, </w:t>
      </w:r>
      <w:r w:rsidR="00F3363D">
        <w:rPr>
          <w:rFonts w:ascii="Times New Roman" w:hAnsi="Times New Roman" w:cs="Times New Roman"/>
        </w:rPr>
        <w:t>it had de</w:t>
      </w:r>
      <w:r w:rsidR="003A34A7">
        <w:rPr>
          <w:rFonts w:ascii="Times New Roman" w:hAnsi="Times New Roman" w:cs="Times New Roman"/>
        </w:rPr>
        <w:t xml:space="preserve">cided against section 45A </w:t>
      </w:r>
      <w:r w:rsidR="00F3363D">
        <w:rPr>
          <w:rFonts w:ascii="Times New Roman" w:hAnsi="Times New Roman" w:cs="Times New Roman"/>
        </w:rPr>
        <w:t>provid</w:t>
      </w:r>
      <w:r w:rsidR="003A34A7">
        <w:rPr>
          <w:rFonts w:ascii="Times New Roman" w:hAnsi="Times New Roman" w:cs="Times New Roman"/>
        </w:rPr>
        <w:t xml:space="preserve">ing </w:t>
      </w:r>
      <w:r w:rsidR="00F3363D">
        <w:rPr>
          <w:rFonts w:ascii="Times New Roman" w:hAnsi="Times New Roman" w:cs="Times New Roman"/>
        </w:rPr>
        <w:t>that for juvenile defendants</w:t>
      </w:r>
      <w:r w:rsidR="000162C7">
        <w:rPr>
          <w:rFonts w:ascii="Times New Roman" w:hAnsi="Times New Roman" w:cs="Times New Roman"/>
        </w:rPr>
        <w:t xml:space="preserve">. For context, see </w:t>
      </w:r>
      <w:r w:rsidR="000162C7" w:rsidRPr="000162C7">
        <w:rPr>
          <w:rFonts w:ascii="Times New Roman" w:hAnsi="Times New Roman" w:cs="Times New Roman"/>
          <w:i/>
          <w:iCs/>
        </w:rPr>
        <w:t>McNae’s</w:t>
      </w:r>
      <w:r w:rsidR="000162C7">
        <w:rPr>
          <w:rFonts w:ascii="Times New Roman" w:hAnsi="Times New Roman" w:cs="Times New Roman"/>
        </w:rPr>
        <w:t xml:space="preserve"> 10.4.2.</w:t>
      </w:r>
      <w:r w:rsidR="000162C7">
        <w:rPr>
          <w:rStyle w:val="FootnoteReference"/>
          <w:rFonts w:ascii="Times New Roman" w:hAnsi="Times New Roman" w:cs="Times New Roman"/>
        </w:rPr>
        <w:t xml:space="preserve"> </w:t>
      </w:r>
      <w:r w:rsidR="000162C7">
        <w:rPr>
          <w:rFonts w:ascii="Times New Roman" w:hAnsi="Times New Roman" w:cs="Times New Roman"/>
        </w:rPr>
        <w:t>I</w:t>
      </w:r>
      <w:r w:rsidR="00F3363D">
        <w:rPr>
          <w:rFonts w:ascii="Times New Roman" w:hAnsi="Times New Roman" w:cs="Times New Roman"/>
        </w:rPr>
        <w:t xml:space="preserve">n the High Court’s </w:t>
      </w:r>
      <w:r w:rsidR="00B97EBC">
        <w:rPr>
          <w:rFonts w:ascii="Times New Roman" w:hAnsi="Times New Roman" w:cs="Times New Roman"/>
        </w:rPr>
        <w:t xml:space="preserve">judgment </w:t>
      </w:r>
      <w:r w:rsidR="00F3363D">
        <w:rPr>
          <w:rFonts w:ascii="Times New Roman" w:hAnsi="Times New Roman" w:cs="Times New Roman"/>
        </w:rPr>
        <w:t xml:space="preserve">- </w:t>
      </w:r>
      <w:r w:rsidR="00B97EBC">
        <w:rPr>
          <w:rFonts w:ascii="Times New Roman" w:hAnsi="Times New Roman" w:cs="Times New Roman"/>
        </w:rPr>
        <w:t>in which the boy is referred to as RXG</w:t>
      </w:r>
      <w:r w:rsidR="00F3363D">
        <w:rPr>
          <w:rFonts w:ascii="Times New Roman" w:hAnsi="Times New Roman" w:cs="Times New Roman"/>
        </w:rPr>
        <w:t xml:space="preserve"> - </w:t>
      </w:r>
      <w:r w:rsidR="008F4293">
        <w:rPr>
          <w:rFonts w:ascii="Times New Roman" w:hAnsi="Times New Roman" w:cs="Times New Roman"/>
        </w:rPr>
        <w:t xml:space="preserve">Mr Justice Nicklin </w:t>
      </w:r>
      <w:r w:rsidR="008640F8">
        <w:rPr>
          <w:rFonts w:ascii="Times New Roman" w:hAnsi="Times New Roman" w:cs="Times New Roman"/>
        </w:rPr>
        <w:t>and Dam</w:t>
      </w:r>
      <w:r w:rsidR="001F140F">
        <w:rPr>
          <w:rFonts w:ascii="Times New Roman" w:hAnsi="Times New Roman" w:cs="Times New Roman"/>
        </w:rPr>
        <w:t>e</w:t>
      </w:r>
      <w:r w:rsidR="00F3363D">
        <w:rPr>
          <w:rFonts w:ascii="Times New Roman" w:hAnsi="Times New Roman" w:cs="Times New Roman"/>
        </w:rPr>
        <w:t xml:space="preserve"> </w:t>
      </w:r>
      <w:r w:rsidR="008640F8">
        <w:rPr>
          <w:rFonts w:ascii="Times New Roman" w:hAnsi="Times New Roman" w:cs="Times New Roman"/>
        </w:rPr>
        <w:t>Victoria Sharp PQBD</w:t>
      </w:r>
      <w:r w:rsidR="001F140F">
        <w:rPr>
          <w:rFonts w:ascii="Times New Roman" w:hAnsi="Times New Roman" w:cs="Times New Roman"/>
        </w:rPr>
        <w:t xml:space="preserve"> ruled that it had not been convincingly established that allowing RXG to be identified would put him at real and immediate risk of serious harm, </w:t>
      </w:r>
      <w:r w:rsidR="000C4771">
        <w:rPr>
          <w:rFonts w:ascii="Times New Roman" w:hAnsi="Times New Roman" w:cs="Times New Roman"/>
        </w:rPr>
        <w:t xml:space="preserve">and </w:t>
      </w:r>
      <w:r w:rsidR="001F140F">
        <w:rPr>
          <w:rFonts w:ascii="Times New Roman" w:hAnsi="Times New Roman" w:cs="Times New Roman"/>
        </w:rPr>
        <w:t>that therefore his rights under Articles 2 and 3 of the Convention were not engaged.</w:t>
      </w:r>
      <w:r w:rsidR="000162C7">
        <w:rPr>
          <w:rFonts w:ascii="Times New Roman" w:hAnsi="Times New Roman" w:cs="Times New Roman"/>
        </w:rPr>
        <w:t xml:space="preserve"> </w:t>
      </w:r>
      <w:r w:rsidR="00A64373">
        <w:rPr>
          <w:rFonts w:ascii="Times New Roman" w:hAnsi="Times New Roman" w:cs="Times New Roman"/>
        </w:rPr>
        <w:t xml:space="preserve">They said </w:t>
      </w:r>
      <w:r w:rsidR="000162C7">
        <w:rPr>
          <w:rFonts w:ascii="Times New Roman" w:hAnsi="Times New Roman" w:cs="Times New Roman"/>
        </w:rPr>
        <w:t xml:space="preserve">- </w:t>
      </w:r>
      <w:r w:rsidR="00A64373">
        <w:rPr>
          <w:rFonts w:ascii="Times New Roman" w:hAnsi="Times New Roman" w:cs="Times New Roman"/>
        </w:rPr>
        <w:t xml:space="preserve">of the evidence of threats made </w:t>
      </w:r>
      <w:r w:rsidR="000C4771">
        <w:rPr>
          <w:rFonts w:ascii="Times New Roman" w:hAnsi="Times New Roman" w:cs="Times New Roman"/>
        </w:rPr>
        <w:t xml:space="preserve">against RXG </w:t>
      </w:r>
      <w:r w:rsidR="00A64373">
        <w:rPr>
          <w:rFonts w:ascii="Times New Roman" w:hAnsi="Times New Roman" w:cs="Times New Roman"/>
        </w:rPr>
        <w:t>online after his conviction</w:t>
      </w:r>
      <w:r w:rsidR="000162C7">
        <w:rPr>
          <w:rFonts w:ascii="Times New Roman" w:hAnsi="Times New Roman" w:cs="Times New Roman"/>
        </w:rPr>
        <w:t xml:space="preserve">- </w:t>
      </w:r>
      <w:r w:rsidR="00A64373">
        <w:rPr>
          <w:rFonts w:ascii="Times New Roman" w:hAnsi="Times New Roman" w:cs="Times New Roman"/>
        </w:rPr>
        <w:t>that it is ‘</w:t>
      </w:r>
      <w:r w:rsidR="00A64373" w:rsidRPr="00A64373">
        <w:rPr>
          <w:rFonts w:ascii="Times New Roman" w:hAnsi="Times New Roman" w:cs="Times New Roman"/>
        </w:rPr>
        <w:t>a feature of modern life that individuals are prepared to use language online that they would never use in person, and make threats of a kind they would never carry out.</w:t>
      </w:r>
      <w:r w:rsidR="00A64373">
        <w:rPr>
          <w:rFonts w:ascii="Times New Roman" w:hAnsi="Times New Roman" w:cs="Times New Roman"/>
        </w:rPr>
        <w:t>’</w:t>
      </w:r>
      <w:r w:rsidR="00A64373" w:rsidRPr="00A64373">
        <w:rPr>
          <w:rFonts w:ascii="Times New Roman" w:hAnsi="Times New Roman" w:cs="Times New Roman"/>
        </w:rPr>
        <w:t xml:space="preserve"> </w:t>
      </w:r>
      <w:r w:rsidR="007168D8">
        <w:rPr>
          <w:rFonts w:ascii="Times New Roman" w:hAnsi="Times New Roman" w:cs="Times New Roman"/>
        </w:rPr>
        <w:t>But the</w:t>
      </w:r>
      <w:r w:rsidR="00A64373">
        <w:rPr>
          <w:rFonts w:ascii="Times New Roman" w:hAnsi="Times New Roman" w:cs="Times New Roman"/>
        </w:rPr>
        <w:t xml:space="preserve">se judges </w:t>
      </w:r>
      <w:r w:rsidR="007168D8">
        <w:rPr>
          <w:rFonts w:ascii="Times New Roman" w:hAnsi="Times New Roman" w:cs="Times New Roman"/>
        </w:rPr>
        <w:t xml:space="preserve">ruled </w:t>
      </w:r>
      <w:r w:rsidR="00FF15FA">
        <w:rPr>
          <w:rFonts w:ascii="Times New Roman" w:hAnsi="Times New Roman" w:cs="Times New Roman"/>
        </w:rPr>
        <w:t xml:space="preserve">that it was ‘necessary and proportionate’ that </w:t>
      </w:r>
      <w:r w:rsidR="000C4771">
        <w:rPr>
          <w:rFonts w:ascii="Times New Roman" w:hAnsi="Times New Roman" w:cs="Times New Roman"/>
        </w:rPr>
        <w:t xml:space="preserve">RXG </w:t>
      </w:r>
      <w:r w:rsidR="007168D8">
        <w:rPr>
          <w:rFonts w:ascii="Times New Roman" w:hAnsi="Times New Roman" w:cs="Times New Roman"/>
        </w:rPr>
        <w:t>should have the lifelong anonymity requested</w:t>
      </w:r>
      <w:r w:rsidR="00FF15FA">
        <w:rPr>
          <w:rFonts w:ascii="Times New Roman" w:hAnsi="Times New Roman" w:cs="Times New Roman"/>
        </w:rPr>
        <w:t>,</w:t>
      </w:r>
      <w:r w:rsidR="007168D8">
        <w:rPr>
          <w:rFonts w:ascii="Times New Roman" w:hAnsi="Times New Roman" w:cs="Times New Roman"/>
        </w:rPr>
        <w:t xml:space="preserve"> because his </w:t>
      </w:r>
      <w:r w:rsidR="00F6510D">
        <w:rPr>
          <w:rFonts w:ascii="Times New Roman" w:hAnsi="Times New Roman" w:cs="Times New Roman"/>
        </w:rPr>
        <w:t xml:space="preserve">privacy </w:t>
      </w:r>
      <w:r w:rsidR="007168D8">
        <w:rPr>
          <w:rFonts w:ascii="Times New Roman" w:hAnsi="Times New Roman" w:cs="Times New Roman"/>
        </w:rPr>
        <w:t xml:space="preserve">rights under Article 8 </w:t>
      </w:r>
      <w:r w:rsidR="00F6510D">
        <w:rPr>
          <w:rFonts w:ascii="Times New Roman" w:hAnsi="Times New Roman" w:cs="Times New Roman"/>
        </w:rPr>
        <w:t>were engaged to protect his chances of rehabilitation</w:t>
      </w:r>
      <w:r w:rsidR="00473D41">
        <w:rPr>
          <w:rFonts w:ascii="Times New Roman" w:hAnsi="Times New Roman" w:cs="Times New Roman"/>
        </w:rPr>
        <w:t xml:space="preserve">, and </w:t>
      </w:r>
      <w:r w:rsidR="000C4771">
        <w:rPr>
          <w:rFonts w:ascii="Times New Roman" w:hAnsi="Times New Roman" w:cs="Times New Roman"/>
        </w:rPr>
        <w:t xml:space="preserve">because </w:t>
      </w:r>
      <w:r w:rsidR="003A34A7">
        <w:rPr>
          <w:rFonts w:ascii="Times New Roman" w:hAnsi="Times New Roman" w:cs="Times New Roman"/>
        </w:rPr>
        <w:t xml:space="preserve">in his ‘exceptional’ case </w:t>
      </w:r>
      <w:r w:rsidR="00473D41">
        <w:rPr>
          <w:rFonts w:ascii="Times New Roman" w:hAnsi="Times New Roman" w:cs="Times New Roman"/>
        </w:rPr>
        <w:t>these rights outweighed t</w:t>
      </w:r>
      <w:r w:rsidR="00473D41" w:rsidRPr="00473D41">
        <w:rPr>
          <w:rFonts w:ascii="Times New Roman" w:hAnsi="Times New Roman" w:cs="Times New Roman"/>
        </w:rPr>
        <w:t>he Article 10 rights of the public in open justice</w:t>
      </w:r>
      <w:r w:rsidR="00414B0D">
        <w:rPr>
          <w:rFonts w:ascii="Times New Roman" w:hAnsi="Times New Roman" w:cs="Times New Roman"/>
        </w:rPr>
        <w:t xml:space="preserve">. </w:t>
      </w:r>
      <w:r w:rsidR="003A34A7">
        <w:rPr>
          <w:rFonts w:ascii="Times New Roman" w:hAnsi="Times New Roman" w:cs="Times New Roman"/>
        </w:rPr>
        <w:t xml:space="preserve">If RXG was identified to the public as having committed the incitement crimes, there would be a risk of him </w:t>
      </w:r>
      <w:r w:rsidR="00414B0D">
        <w:rPr>
          <w:rFonts w:ascii="Times New Roman" w:hAnsi="Times New Roman" w:cs="Times New Roman"/>
        </w:rPr>
        <w:t>be</w:t>
      </w:r>
      <w:r w:rsidR="00680588">
        <w:rPr>
          <w:rFonts w:ascii="Times New Roman" w:hAnsi="Times New Roman" w:cs="Times New Roman"/>
        </w:rPr>
        <w:t xml:space="preserve">coming socially ostracised and </w:t>
      </w:r>
      <w:r w:rsidR="003A34A7">
        <w:rPr>
          <w:rFonts w:ascii="Times New Roman" w:hAnsi="Times New Roman" w:cs="Times New Roman"/>
        </w:rPr>
        <w:t xml:space="preserve">an </w:t>
      </w:r>
      <w:r w:rsidR="00680588">
        <w:rPr>
          <w:rFonts w:ascii="Times New Roman" w:hAnsi="Times New Roman" w:cs="Times New Roman"/>
        </w:rPr>
        <w:t xml:space="preserve">associated risk of </w:t>
      </w:r>
      <w:r w:rsidR="00F6510D">
        <w:rPr>
          <w:rFonts w:ascii="Times New Roman" w:hAnsi="Times New Roman" w:cs="Times New Roman"/>
        </w:rPr>
        <w:t>him committing further offences</w:t>
      </w:r>
      <w:r w:rsidR="00680588">
        <w:rPr>
          <w:rFonts w:ascii="Times New Roman" w:hAnsi="Times New Roman" w:cs="Times New Roman"/>
        </w:rPr>
        <w:t>, risks exacerbated by his autism</w:t>
      </w:r>
      <w:r w:rsidR="00F6510D">
        <w:rPr>
          <w:rFonts w:ascii="Times New Roman" w:hAnsi="Times New Roman" w:cs="Times New Roman"/>
        </w:rPr>
        <w:t>. They said t</w:t>
      </w:r>
      <w:r w:rsidR="00680588">
        <w:rPr>
          <w:rFonts w:ascii="Times New Roman" w:hAnsi="Times New Roman" w:cs="Times New Roman"/>
        </w:rPr>
        <w:t xml:space="preserve">oo that if he was </w:t>
      </w:r>
      <w:r w:rsidR="00F6510D">
        <w:rPr>
          <w:rFonts w:ascii="Times New Roman" w:hAnsi="Times New Roman" w:cs="Times New Roman"/>
        </w:rPr>
        <w:t xml:space="preserve">identified </w:t>
      </w:r>
      <w:r w:rsidR="00F6510D">
        <w:rPr>
          <w:rFonts w:ascii="Times New Roman" w:hAnsi="Times New Roman" w:cs="Times New Roman"/>
        </w:rPr>
        <w:lastRenderedPageBreak/>
        <w:t>there would be an inde</w:t>
      </w:r>
      <w:r w:rsidR="00540FD9">
        <w:rPr>
          <w:rFonts w:ascii="Times New Roman" w:hAnsi="Times New Roman" w:cs="Times New Roman"/>
        </w:rPr>
        <w:t>lible record o</w:t>
      </w:r>
      <w:r w:rsidR="00680588">
        <w:rPr>
          <w:rFonts w:ascii="Times New Roman" w:hAnsi="Times New Roman" w:cs="Times New Roman"/>
        </w:rPr>
        <w:t xml:space="preserve">f on </w:t>
      </w:r>
      <w:r w:rsidR="00540FD9">
        <w:rPr>
          <w:rFonts w:ascii="Times New Roman" w:hAnsi="Times New Roman" w:cs="Times New Roman"/>
        </w:rPr>
        <w:t>the internet</w:t>
      </w:r>
      <w:r w:rsidR="003A34A7">
        <w:rPr>
          <w:rFonts w:ascii="Times New Roman" w:hAnsi="Times New Roman" w:cs="Times New Roman"/>
        </w:rPr>
        <w:t xml:space="preserve"> that he committed that crimes, </w:t>
      </w:r>
      <w:r w:rsidR="00F6510D">
        <w:rPr>
          <w:rFonts w:ascii="Times New Roman" w:hAnsi="Times New Roman" w:cs="Times New Roman"/>
        </w:rPr>
        <w:t xml:space="preserve">with his notoriety enhanced by the fact that he was the youngest person to be convicted in the UK of a terrorism offence. </w:t>
      </w:r>
      <w:r w:rsidR="00414B0D">
        <w:rPr>
          <w:rFonts w:ascii="Times New Roman" w:hAnsi="Times New Roman" w:cs="Times New Roman"/>
        </w:rPr>
        <w:t xml:space="preserve"> The</w:t>
      </w:r>
      <w:r w:rsidR="00680588">
        <w:rPr>
          <w:rFonts w:ascii="Times New Roman" w:hAnsi="Times New Roman" w:cs="Times New Roman"/>
        </w:rPr>
        <w:t xml:space="preserve"> </w:t>
      </w:r>
      <w:r w:rsidR="00FF15FA">
        <w:rPr>
          <w:rFonts w:ascii="Times New Roman" w:hAnsi="Times New Roman" w:cs="Times New Roman"/>
        </w:rPr>
        <w:t xml:space="preserve">High Court </w:t>
      </w:r>
      <w:r w:rsidR="00680588">
        <w:rPr>
          <w:rFonts w:ascii="Times New Roman" w:hAnsi="Times New Roman" w:cs="Times New Roman"/>
        </w:rPr>
        <w:t xml:space="preserve">judges </w:t>
      </w:r>
      <w:r w:rsidR="003A34A7">
        <w:rPr>
          <w:rFonts w:ascii="Times New Roman" w:hAnsi="Times New Roman" w:cs="Times New Roman"/>
        </w:rPr>
        <w:t xml:space="preserve">also </w:t>
      </w:r>
      <w:r w:rsidR="00680588">
        <w:rPr>
          <w:rFonts w:ascii="Times New Roman" w:hAnsi="Times New Roman" w:cs="Times New Roman"/>
        </w:rPr>
        <w:t xml:space="preserve">said </w:t>
      </w:r>
      <w:r w:rsidR="00414B0D">
        <w:rPr>
          <w:rFonts w:ascii="Times New Roman" w:hAnsi="Times New Roman" w:cs="Times New Roman"/>
        </w:rPr>
        <w:t xml:space="preserve">that most juvenile offenders whose section 45 anonymity lapsed </w:t>
      </w:r>
      <w:r w:rsidR="00A64373">
        <w:rPr>
          <w:rFonts w:ascii="Times New Roman" w:hAnsi="Times New Roman" w:cs="Times New Roman"/>
        </w:rPr>
        <w:t xml:space="preserve">at the age of </w:t>
      </w:r>
      <w:r w:rsidR="00414B0D">
        <w:rPr>
          <w:rFonts w:ascii="Times New Roman" w:hAnsi="Times New Roman" w:cs="Times New Roman"/>
        </w:rPr>
        <w:t xml:space="preserve">18 would not have anything like the notoriety </w:t>
      </w:r>
      <w:r w:rsidR="000C4771">
        <w:rPr>
          <w:rFonts w:ascii="Times New Roman" w:hAnsi="Times New Roman" w:cs="Times New Roman"/>
        </w:rPr>
        <w:t xml:space="preserve">which RXG </w:t>
      </w:r>
      <w:r w:rsidR="00356553">
        <w:rPr>
          <w:rFonts w:ascii="Times New Roman" w:hAnsi="Times New Roman" w:cs="Times New Roman"/>
        </w:rPr>
        <w:t xml:space="preserve">would have if he were </w:t>
      </w:r>
      <w:r w:rsidR="008853A9">
        <w:rPr>
          <w:rFonts w:ascii="Times New Roman" w:hAnsi="Times New Roman" w:cs="Times New Roman"/>
        </w:rPr>
        <w:t>identified</w:t>
      </w:r>
      <w:r w:rsidR="00414B0D">
        <w:rPr>
          <w:rFonts w:ascii="Times New Roman" w:hAnsi="Times New Roman" w:cs="Times New Roman"/>
        </w:rPr>
        <w:t xml:space="preserve">.  </w:t>
      </w:r>
      <w:r w:rsidR="00473D41">
        <w:rPr>
          <w:rFonts w:ascii="Times New Roman" w:hAnsi="Times New Roman" w:cs="Times New Roman"/>
        </w:rPr>
        <w:t>‘</w:t>
      </w:r>
      <w:r w:rsidR="00473D41" w:rsidRPr="00473D41">
        <w:rPr>
          <w:rFonts w:ascii="Times New Roman" w:hAnsi="Times New Roman" w:cs="Times New Roman"/>
        </w:rPr>
        <w:t>For them, the coming of their 18th birthday is likely to go unremarked and the discharge of the reporting restrictions is unlikely to lead to media reports publicly associating them with their previous offending.</w:t>
      </w:r>
      <w:r w:rsidR="00473D41">
        <w:rPr>
          <w:rFonts w:ascii="Times New Roman" w:hAnsi="Times New Roman" w:cs="Times New Roman"/>
        </w:rPr>
        <w:t>’</w:t>
      </w:r>
      <w:r w:rsidR="00473D41" w:rsidRPr="00473D41">
        <w:rPr>
          <w:rFonts w:ascii="Times New Roman" w:hAnsi="Times New Roman" w:cs="Times New Roman"/>
        </w:rPr>
        <w:t xml:space="preserve"> </w:t>
      </w:r>
      <w:r w:rsidR="00F6510D">
        <w:rPr>
          <w:rFonts w:ascii="Times New Roman" w:hAnsi="Times New Roman" w:cs="Times New Roman"/>
        </w:rPr>
        <w:t xml:space="preserve">Mr Justice Nicklin and Dame Victoria Sharp </w:t>
      </w:r>
      <w:r w:rsidR="001A3F2F">
        <w:rPr>
          <w:rFonts w:ascii="Times New Roman" w:hAnsi="Times New Roman" w:cs="Times New Roman"/>
        </w:rPr>
        <w:t>also ruled that the High Court’s power to grant such anonymity was not curtailed by how Parliament had limited section 45A anonymity to witnesses</w:t>
      </w:r>
      <w:r w:rsidR="008853A9">
        <w:rPr>
          <w:rFonts w:ascii="Times New Roman" w:hAnsi="Times New Roman" w:cs="Times New Roman"/>
        </w:rPr>
        <w:t xml:space="preserve"> </w:t>
      </w:r>
      <w:r>
        <w:rPr>
          <w:rFonts w:ascii="Times New Roman" w:hAnsi="Times New Roman" w:cs="Times New Roman"/>
        </w:rPr>
        <w:t>(</w:t>
      </w:r>
      <w:r w:rsidRPr="00D74909">
        <w:rPr>
          <w:rFonts w:ascii="Times New Roman" w:hAnsi="Times New Roman" w:cs="Times New Roman"/>
          <w:i/>
        </w:rPr>
        <w:t>RXG v Ministry of Justice and persons unknown</w:t>
      </w:r>
      <w:r>
        <w:rPr>
          <w:rFonts w:ascii="Times New Roman" w:hAnsi="Times New Roman" w:cs="Times New Roman"/>
        </w:rPr>
        <w:t xml:space="preserve"> [2019] EWHC 2026 (QB))</w:t>
      </w:r>
      <w:r w:rsidR="000B0B49">
        <w:rPr>
          <w:rFonts w:ascii="Times New Roman" w:hAnsi="Times New Roman" w:cs="Times New Roman"/>
        </w:rPr>
        <w:t xml:space="preserve">; </w:t>
      </w:r>
      <w:r w:rsidR="000B0B49" w:rsidRPr="000B0B49">
        <w:rPr>
          <w:rFonts w:ascii="Times New Roman" w:hAnsi="Times New Roman" w:cs="Times New Roman"/>
          <w:i/>
        </w:rPr>
        <w:t>Media Lawyer</w:t>
      </w:r>
      <w:r w:rsidR="000B0B49">
        <w:rPr>
          <w:rFonts w:ascii="Times New Roman" w:hAnsi="Times New Roman" w:cs="Times New Roman"/>
        </w:rPr>
        <w:t>, 29 July 2019</w:t>
      </w:r>
      <w:r w:rsidR="00D121CF">
        <w:rPr>
          <w:rFonts w:ascii="Times New Roman" w:hAnsi="Times New Roman" w:cs="Times New Roman"/>
        </w:rPr>
        <w:t xml:space="preserve">;  </w:t>
      </w:r>
      <w:r w:rsidR="00D121CF" w:rsidRPr="00D121CF">
        <w:rPr>
          <w:rFonts w:ascii="Times New Roman" w:hAnsi="Times New Roman" w:cs="Times New Roman"/>
          <w:i/>
        </w:rPr>
        <w:t>The Guardian</w:t>
      </w:r>
      <w:r w:rsidR="00D121CF">
        <w:rPr>
          <w:rFonts w:ascii="Times New Roman" w:hAnsi="Times New Roman" w:cs="Times New Roman"/>
        </w:rPr>
        <w:t>, 5  September 2016</w:t>
      </w:r>
      <w:r w:rsidR="000B0B49">
        <w:rPr>
          <w:rFonts w:ascii="Times New Roman" w:hAnsi="Times New Roman" w:cs="Times New Roman"/>
        </w:rPr>
        <w:t>)</w:t>
      </w:r>
      <w:r>
        <w:rPr>
          <w:rFonts w:ascii="Times New Roman" w:hAnsi="Times New Roman" w:cs="Times New Roman"/>
        </w:rPr>
        <w:t>.</w:t>
      </w:r>
    </w:p>
    <w:p w14:paraId="33B998B9" w14:textId="77777777" w:rsidR="00B14261" w:rsidRDefault="00B14261" w:rsidP="008C2325">
      <w:pPr>
        <w:autoSpaceDE w:val="0"/>
        <w:autoSpaceDN w:val="0"/>
        <w:adjustRightInd w:val="0"/>
        <w:spacing w:after="0" w:line="240" w:lineRule="auto"/>
        <w:rPr>
          <w:rFonts w:ascii="Times New Roman" w:hAnsi="Times New Roman" w:cs="Times New Roman"/>
          <w:b/>
          <w:sz w:val="28"/>
          <w:szCs w:val="28"/>
        </w:rPr>
      </w:pPr>
    </w:p>
    <w:p w14:paraId="4F91E3F1" w14:textId="77777777" w:rsidR="003B4741" w:rsidRDefault="003B4741" w:rsidP="008C2325">
      <w:pPr>
        <w:autoSpaceDE w:val="0"/>
        <w:autoSpaceDN w:val="0"/>
        <w:adjustRightInd w:val="0"/>
        <w:spacing w:after="0" w:line="240" w:lineRule="auto"/>
        <w:rPr>
          <w:rFonts w:ascii="Times New Roman" w:hAnsi="Times New Roman" w:cs="Times New Roman"/>
          <w:b/>
          <w:sz w:val="28"/>
          <w:szCs w:val="28"/>
        </w:rPr>
      </w:pPr>
    </w:p>
    <w:p w14:paraId="7224B863" w14:textId="3E835648" w:rsidR="008C2325" w:rsidRPr="008C2325" w:rsidRDefault="008C2325" w:rsidP="008C2325">
      <w:pPr>
        <w:autoSpaceDE w:val="0"/>
        <w:autoSpaceDN w:val="0"/>
        <w:adjustRightInd w:val="0"/>
        <w:spacing w:after="0" w:line="240" w:lineRule="auto"/>
        <w:rPr>
          <w:rFonts w:ascii="Times New Roman" w:hAnsi="Times New Roman" w:cs="Times New Roman"/>
          <w:b/>
          <w:sz w:val="28"/>
          <w:szCs w:val="28"/>
        </w:rPr>
      </w:pPr>
      <w:r w:rsidRPr="008C2325">
        <w:rPr>
          <w:rFonts w:ascii="Times New Roman" w:hAnsi="Times New Roman" w:cs="Times New Roman"/>
          <w:b/>
          <w:sz w:val="28"/>
          <w:szCs w:val="28"/>
        </w:rPr>
        <w:t xml:space="preserve">12.14 </w:t>
      </w:r>
      <w:r w:rsidRPr="008C2325">
        <w:rPr>
          <w:rFonts w:ascii="Times New Roman" w:hAnsi="Times New Roman" w:cs="Times New Roman"/>
          <w:b/>
          <w:bCs/>
          <w:sz w:val="28"/>
          <w:szCs w:val="28"/>
        </w:rPr>
        <w:t>Postponed reporting of ‘special measure</w:t>
      </w:r>
      <w:r w:rsidR="00491496">
        <w:rPr>
          <w:rFonts w:ascii="Times New Roman" w:hAnsi="Times New Roman" w:cs="Times New Roman"/>
          <w:b/>
          <w:bCs/>
          <w:sz w:val="28"/>
          <w:szCs w:val="28"/>
        </w:rPr>
        <w:t xml:space="preserve">’ directions </w:t>
      </w:r>
      <w:r w:rsidRPr="008C2325">
        <w:rPr>
          <w:rFonts w:ascii="Times New Roman" w:hAnsi="Times New Roman" w:cs="Times New Roman"/>
          <w:b/>
          <w:bCs/>
          <w:sz w:val="28"/>
          <w:szCs w:val="28"/>
        </w:rPr>
        <w:t xml:space="preserve">and </w:t>
      </w:r>
      <w:r w:rsidR="00EA2ACA">
        <w:rPr>
          <w:rFonts w:ascii="Times New Roman" w:hAnsi="Times New Roman" w:cs="Times New Roman"/>
          <w:b/>
          <w:bCs/>
          <w:sz w:val="28"/>
          <w:szCs w:val="28"/>
        </w:rPr>
        <w:t xml:space="preserve">other </w:t>
      </w:r>
      <w:r w:rsidRPr="008C2325">
        <w:rPr>
          <w:rFonts w:ascii="Times New Roman" w:hAnsi="Times New Roman" w:cs="Times New Roman"/>
          <w:b/>
          <w:bCs/>
          <w:sz w:val="28"/>
          <w:szCs w:val="28"/>
        </w:rPr>
        <w:t>orders</w:t>
      </w:r>
    </w:p>
    <w:p w14:paraId="05C29D3D" w14:textId="77777777" w:rsidR="00FF3C8D" w:rsidRDefault="00FF3C8D" w:rsidP="00E347DE">
      <w:pPr>
        <w:pStyle w:val="p"/>
        <w:jc w:val="left"/>
        <w:rPr>
          <w:sz w:val="22"/>
          <w:szCs w:val="22"/>
        </w:rPr>
      </w:pPr>
    </w:p>
    <w:p w14:paraId="1616D699" w14:textId="77777777" w:rsidR="00C769AA" w:rsidRPr="001C23CB" w:rsidRDefault="00C769AA" w:rsidP="00E347DE">
      <w:pPr>
        <w:pStyle w:val="p"/>
        <w:jc w:val="left"/>
        <w:rPr>
          <w:sz w:val="22"/>
          <w:szCs w:val="22"/>
        </w:rPr>
      </w:pPr>
      <w:r w:rsidRPr="001C23CB">
        <w:rPr>
          <w:sz w:val="22"/>
          <w:szCs w:val="22"/>
        </w:rPr>
        <w:t>Courts can make a ‘special measure’ direction (order) under section 19 of the Youth Justice and Criminal Evidence Act 1999 to help a ‘</w:t>
      </w:r>
      <w:r w:rsidR="008C2325" w:rsidRPr="001C23CB">
        <w:rPr>
          <w:sz w:val="22"/>
          <w:szCs w:val="22"/>
        </w:rPr>
        <w:t xml:space="preserve">vulnerable’ </w:t>
      </w:r>
      <w:r w:rsidRPr="001C23CB">
        <w:rPr>
          <w:sz w:val="22"/>
          <w:szCs w:val="22"/>
        </w:rPr>
        <w:t xml:space="preserve">or ‘intimidated’ witness </w:t>
      </w:r>
      <w:r w:rsidR="00816394">
        <w:rPr>
          <w:sz w:val="22"/>
          <w:szCs w:val="22"/>
        </w:rPr>
        <w:t xml:space="preserve">(other than the defendant) </w:t>
      </w:r>
      <w:r w:rsidRPr="001C23CB">
        <w:rPr>
          <w:sz w:val="22"/>
          <w:szCs w:val="22"/>
        </w:rPr>
        <w:t>give evidence</w:t>
      </w:r>
      <w:r w:rsidR="00816394">
        <w:rPr>
          <w:sz w:val="22"/>
          <w:szCs w:val="22"/>
        </w:rPr>
        <w:t xml:space="preserve"> in </w:t>
      </w:r>
      <w:r w:rsidR="000B37AD">
        <w:rPr>
          <w:sz w:val="22"/>
          <w:szCs w:val="22"/>
        </w:rPr>
        <w:t xml:space="preserve">a </w:t>
      </w:r>
      <w:r w:rsidR="00816394">
        <w:rPr>
          <w:sz w:val="22"/>
          <w:szCs w:val="22"/>
        </w:rPr>
        <w:t xml:space="preserve">criminal case. The ‘special measures’ which can be put into effect by a section 19 order are specified in other sections of the Act. </w:t>
      </w:r>
      <w:r w:rsidRPr="001C23CB">
        <w:rPr>
          <w:sz w:val="22"/>
          <w:szCs w:val="22"/>
        </w:rPr>
        <w:t xml:space="preserve">For example, the witness may be allowed to give evidence from behind a screen or by live video link, or </w:t>
      </w:r>
      <w:r w:rsidR="002614F3">
        <w:rPr>
          <w:sz w:val="22"/>
          <w:szCs w:val="22"/>
        </w:rPr>
        <w:t xml:space="preserve">– as explained in 15.9 in </w:t>
      </w:r>
      <w:r w:rsidR="002614F3" w:rsidRPr="00816394">
        <w:rPr>
          <w:i/>
          <w:sz w:val="22"/>
          <w:szCs w:val="22"/>
        </w:rPr>
        <w:t>McNae’s</w:t>
      </w:r>
      <w:r w:rsidR="002614F3">
        <w:rPr>
          <w:sz w:val="22"/>
          <w:szCs w:val="22"/>
        </w:rPr>
        <w:t xml:space="preserve"> </w:t>
      </w:r>
      <w:r w:rsidR="00816394">
        <w:rPr>
          <w:sz w:val="22"/>
          <w:szCs w:val="22"/>
        </w:rPr>
        <w:t xml:space="preserve">and specified in the Act’s section 25 – </w:t>
      </w:r>
      <w:r w:rsidRPr="001C23CB">
        <w:rPr>
          <w:sz w:val="22"/>
          <w:szCs w:val="22"/>
        </w:rPr>
        <w:t xml:space="preserve">most reporters present may be </w:t>
      </w:r>
      <w:r w:rsidR="002614F3">
        <w:rPr>
          <w:sz w:val="22"/>
          <w:szCs w:val="22"/>
        </w:rPr>
        <w:t xml:space="preserve">ordered </w:t>
      </w:r>
      <w:r w:rsidRPr="001C23CB">
        <w:rPr>
          <w:sz w:val="22"/>
          <w:szCs w:val="22"/>
        </w:rPr>
        <w:t>to leave the court during his/her testimony</w:t>
      </w:r>
      <w:r w:rsidR="002614F3">
        <w:rPr>
          <w:sz w:val="22"/>
          <w:szCs w:val="22"/>
        </w:rPr>
        <w:t xml:space="preserve"> </w:t>
      </w:r>
      <w:r w:rsidRPr="001C23CB">
        <w:rPr>
          <w:sz w:val="22"/>
          <w:szCs w:val="22"/>
        </w:rPr>
        <w:t xml:space="preserve">. </w:t>
      </w:r>
    </w:p>
    <w:p w14:paraId="05337038" w14:textId="77777777" w:rsidR="00763A9F" w:rsidRDefault="00763A9F" w:rsidP="00E347DE">
      <w:pPr>
        <w:pStyle w:val="p"/>
        <w:jc w:val="left"/>
        <w:rPr>
          <w:color w:val="000000"/>
          <w:sz w:val="22"/>
          <w:szCs w:val="22"/>
        </w:rPr>
      </w:pPr>
    </w:p>
    <w:p w14:paraId="2164D682" w14:textId="77777777" w:rsidR="00C769AA" w:rsidRPr="001C23CB" w:rsidRDefault="00C769AA" w:rsidP="00E347DE">
      <w:pPr>
        <w:pStyle w:val="p"/>
        <w:jc w:val="left"/>
        <w:rPr>
          <w:color w:val="000000"/>
          <w:sz w:val="22"/>
          <w:szCs w:val="22"/>
        </w:rPr>
      </w:pPr>
      <w:r w:rsidRPr="001C23CB">
        <w:rPr>
          <w:color w:val="000000"/>
          <w:sz w:val="22"/>
          <w:szCs w:val="22"/>
        </w:rPr>
        <w:t xml:space="preserve">Section 47 of the 1999 Act contains </w:t>
      </w:r>
      <w:r w:rsidR="00EA758C">
        <w:rPr>
          <w:color w:val="000000"/>
          <w:sz w:val="22"/>
          <w:szCs w:val="22"/>
        </w:rPr>
        <w:t xml:space="preserve">an </w:t>
      </w:r>
      <w:r w:rsidRPr="001C23CB">
        <w:rPr>
          <w:color w:val="000000"/>
          <w:sz w:val="22"/>
          <w:szCs w:val="22"/>
        </w:rPr>
        <w:t>automatic reporting restriction which ban</w:t>
      </w:r>
      <w:r w:rsidR="00EA758C">
        <w:rPr>
          <w:color w:val="000000"/>
          <w:sz w:val="22"/>
          <w:szCs w:val="22"/>
        </w:rPr>
        <w:t>s</w:t>
      </w:r>
      <w:r w:rsidRPr="001C23CB">
        <w:rPr>
          <w:color w:val="000000"/>
          <w:sz w:val="22"/>
          <w:szCs w:val="22"/>
        </w:rPr>
        <w:t xml:space="preserve"> </w:t>
      </w:r>
      <w:r w:rsidR="00691FEF">
        <w:rPr>
          <w:color w:val="000000"/>
          <w:sz w:val="22"/>
          <w:szCs w:val="22"/>
        </w:rPr>
        <w:t xml:space="preserve">anyone </w:t>
      </w:r>
      <w:r w:rsidRPr="001C23CB">
        <w:rPr>
          <w:color w:val="000000"/>
          <w:sz w:val="22"/>
          <w:szCs w:val="22"/>
        </w:rPr>
        <w:t xml:space="preserve">from publishing </w:t>
      </w:r>
      <w:r w:rsidR="00126EC3">
        <w:rPr>
          <w:color w:val="000000"/>
          <w:sz w:val="22"/>
          <w:szCs w:val="22"/>
        </w:rPr>
        <w:t>from preliminary proceedings</w:t>
      </w:r>
      <w:r w:rsidR="00126EC3" w:rsidRPr="001C23CB">
        <w:rPr>
          <w:color w:val="000000"/>
          <w:sz w:val="22"/>
          <w:szCs w:val="22"/>
        </w:rPr>
        <w:t xml:space="preserve"> </w:t>
      </w:r>
      <w:r w:rsidR="00126EC3">
        <w:rPr>
          <w:color w:val="000000"/>
          <w:sz w:val="22"/>
          <w:szCs w:val="22"/>
        </w:rPr>
        <w:t xml:space="preserve">or </w:t>
      </w:r>
      <w:r w:rsidRPr="001C23CB">
        <w:rPr>
          <w:color w:val="000000"/>
          <w:sz w:val="22"/>
          <w:szCs w:val="22"/>
        </w:rPr>
        <w:t xml:space="preserve">during a trial the fact that a section 19 order has been made, varied or discharged; or anything from discussion or argument in court about </w:t>
      </w:r>
      <w:r w:rsidR="00816394">
        <w:rPr>
          <w:color w:val="000000"/>
          <w:sz w:val="22"/>
          <w:szCs w:val="22"/>
        </w:rPr>
        <w:t xml:space="preserve">whether </w:t>
      </w:r>
      <w:r w:rsidRPr="001C23CB">
        <w:rPr>
          <w:color w:val="000000"/>
          <w:sz w:val="22"/>
          <w:szCs w:val="22"/>
        </w:rPr>
        <w:t>such an order</w:t>
      </w:r>
      <w:r w:rsidR="00816394">
        <w:rPr>
          <w:color w:val="000000"/>
          <w:sz w:val="22"/>
          <w:szCs w:val="22"/>
        </w:rPr>
        <w:t xml:space="preserve"> should made</w:t>
      </w:r>
      <w:r w:rsidRPr="001C23CB">
        <w:rPr>
          <w:color w:val="000000"/>
          <w:sz w:val="22"/>
          <w:szCs w:val="22"/>
        </w:rPr>
        <w:t xml:space="preserve">. </w:t>
      </w:r>
    </w:p>
    <w:p w14:paraId="3485FB9D" w14:textId="77777777" w:rsidR="00763A9F" w:rsidRDefault="00763A9F" w:rsidP="00E347DE">
      <w:pPr>
        <w:pStyle w:val="p"/>
        <w:jc w:val="left"/>
        <w:rPr>
          <w:color w:val="000000"/>
          <w:sz w:val="22"/>
          <w:szCs w:val="22"/>
        </w:rPr>
      </w:pPr>
    </w:p>
    <w:p w14:paraId="13128D54" w14:textId="77777777" w:rsidR="00C769AA" w:rsidRDefault="00763A9F" w:rsidP="00E347DE">
      <w:pPr>
        <w:pStyle w:val="p"/>
        <w:jc w:val="left"/>
        <w:rPr>
          <w:color w:val="000000"/>
          <w:sz w:val="22"/>
          <w:szCs w:val="22"/>
        </w:rPr>
      </w:pPr>
      <w:r>
        <w:rPr>
          <w:color w:val="000000"/>
          <w:sz w:val="22"/>
          <w:szCs w:val="22"/>
        </w:rPr>
        <w:t>There is</w:t>
      </w:r>
      <w:r w:rsidR="00C769AA" w:rsidRPr="001C23CB">
        <w:rPr>
          <w:color w:val="000000"/>
          <w:sz w:val="22"/>
          <w:szCs w:val="22"/>
        </w:rPr>
        <w:t xml:space="preserve"> also an automatic ban </w:t>
      </w:r>
      <w:r w:rsidR="00691FEF">
        <w:rPr>
          <w:color w:val="000000"/>
          <w:sz w:val="22"/>
          <w:szCs w:val="22"/>
        </w:rPr>
        <w:t xml:space="preserve">in section 47 </w:t>
      </w:r>
      <w:r w:rsidR="00C769AA" w:rsidRPr="001C23CB">
        <w:rPr>
          <w:color w:val="000000"/>
          <w:sz w:val="22"/>
          <w:szCs w:val="22"/>
        </w:rPr>
        <w:t xml:space="preserve">on </w:t>
      </w:r>
      <w:r w:rsidR="00691FEF">
        <w:rPr>
          <w:color w:val="000000"/>
          <w:sz w:val="22"/>
          <w:szCs w:val="22"/>
        </w:rPr>
        <w:t xml:space="preserve">anyone </w:t>
      </w:r>
      <w:r w:rsidR="00EA2ACA">
        <w:rPr>
          <w:color w:val="000000"/>
          <w:sz w:val="22"/>
          <w:szCs w:val="22"/>
        </w:rPr>
        <w:t xml:space="preserve">publishing </w:t>
      </w:r>
      <w:r w:rsidR="00126EC3">
        <w:rPr>
          <w:color w:val="000000"/>
          <w:sz w:val="22"/>
          <w:szCs w:val="22"/>
        </w:rPr>
        <w:t>from preliminary proceedings</w:t>
      </w:r>
      <w:r w:rsidR="00126EC3" w:rsidRPr="001C23CB">
        <w:rPr>
          <w:color w:val="000000"/>
          <w:sz w:val="22"/>
          <w:szCs w:val="22"/>
        </w:rPr>
        <w:t xml:space="preserve"> </w:t>
      </w:r>
      <w:r w:rsidR="00126EC3">
        <w:rPr>
          <w:color w:val="000000"/>
          <w:sz w:val="22"/>
          <w:szCs w:val="22"/>
        </w:rPr>
        <w:t xml:space="preserve">or </w:t>
      </w:r>
      <w:r w:rsidR="00C769AA" w:rsidRPr="001C23CB">
        <w:rPr>
          <w:color w:val="000000"/>
          <w:sz w:val="22"/>
          <w:szCs w:val="22"/>
        </w:rPr>
        <w:t xml:space="preserve">during a trial that the </w:t>
      </w:r>
      <w:r w:rsidR="00126EC3">
        <w:rPr>
          <w:color w:val="000000"/>
          <w:sz w:val="22"/>
          <w:szCs w:val="22"/>
        </w:rPr>
        <w:t xml:space="preserve">court </w:t>
      </w:r>
      <w:r w:rsidR="00C769AA" w:rsidRPr="001C23CB">
        <w:rPr>
          <w:color w:val="000000"/>
          <w:sz w:val="22"/>
          <w:szCs w:val="22"/>
        </w:rPr>
        <w:t xml:space="preserve">has made an order under section 36 of the 1999 Act to prohibit a defendant </w:t>
      </w:r>
      <w:r w:rsidR="00C769AA" w:rsidRPr="001C23CB">
        <w:rPr>
          <w:color w:val="000000"/>
          <w:sz w:val="22"/>
          <w:szCs w:val="22"/>
        </w:rPr>
        <w:lastRenderedPageBreak/>
        <w:t xml:space="preserve">representing himself or herself from personally cross-examining a witness. </w:t>
      </w:r>
      <w:r w:rsidR="00EA2ACA">
        <w:rPr>
          <w:color w:val="000000"/>
          <w:sz w:val="22"/>
          <w:szCs w:val="22"/>
        </w:rPr>
        <w:t xml:space="preserve">Courts </w:t>
      </w:r>
      <w:r w:rsidR="00C769AA" w:rsidRPr="001C23CB">
        <w:rPr>
          <w:color w:val="000000"/>
          <w:sz w:val="22"/>
          <w:szCs w:val="22"/>
        </w:rPr>
        <w:t>can use this power to protect a witness who is the alleged victim</w:t>
      </w:r>
      <w:r w:rsidR="00FD49D6">
        <w:rPr>
          <w:color w:val="000000"/>
          <w:sz w:val="22"/>
          <w:szCs w:val="22"/>
        </w:rPr>
        <w:t xml:space="preserve"> from intimidation by the defendant</w:t>
      </w:r>
      <w:r w:rsidR="00C769AA" w:rsidRPr="001C23CB">
        <w:rPr>
          <w:color w:val="000000"/>
          <w:sz w:val="22"/>
          <w:szCs w:val="22"/>
        </w:rPr>
        <w:t xml:space="preserve">. </w:t>
      </w:r>
      <w:r w:rsidR="00C90FFE">
        <w:rPr>
          <w:color w:val="000000"/>
          <w:sz w:val="22"/>
          <w:szCs w:val="22"/>
        </w:rPr>
        <w:t>In such circumstances, o</w:t>
      </w:r>
      <w:r w:rsidR="00C769AA" w:rsidRPr="001C23CB">
        <w:rPr>
          <w:color w:val="000000"/>
          <w:sz w:val="22"/>
          <w:szCs w:val="22"/>
        </w:rPr>
        <w:t xml:space="preserve">ften the cross-examination </w:t>
      </w:r>
      <w:r w:rsidR="00C90FFE">
        <w:rPr>
          <w:color w:val="000000"/>
          <w:sz w:val="22"/>
          <w:szCs w:val="22"/>
        </w:rPr>
        <w:t xml:space="preserve">of that witness </w:t>
      </w:r>
      <w:r w:rsidR="00C769AA" w:rsidRPr="001C23CB">
        <w:rPr>
          <w:color w:val="000000"/>
          <w:sz w:val="22"/>
          <w:szCs w:val="22"/>
        </w:rPr>
        <w:t>will be done by a specially briefed lawyer, although such a defendant conducts th</w:t>
      </w:r>
      <w:r w:rsidR="00C90FFE">
        <w:rPr>
          <w:color w:val="000000"/>
          <w:sz w:val="22"/>
          <w:szCs w:val="22"/>
        </w:rPr>
        <w:t xml:space="preserve">e rest of the case him/herself. </w:t>
      </w:r>
      <w:r w:rsidR="00C769AA" w:rsidRPr="001C23CB">
        <w:rPr>
          <w:color w:val="000000"/>
          <w:sz w:val="22"/>
          <w:szCs w:val="22"/>
        </w:rPr>
        <w:t xml:space="preserve">It is also illegal </w:t>
      </w:r>
      <w:r w:rsidR="008C01EC">
        <w:rPr>
          <w:color w:val="000000"/>
          <w:sz w:val="22"/>
          <w:szCs w:val="22"/>
        </w:rPr>
        <w:t xml:space="preserve">under section 47 </w:t>
      </w:r>
      <w:r w:rsidR="00C769AA" w:rsidRPr="001C23CB">
        <w:rPr>
          <w:color w:val="000000"/>
          <w:sz w:val="22"/>
          <w:szCs w:val="22"/>
        </w:rPr>
        <w:t xml:space="preserve">for </w:t>
      </w:r>
      <w:r w:rsidR="00C90FFE">
        <w:rPr>
          <w:color w:val="000000"/>
          <w:sz w:val="22"/>
          <w:szCs w:val="22"/>
        </w:rPr>
        <w:t xml:space="preserve">anyone </w:t>
      </w:r>
      <w:r w:rsidR="00C769AA" w:rsidRPr="001C23CB">
        <w:rPr>
          <w:color w:val="000000"/>
          <w:sz w:val="22"/>
          <w:szCs w:val="22"/>
        </w:rPr>
        <w:t xml:space="preserve">to </w:t>
      </w:r>
      <w:r w:rsidR="00C90FFE">
        <w:rPr>
          <w:color w:val="000000"/>
          <w:sz w:val="22"/>
          <w:szCs w:val="22"/>
        </w:rPr>
        <w:t xml:space="preserve">publish </w:t>
      </w:r>
      <w:r w:rsidR="00126EC3">
        <w:rPr>
          <w:color w:val="000000"/>
          <w:sz w:val="22"/>
          <w:szCs w:val="22"/>
        </w:rPr>
        <w:t xml:space="preserve">from preliminary proceedings or </w:t>
      </w:r>
      <w:r w:rsidR="00C769AA" w:rsidRPr="001C23CB">
        <w:rPr>
          <w:color w:val="000000"/>
          <w:sz w:val="22"/>
          <w:szCs w:val="22"/>
        </w:rPr>
        <w:t xml:space="preserve">during the trial </w:t>
      </w:r>
      <w:r w:rsidR="00C90FFE">
        <w:rPr>
          <w:color w:val="000000"/>
          <w:sz w:val="22"/>
          <w:szCs w:val="22"/>
        </w:rPr>
        <w:t xml:space="preserve">a report of </w:t>
      </w:r>
      <w:r w:rsidR="00C769AA" w:rsidRPr="001C23CB">
        <w:rPr>
          <w:color w:val="000000"/>
          <w:sz w:val="22"/>
          <w:szCs w:val="22"/>
        </w:rPr>
        <w:t>any discussion in court on whether a section 36 order should be made, or that it has been discharged.</w:t>
      </w:r>
    </w:p>
    <w:p w14:paraId="49C49A72" w14:textId="77777777" w:rsidR="00763A9F" w:rsidRDefault="00763A9F" w:rsidP="00763A9F">
      <w:pPr>
        <w:pStyle w:val="p1"/>
        <w:ind w:firstLine="0"/>
        <w:jc w:val="left"/>
        <w:rPr>
          <w:sz w:val="22"/>
          <w:szCs w:val="22"/>
        </w:rPr>
      </w:pPr>
    </w:p>
    <w:p w14:paraId="1665D378" w14:textId="77777777" w:rsidR="00763A9F" w:rsidRDefault="00763A9F" w:rsidP="00763A9F">
      <w:pPr>
        <w:pStyle w:val="p"/>
        <w:jc w:val="left"/>
        <w:rPr>
          <w:color w:val="000000"/>
          <w:sz w:val="22"/>
          <w:szCs w:val="22"/>
        </w:rPr>
      </w:pPr>
      <w:r w:rsidRPr="00763A9F">
        <w:rPr>
          <w:sz w:val="22"/>
          <w:szCs w:val="22"/>
        </w:rPr>
        <w:t xml:space="preserve">Section 47 also </w:t>
      </w:r>
      <w:r w:rsidR="000B37AD">
        <w:rPr>
          <w:sz w:val="22"/>
          <w:szCs w:val="22"/>
        </w:rPr>
        <w:t xml:space="preserve">automatically </w:t>
      </w:r>
      <w:r w:rsidRPr="00763A9F">
        <w:rPr>
          <w:sz w:val="22"/>
          <w:szCs w:val="22"/>
        </w:rPr>
        <w:t>ban</w:t>
      </w:r>
      <w:r w:rsidR="000B37AD">
        <w:rPr>
          <w:sz w:val="22"/>
          <w:szCs w:val="22"/>
        </w:rPr>
        <w:t xml:space="preserve">s </w:t>
      </w:r>
      <w:r w:rsidRPr="00763A9F">
        <w:rPr>
          <w:sz w:val="22"/>
          <w:szCs w:val="22"/>
        </w:rPr>
        <w:t xml:space="preserve">anyone from publishing </w:t>
      </w:r>
      <w:r w:rsidR="00EA2ACA">
        <w:rPr>
          <w:sz w:val="22"/>
          <w:szCs w:val="22"/>
        </w:rPr>
        <w:t xml:space="preserve">from preliminary proceedings or </w:t>
      </w:r>
      <w:r w:rsidRPr="00763A9F">
        <w:rPr>
          <w:sz w:val="22"/>
          <w:szCs w:val="22"/>
        </w:rPr>
        <w:t xml:space="preserve">during a trial that a section 33A order has been made under the Act to allow a defendant to give evidence via live </w:t>
      </w:r>
      <w:r w:rsidR="00BD0E05">
        <w:rPr>
          <w:sz w:val="22"/>
          <w:szCs w:val="22"/>
        </w:rPr>
        <w:t xml:space="preserve">video </w:t>
      </w:r>
      <w:r w:rsidRPr="00763A9F">
        <w:rPr>
          <w:sz w:val="22"/>
          <w:szCs w:val="22"/>
        </w:rPr>
        <w:t xml:space="preserve">link to help ensure </w:t>
      </w:r>
      <w:r>
        <w:rPr>
          <w:sz w:val="22"/>
          <w:szCs w:val="22"/>
        </w:rPr>
        <w:t xml:space="preserve">his or her </w:t>
      </w:r>
      <w:r w:rsidRPr="00763A9F">
        <w:rPr>
          <w:sz w:val="22"/>
          <w:szCs w:val="22"/>
        </w:rPr>
        <w:t xml:space="preserve">effective participation in the trial. </w:t>
      </w:r>
      <w:r w:rsidR="00126EC3">
        <w:rPr>
          <w:sz w:val="22"/>
          <w:szCs w:val="22"/>
        </w:rPr>
        <w:t>T</w:t>
      </w:r>
      <w:r w:rsidRPr="00763A9F">
        <w:rPr>
          <w:sz w:val="22"/>
          <w:szCs w:val="22"/>
        </w:rPr>
        <w:t xml:space="preserve">he order can be made </w:t>
      </w:r>
      <w:r w:rsidR="00126EC3">
        <w:rPr>
          <w:sz w:val="22"/>
          <w:szCs w:val="22"/>
        </w:rPr>
        <w:t xml:space="preserve">for </w:t>
      </w:r>
      <w:r w:rsidR="00126EC3" w:rsidRPr="00763A9F">
        <w:rPr>
          <w:sz w:val="22"/>
          <w:szCs w:val="22"/>
        </w:rPr>
        <w:t xml:space="preserve">a defendant aged under 18 </w:t>
      </w:r>
      <w:r w:rsidRPr="00763A9F">
        <w:rPr>
          <w:sz w:val="22"/>
          <w:szCs w:val="22"/>
        </w:rPr>
        <w:t xml:space="preserve">if his or her </w:t>
      </w:r>
      <w:r w:rsidRPr="00763A9F">
        <w:rPr>
          <w:sz w:val="22"/>
          <w:szCs w:val="22"/>
          <w:shd w:val="clear" w:color="auto" w:fill="FFFFFF"/>
        </w:rPr>
        <w:t>ability to participate effectively in the proceedings as a witness giving oral evidence in court is compromised by his or her level of intellectual ability or social functioning</w:t>
      </w:r>
      <w:r w:rsidR="00126EC3">
        <w:rPr>
          <w:sz w:val="22"/>
          <w:szCs w:val="22"/>
          <w:shd w:val="clear" w:color="auto" w:fill="FFFFFF"/>
        </w:rPr>
        <w:t xml:space="preserve">. It can be made </w:t>
      </w:r>
      <w:r w:rsidRPr="00763A9F">
        <w:rPr>
          <w:sz w:val="22"/>
          <w:szCs w:val="22"/>
        </w:rPr>
        <w:t xml:space="preserve">for </w:t>
      </w:r>
      <w:r w:rsidR="00BD0E05">
        <w:rPr>
          <w:sz w:val="22"/>
          <w:szCs w:val="22"/>
        </w:rPr>
        <w:t>an adult defendant</w:t>
      </w:r>
      <w:r w:rsidRPr="00763A9F">
        <w:rPr>
          <w:sz w:val="22"/>
          <w:szCs w:val="22"/>
        </w:rPr>
        <w:t xml:space="preserve"> if </w:t>
      </w:r>
      <w:r w:rsidRPr="00763A9F">
        <w:rPr>
          <w:sz w:val="22"/>
          <w:szCs w:val="22"/>
          <w:shd w:val="clear" w:color="auto" w:fill="FFFFFF"/>
        </w:rPr>
        <w:t>he or she suffers from a mental disorder or otherwise has a significant impairment of intelligence and social function</w:t>
      </w:r>
      <w:r w:rsidR="00FD49D6">
        <w:rPr>
          <w:sz w:val="22"/>
          <w:szCs w:val="22"/>
          <w:shd w:val="clear" w:color="auto" w:fill="FFFFFF"/>
        </w:rPr>
        <w:t>ing</w:t>
      </w:r>
      <w:r w:rsidRPr="00763A9F">
        <w:rPr>
          <w:sz w:val="22"/>
          <w:szCs w:val="22"/>
          <w:shd w:val="clear" w:color="auto" w:fill="FFFFFF"/>
        </w:rPr>
        <w:t xml:space="preserve">. </w:t>
      </w:r>
      <w:r>
        <w:rPr>
          <w:sz w:val="22"/>
          <w:szCs w:val="22"/>
          <w:shd w:val="clear" w:color="auto" w:fill="FFFFFF"/>
        </w:rPr>
        <w:t xml:space="preserve"> </w:t>
      </w:r>
      <w:r w:rsidRPr="001C23CB">
        <w:rPr>
          <w:color w:val="000000"/>
          <w:sz w:val="22"/>
          <w:szCs w:val="22"/>
        </w:rPr>
        <w:t xml:space="preserve">It is also illegal </w:t>
      </w:r>
      <w:r w:rsidR="008C01EC">
        <w:rPr>
          <w:color w:val="000000"/>
          <w:sz w:val="22"/>
          <w:szCs w:val="22"/>
        </w:rPr>
        <w:t xml:space="preserve">under section 47 </w:t>
      </w:r>
      <w:r w:rsidRPr="001C23CB">
        <w:rPr>
          <w:color w:val="000000"/>
          <w:sz w:val="22"/>
          <w:szCs w:val="22"/>
        </w:rPr>
        <w:t xml:space="preserve">for </w:t>
      </w:r>
      <w:r w:rsidR="00EA2ACA">
        <w:rPr>
          <w:color w:val="000000"/>
          <w:sz w:val="22"/>
          <w:szCs w:val="22"/>
        </w:rPr>
        <w:t xml:space="preserve">anyone to publish </w:t>
      </w:r>
      <w:r w:rsidR="00126EC3">
        <w:rPr>
          <w:color w:val="000000"/>
          <w:sz w:val="22"/>
          <w:szCs w:val="22"/>
        </w:rPr>
        <w:t xml:space="preserve">before or </w:t>
      </w:r>
      <w:r w:rsidRPr="001C23CB">
        <w:rPr>
          <w:color w:val="000000"/>
          <w:sz w:val="22"/>
          <w:szCs w:val="22"/>
        </w:rPr>
        <w:t xml:space="preserve">during the trial </w:t>
      </w:r>
      <w:r w:rsidR="00C90FFE">
        <w:rPr>
          <w:color w:val="000000"/>
          <w:sz w:val="22"/>
          <w:szCs w:val="22"/>
        </w:rPr>
        <w:t xml:space="preserve">a report of </w:t>
      </w:r>
      <w:r w:rsidRPr="001C23CB">
        <w:rPr>
          <w:color w:val="000000"/>
          <w:sz w:val="22"/>
          <w:szCs w:val="22"/>
        </w:rPr>
        <w:t xml:space="preserve">any discussion in court on whether a section </w:t>
      </w:r>
      <w:r>
        <w:rPr>
          <w:color w:val="000000"/>
          <w:sz w:val="22"/>
          <w:szCs w:val="22"/>
        </w:rPr>
        <w:t xml:space="preserve">33A </w:t>
      </w:r>
      <w:r w:rsidR="00EA2ACA">
        <w:rPr>
          <w:color w:val="000000"/>
          <w:sz w:val="22"/>
          <w:szCs w:val="22"/>
        </w:rPr>
        <w:t xml:space="preserve">order should be made, </w:t>
      </w:r>
      <w:r w:rsidRPr="001C23CB">
        <w:rPr>
          <w:color w:val="000000"/>
          <w:sz w:val="22"/>
          <w:szCs w:val="22"/>
        </w:rPr>
        <w:t>or that it has been discharged.</w:t>
      </w:r>
    </w:p>
    <w:p w14:paraId="5B6E6414" w14:textId="77777777" w:rsidR="00763A9F" w:rsidRDefault="00763A9F" w:rsidP="00763A9F">
      <w:pPr>
        <w:pStyle w:val="p1"/>
        <w:ind w:firstLine="0"/>
        <w:jc w:val="left"/>
        <w:rPr>
          <w:sz w:val="22"/>
          <w:szCs w:val="22"/>
        </w:rPr>
      </w:pPr>
    </w:p>
    <w:p w14:paraId="35024A07" w14:textId="77777777" w:rsidR="00126EC3" w:rsidRDefault="00EA758C" w:rsidP="00E347DE">
      <w:pPr>
        <w:pStyle w:val="p1"/>
        <w:ind w:firstLine="0"/>
        <w:jc w:val="left"/>
        <w:rPr>
          <w:color w:val="000000"/>
          <w:sz w:val="22"/>
          <w:szCs w:val="22"/>
        </w:rPr>
      </w:pPr>
      <w:r>
        <w:rPr>
          <w:color w:val="000000"/>
          <w:sz w:val="22"/>
          <w:szCs w:val="22"/>
        </w:rPr>
        <w:t>The</w:t>
      </w:r>
      <w:r w:rsidR="00C769AA" w:rsidRPr="001C23CB">
        <w:rPr>
          <w:color w:val="000000"/>
          <w:sz w:val="22"/>
          <w:szCs w:val="22"/>
        </w:rPr>
        <w:t xml:space="preserve"> </w:t>
      </w:r>
      <w:r w:rsidR="0098298C">
        <w:rPr>
          <w:color w:val="000000"/>
          <w:sz w:val="22"/>
          <w:szCs w:val="22"/>
        </w:rPr>
        <w:t xml:space="preserve">section 47 </w:t>
      </w:r>
      <w:r>
        <w:rPr>
          <w:color w:val="000000"/>
          <w:sz w:val="22"/>
          <w:szCs w:val="22"/>
        </w:rPr>
        <w:t xml:space="preserve">reporting </w:t>
      </w:r>
      <w:r w:rsidR="00C769AA" w:rsidRPr="001C23CB">
        <w:rPr>
          <w:color w:val="000000"/>
          <w:sz w:val="22"/>
          <w:szCs w:val="22"/>
        </w:rPr>
        <w:t xml:space="preserve">restrictions apply to proceedings in magistrates’ courts as well as to jury trials. Their purpose is to stop jurors (who would not be in court when an order was made or discussed) being prejudiced against the defendant or a witness by learning, before they reach all verdicts in the case, why the court considered making or made the </w:t>
      </w:r>
      <w:r w:rsidR="009D7D81">
        <w:rPr>
          <w:color w:val="000000"/>
          <w:sz w:val="22"/>
          <w:szCs w:val="22"/>
        </w:rPr>
        <w:t xml:space="preserve">relevant </w:t>
      </w:r>
      <w:r w:rsidR="00C769AA" w:rsidRPr="001C23CB">
        <w:rPr>
          <w:color w:val="000000"/>
          <w:sz w:val="22"/>
          <w:szCs w:val="22"/>
        </w:rPr>
        <w:t>order.</w:t>
      </w:r>
      <w:r w:rsidR="0098298C">
        <w:rPr>
          <w:color w:val="000000"/>
          <w:sz w:val="22"/>
          <w:szCs w:val="22"/>
        </w:rPr>
        <w:t xml:space="preserve"> </w:t>
      </w:r>
    </w:p>
    <w:p w14:paraId="33DEC490" w14:textId="77777777" w:rsidR="00050EB9" w:rsidRPr="001C23CB" w:rsidRDefault="00050EB9" w:rsidP="00E347DE">
      <w:pPr>
        <w:pStyle w:val="p1"/>
        <w:ind w:firstLine="0"/>
        <w:jc w:val="left"/>
        <w:rPr>
          <w:color w:val="000000"/>
          <w:sz w:val="22"/>
          <w:szCs w:val="22"/>
        </w:rPr>
      </w:pPr>
    </w:p>
    <w:p w14:paraId="04278FDF" w14:textId="77777777" w:rsidR="00C769AA" w:rsidRDefault="00C769AA" w:rsidP="00E347DE">
      <w:pPr>
        <w:pStyle w:val="p1"/>
        <w:ind w:firstLine="0"/>
        <w:jc w:val="left"/>
        <w:rPr>
          <w:color w:val="000000"/>
          <w:sz w:val="22"/>
          <w:szCs w:val="22"/>
        </w:rPr>
      </w:pPr>
      <w:r w:rsidRPr="001C23CB">
        <w:rPr>
          <w:color w:val="000000"/>
          <w:sz w:val="22"/>
          <w:szCs w:val="22"/>
        </w:rPr>
        <w:t>It will be safe to report, during a trial, anything th</w:t>
      </w:r>
      <w:r w:rsidR="00EA2ACA">
        <w:rPr>
          <w:color w:val="000000"/>
          <w:sz w:val="22"/>
          <w:szCs w:val="22"/>
        </w:rPr>
        <w:t xml:space="preserve">at can be seen in court </w:t>
      </w:r>
      <w:r w:rsidR="00FD49D6">
        <w:rPr>
          <w:color w:val="000000"/>
          <w:sz w:val="22"/>
          <w:szCs w:val="22"/>
        </w:rPr>
        <w:t xml:space="preserve"> – for example, </w:t>
      </w:r>
      <w:r w:rsidRPr="001C23CB">
        <w:rPr>
          <w:color w:val="000000"/>
          <w:sz w:val="22"/>
          <w:szCs w:val="22"/>
        </w:rPr>
        <w:t xml:space="preserve">that a witness </w:t>
      </w:r>
      <w:r w:rsidR="00126EC3">
        <w:rPr>
          <w:color w:val="000000"/>
          <w:sz w:val="22"/>
          <w:szCs w:val="22"/>
        </w:rPr>
        <w:t xml:space="preserve">or defendant </w:t>
      </w:r>
      <w:r w:rsidRPr="001C23CB">
        <w:rPr>
          <w:color w:val="000000"/>
          <w:sz w:val="22"/>
          <w:szCs w:val="22"/>
        </w:rPr>
        <w:t xml:space="preserve">is giving evidence by </w:t>
      </w:r>
      <w:r w:rsidR="00BD0E05">
        <w:rPr>
          <w:color w:val="000000"/>
          <w:sz w:val="22"/>
          <w:szCs w:val="22"/>
        </w:rPr>
        <w:t xml:space="preserve">live </w:t>
      </w:r>
      <w:r w:rsidRPr="001C23CB">
        <w:rPr>
          <w:color w:val="000000"/>
          <w:sz w:val="22"/>
          <w:szCs w:val="22"/>
        </w:rPr>
        <w:t>video</w:t>
      </w:r>
      <w:r w:rsidR="00BD0E05">
        <w:rPr>
          <w:color w:val="000000"/>
          <w:sz w:val="22"/>
          <w:szCs w:val="22"/>
        </w:rPr>
        <w:t xml:space="preserve"> link</w:t>
      </w:r>
      <w:r w:rsidRPr="001C23CB">
        <w:rPr>
          <w:color w:val="000000"/>
          <w:sz w:val="22"/>
          <w:szCs w:val="22"/>
        </w:rPr>
        <w:t>, and anything the judge says to the jury to explain the effect of a section 19</w:t>
      </w:r>
      <w:r w:rsidR="00126EC3">
        <w:rPr>
          <w:color w:val="000000"/>
          <w:sz w:val="22"/>
          <w:szCs w:val="22"/>
        </w:rPr>
        <w:t xml:space="preserve">, 33A or </w:t>
      </w:r>
      <w:r w:rsidRPr="001C23CB">
        <w:rPr>
          <w:color w:val="000000"/>
          <w:sz w:val="22"/>
          <w:szCs w:val="22"/>
        </w:rPr>
        <w:t>36 order – for example, why a lawyer steps in to act for a defendant who is otherwise representing himself.</w:t>
      </w:r>
    </w:p>
    <w:p w14:paraId="7CC72364" w14:textId="77777777" w:rsidR="00126EC3" w:rsidRPr="001C23CB" w:rsidRDefault="00126EC3" w:rsidP="00E347DE">
      <w:pPr>
        <w:pStyle w:val="p1"/>
        <w:ind w:firstLine="0"/>
        <w:jc w:val="left"/>
        <w:rPr>
          <w:color w:val="000000"/>
          <w:sz w:val="22"/>
          <w:szCs w:val="22"/>
        </w:rPr>
      </w:pPr>
    </w:p>
    <w:p w14:paraId="7EA5BB2B" w14:textId="77777777" w:rsidR="00C769AA" w:rsidRDefault="00C769AA" w:rsidP="00E347DE">
      <w:pPr>
        <w:pStyle w:val="p1"/>
        <w:ind w:firstLine="0"/>
        <w:jc w:val="left"/>
        <w:rPr>
          <w:color w:val="000000"/>
          <w:sz w:val="22"/>
          <w:szCs w:val="22"/>
        </w:rPr>
      </w:pPr>
      <w:r w:rsidRPr="001C23CB">
        <w:rPr>
          <w:color w:val="000000"/>
          <w:sz w:val="22"/>
          <w:szCs w:val="22"/>
        </w:rPr>
        <w:lastRenderedPageBreak/>
        <w:t>But it would, for example, be illegal to publish the fact, beyond any explanati</w:t>
      </w:r>
      <w:r w:rsidR="008C2325" w:rsidRPr="001C23CB">
        <w:rPr>
          <w:color w:val="000000"/>
          <w:sz w:val="22"/>
          <w:szCs w:val="22"/>
        </w:rPr>
        <w:t xml:space="preserve">on the judge gives to the jury, </w:t>
      </w:r>
      <w:r w:rsidRPr="001C23CB">
        <w:rPr>
          <w:color w:val="000000"/>
          <w:sz w:val="22"/>
          <w:szCs w:val="22"/>
        </w:rPr>
        <w:t>that most reporters were ordered to leave the courtroom</w:t>
      </w:r>
      <w:r w:rsidR="00126EC3">
        <w:rPr>
          <w:color w:val="000000"/>
          <w:sz w:val="22"/>
          <w:szCs w:val="22"/>
        </w:rPr>
        <w:t xml:space="preserve">, </w:t>
      </w:r>
      <w:r w:rsidR="00EA2ACA">
        <w:rPr>
          <w:color w:val="000000"/>
          <w:sz w:val="22"/>
          <w:szCs w:val="22"/>
        </w:rPr>
        <w:t xml:space="preserve">or </w:t>
      </w:r>
      <w:r w:rsidR="0098298C">
        <w:rPr>
          <w:color w:val="000000"/>
          <w:sz w:val="22"/>
          <w:szCs w:val="22"/>
        </w:rPr>
        <w:t xml:space="preserve">that </w:t>
      </w:r>
      <w:r w:rsidR="00126EC3">
        <w:rPr>
          <w:color w:val="000000"/>
          <w:sz w:val="22"/>
          <w:szCs w:val="22"/>
        </w:rPr>
        <w:t xml:space="preserve">a defendant has been banned from conducting cross-examination or why a </w:t>
      </w:r>
      <w:r w:rsidR="00EA2ACA">
        <w:rPr>
          <w:color w:val="000000"/>
          <w:sz w:val="22"/>
          <w:szCs w:val="22"/>
        </w:rPr>
        <w:t xml:space="preserve">witness or </w:t>
      </w:r>
      <w:r w:rsidR="00126EC3">
        <w:rPr>
          <w:color w:val="000000"/>
          <w:sz w:val="22"/>
          <w:szCs w:val="22"/>
        </w:rPr>
        <w:t xml:space="preserve">defendant has been allowed to give evidence via live </w:t>
      </w:r>
      <w:r w:rsidR="00BD0E05">
        <w:rPr>
          <w:color w:val="000000"/>
          <w:sz w:val="22"/>
          <w:szCs w:val="22"/>
        </w:rPr>
        <w:t xml:space="preserve">video </w:t>
      </w:r>
      <w:r w:rsidR="00126EC3">
        <w:rPr>
          <w:color w:val="000000"/>
          <w:sz w:val="22"/>
          <w:szCs w:val="22"/>
        </w:rPr>
        <w:t>link</w:t>
      </w:r>
      <w:r w:rsidRPr="001C23CB">
        <w:rPr>
          <w:color w:val="000000"/>
          <w:sz w:val="22"/>
          <w:szCs w:val="22"/>
        </w:rPr>
        <w:t xml:space="preserve">. </w:t>
      </w:r>
    </w:p>
    <w:p w14:paraId="370A6CF6" w14:textId="77777777" w:rsidR="00126EC3" w:rsidRDefault="00126EC3" w:rsidP="00E347DE">
      <w:pPr>
        <w:pStyle w:val="p1"/>
        <w:ind w:firstLine="0"/>
        <w:jc w:val="left"/>
        <w:rPr>
          <w:color w:val="000000"/>
          <w:sz w:val="22"/>
          <w:szCs w:val="22"/>
        </w:rPr>
      </w:pPr>
    </w:p>
    <w:p w14:paraId="2602FB73" w14:textId="77777777" w:rsidR="0098298C" w:rsidRDefault="00C769AA" w:rsidP="00E347DE">
      <w:pPr>
        <w:pStyle w:val="p1"/>
        <w:ind w:firstLine="0"/>
        <w:jc w:val="left"/>
        <w:rPr>
          <w:color w:val="000000"/>
          <w:sz w:val="22"/>
          <w:szCs w:val="22"/>
        </w:rPr>
      </w:pPr>
      <w:r w:rsidRPr="001C23CB">
        <w:rPr>
          <w:color w:val="000000"/>
          <w:sz w:val="22"/>
          <w:szCs w:val="22"/>
        </w:rPr>
        <w:t xml:space="preserve">These reporting restrictions </w:t>
      </w:r>
      <w:r w:rsidR="00BD0E05">
        <w:rPr>
          <w:color w:val="000000"/>
          <w:sz w:val="22"/>
          <w:szCs w:val="22"/>
        </w:rPr>
        <w:t xml:space="preserve">automatically </w:t>
      </w:r>
      <w:r w:rsidRPr="001C23CB">
        <w:rPr>
          <w:color w:val="000000"/>
          <w:sz w:val="22"/>
          <w:szCs w:val="22"/>
        </w:rPr>
        <w:t>cease to have effect when the relevant case, against all defendants involved, is determined by acquittal, conviction, or otherwise, or is abandoned</w:t>
      </w:r>
      <w:r w:rsidR="00BD0E05">
        <w:rPr>
          <w:color w:val="000000"/>
          <w:sz w:val="22"/>
          <w:szCs w:val="22"/>
        </w:rPr>
        <w:t xml:space="preserve">. Also, </w:t>
      </w:r>
      <w:r w:rsidRPr="001C23CB">
        <w:rPr>
          <w:color w:val="000000"/>
          <w:sz w:val="22"/>
          <w:szCs w:val="22"/>
        </w:rPr>
        <w:t xml:space="preserve">the court </w:t>
      </w:r>
      <w:r w:rsidR="00BD0E05">
        <w:rPr>
          <w:color w:val="000000"/>
          <w:sz w:val="22"/>
          <w:szCs w:val="22"/>
        </w:rPr>
        <w:t>can lift</w:t>
      </w:r>
      <w:r w:rsidRPr="001C23CB">
        <w:rPr>
          <w:color w:val="000000"/>
          <w:sz w:val="22"/>
          <w:szCs w:val="22"/>
        </w:rPr>
        <w:t xml:space="preserve"> </w:t>
      </w:r>
      <w:r w:rsidR="00EA758C">
        <w:rPr>
          <w:color w:val="000000"/>
          <w:sz w:val="22"/>
          <w:szCs w:val="22"/>
        </w:rPr>
        <w:t xml:space="preserve">any of these reporting </w:t>
      </w:r>
      <w:r w:rsidRPr="001C23CB">
        <w:rPr>
          <w:color w:val="000000"/>
          <w:sz w:val="22"/>
          <w:szCs w:val="22"/>
        </w:rPr>
        <w:t xml:space="preserve">restrictions </w:t>
      </w:r>
      <w:r w:rsidR="0098298C">
        <w:rPr>
          <w:color w:val="000000"/>
          <w:sz w:val="22"/>
          <w:szCs w:val="22"/>
        </w:rPr>
        <w:t>at any earlier stage.</w:t>
      </w:r>
    </w:p>
    <w:p w14:paraId="5B753BB3" w14:textId="77777777" w:rsidR="0098298C" w:rsidRDefault="0098298C" w:rsidP="00E347DE">
      <w:pPr>
        <w:pStyle w:val="p1"/>
        <w:ind w:firstLine="0"/>
        <w:jc w:val="left"/>
        <w:rPr>
          <w:color w:val="000000"/>
          <w:sz w:val="22"/>
          <w:szCs w:val="22"/>
        </w:rPr>
      </w:pPr>
    </w:p>
    <w:p w14:paraId="3B802276" w14:textId="77777777" w:rsidR="00C769AA" w:rsidRDefault="0098298C" w:rsidP="00E347DE">
      <w:pPr>
        <w:pStyle w:val="p1"/>
        <w:ind w:firstLine="0"/>
        <w:jc w:val="left"/>
        <w:rPr>
          <w:color w:val="000000"/>
          <w:sz w:val="22"/>
          <w:szCs w:val="22"/>
        </w:rPr>
      </w:pPr>
      <w:r>
        <w:rPr>
          <w:color w:val="000000"/>
          <w:sz w:val="22"/>
          <w:szCs w:val="22"/>
        </w:rPr>
        <w:t xml:space="preserve">If </w:t>
      </w:r>
      <w:r w:rsidR="008C01EC">
        <w:rPr>
          <w:color w:val="000000"/>
          <w:sz w:val="22"/>
          <w:szCs w:val="22"/>
        </w:rPr>
        <w:t xml:space="preserve">the court </w:t>
      </w:r>
      <w:r>
        <w:rPr>
          <w:color w:val="000000"/>
          <w:sz w:val="22"/>
          <w:szCs w:val="22"/>
        </w:rPr>
        <w:t xml:space="preserve">does lift </w:t>
      </w:r>
      <w:r w:rsidR="00EA758C">
        <w:rPr>
          <w:color w:val="000000"/>
          <w:sz w:val="22"/>
          <w:szCs w:val="22"/>
        </w:rPr>
        <w:t xml:space="preserve">a section 47 </w:t>
      </w:r>
      <w:r>
        <w:rPr>
          <w:color w:val="000000"/>
          <w:sz w:val="22"/>
          <w:szCs w:val="22"/>
        </w:rPr>
        <w:t>restriction at an earlier stage, it is illegal</w:t>
      </w:r>
      <w:r w:rsidR="008C01EC">
        <w:rPr>
          <w:color w:val="000000"/>
          <w:sz w:val="22"/>
          <w:szCs w:val="22"/>
        </w:rPr>
        <w:t xml:space="preserve"> under </w:t>
      </w:r>
      <w:r w:rsidR="00F847C4">
        <w:rPr>
          <w:color w:val="000000"/>
          <w:sz w:val="22"/>
          <w:szCs w:val="22"/>
        </w:rPr>
        <w:t xml:space="preserve">the </w:t>
      </w:r>
      <w:r w:rsidR="008C01EC">
        <w:rPr>
          <w:color w:val="000000"/>
          <w:sz w:val="22"/>
          <w:szCs w:val="22"/>
        </w:rPr>
        <w:t xml:space="preserve">section </w:t>
      </w:r>
      <w:r>
        <w:rPr>
          <w:color w:val="000000"/>
          <w:sz w:val="22"/>
          <w:szCs w:val="22"/>
        </w:rPr>
        <w:t xml:space="preserve">to publish – until the case is determined </w:t>
      </w:r>
      <w:r w:rsidRPr="001C23CB">
        <w:rPr>
          <w:color w:val="000000"/>
          <w:sz w:val="22"/>
          <w:szCs w:val="22"/>
        </w:rPr>
        <w:t>by acquittal, conviction, or otherwise, or is abandoned</w:t>
      </w:r>
      <w:r>
        <w:rPr>
          <w:color w:val="000000"/>
          <w:sz w:val="22"/>
          <w:szCs w:val="22"/>
        </w:rPr>
        <w:t xml:space="preserve"> - the discussion in court which led to the lifting of the restriction (that is, any objection to or representations made about the lifting).</w:t>
      </w:r>
      <w:r w:rsidR="00EA758C">
        <w:rPr>
          <w:color w:val="000000"/>
          <w:sz w:val="22"/>
          <w:szCs w:val="22"/>
        </w:rPr>
        <w:t xml:space="preserve"> </w:t>
      </w:r>
    </w:p>
    <w:p w14:paraId="3DB6D9F1" w14:textId="77777777" w:rsidR="00EA2ACA" w:rsidRDefault="00EA2ACA" w:rsidP="00E347DE">
      <w:pPr>
        <w:pStyle w:val="p1"/>
        <w:ind w:firstLine="0"/>
        <w:jc w:val="left"/>
        <w:rPr>
          <w:color w:val="000000"/>
          <w:sz w:val="22"/>
          <w:szCs w:val="22"/>
        </w:rPr>
      </w:pPr>
    </w:p>
    <w:p w14:paraId="2AD3BA8F" w14:textId="77777777" w:rsidR="00C769AA" w:rsidRPr="001C23CB" w:rsidRDefault="00C769AA" w:rsidP="00E347DE">
      <w:pPr>
        <w:pStyle w:val="p1"/>
        <w:ind w:firstLine="0"/>
        <w:jc w:val="left"/>
        <w:rPr>
          <w:color w:val="000000"/>
          <w:sz w:val="22"/>
          <w:szCs w:val="22"/>
        </w:rPr>
      </w:pPr>
      <w:r w:rsidRPr="001C23CB">
        <w:rPr>
          <w:color w:val="000000"/>
          <w:sz w:val="22"/>
          <w:szCs w:val="22"/>
        </w:rPr>
        <w:t xml:space="preserve">Liability for breaching </w:t>
      </w:r>
      <w:r w:rsidR="00AD0B5D">
        <w:rPr>
          <w:color w:val="000000"/>
          <w:sz w:val="22"/>
          <w:szCs w:val="22"/>
        </w:rPr>
        <w:t xml:space="preserve">any of </w:t>
      </w:r>
      <w:r w:rsidRPr="001C23CB">
        <w:rPr>
          <w:color w:val="000000"/>
          <w:sz w:val="22"/>
          <w:szCs w:val="22"/>
        </w:rPr>
        <w:t xml:space="preserve">the section 47 reporting restrictions is the same as for breaching </w:t>
      </w:r>
      <w:r w:rsidR="00AD0B5D">
        <w:rPr>
          <w:color w:val="000000"/>
          <w:sz w:val="22"/>
          <w:szCs w:val="22"/>
        </w:rPr>
        <w:t xml:space="preserve">a </w:t>
      </w:r>
      <w:r w:rsidRPr="001C23CB">
        <w:rPr>
          <w:color w:val="000000"/>
          <w:sz w:val="22"/>
          <w:szCs w:val="22"/>
        </w:rPr>
        <w:t>reporting restriction</w:t>
      </w:r>
      <w:r w:rsidR="00BD0E05">
        <w:rPr>
          <w:color w:val="000000"/>
          <w:sz w:val="22"/>
          <w:szCs w:val="22"/>
        </w:rPr>
        <w:t xml:space="preserve"> imposed by </w:t>
      </w:r>
      <w:r w:rsidR="00AD0B5D">
        <w:rPr>
          <w:color w:val="000000"/>
          <w:sz w:val="22"/>
          <w:szCs w:val="22"/>
        </w:rPr>
        <w:t xml:space="preserve">an </w:t>
      </w:r>
      <w:r w:rsidR="00BD0E05">
        <w:rPr>
          <w:color w:val="000000"/>
          <w:sz w:val="22"/>
          <w:szCs w:val="22"/>
        </w:rPr>
        <w:t>order</w:t>
      </w:r>
      <w:r w:rsidR="00EA758C">
        <w:rPr>
          <w:color w:val="000000"/>
          <w:sz w:val="22"/>
          <w:szCs w:val="22"/>
        </w:rPr>
        <w:t xml:space="preserve"> made under the same Act’s section 46 </w:t>
      </w:r>
      <w:r w:rsidRPr="001C23CB">
        <w:rPr>
          <w:color w:val="000000"/>
          <w:sz w:val="22"/>
          <w:szCs w:val="22"/>
        </w:rPr>
        <w:t xml:space="preserve">– see </w:t>
      </w:r>
      <w:r w:rsidR="008C2325" w:rsidRPr="001C23CB">
        <w:rPr>
          <w:color w:val="000000"/>
          <w:sz w:val="22"/>
          <w:szCs w:val="22"/>
        </w:rPr>
        <w:t xml:space="preserve">the explanation in 12.9 in </w:t>
      </w:r>
      <w:r w:rsidRPr="001C23CB">
        <w:rPr>
          <w:i/>
          <w:color w:val="000000"/>
          <w:sz w:val="22"/>
          <w:szCs w:val="22"/>
        </w:rPr>
        <w:t>McNae’s</w:t>
      </w:r>
      <w:r w:rsidR="00BD0E05">
        <w:rPr>
          <w:i/>
          <w:color w:val="000000"/>
          <w:sz w:val="22"/>
          <w:szCs w:val="22"/>
        </w:rPr>
        <w:t xml:space="preserve"> </w:t>
      </w:r>
      <w:r w:rsidR="00BD0E05" w:rsidRPr="001C23CB">
        <w:rPr>
          <w:color w:val="000000"/>
          <w:sz w:val="22"/>
          <w:szCs w:val="22"/>
        </w:rPr>
        <w:t>of th</w:t>
      </w:r>
      <w:r w:rsidR="00AD0B5D">
        <w:rPr>
          <w:color w:val="000000"/>
          <w:sz w:val="22"/>
          <w:szCs w:val="22"/>
        </w:rPr>
        <w:t xml:space="preserve">at </w:t>
      </w:r>
      <w:r w:rsidR="00BD0E05" w:rsidRPr="001C23CB">
        <w:rPr>
          <w:color w:val="000000"/>
          <w:sz w:val="22"/>
          <w:szCs w:val="22"/>
        </w:rPr>
        <w:t>restriction</w:t>
      </w:r>
      <w:r w:rsidR="00BD0E05">
        <w:rPr>
          <w:color w:val="000000"/>
          <w:sz w:val="22"/>
          <w:szCs w:val="22"/>
        </w:rPr>
        <w:t xml:space="preserve"> (and it should be noted that a</w:t>
      </w:r>
      <w:r w:rsidRPr="001C23CB">
        <w:rPr>
          <w:color w:val="000000"/>
          <w:sz w:val="22"/>
          <w:szCs w:val="22"/>
        </w:rPr>
        <w:t>n adult witness subject to a special measures direction under section 19 of the Act may also have been granted lifetime anonymity, in respect of media reports of the trial, under section 46</w:t>
      </w:r>
      <w:r w:rsidR="00BD0E05">
        <w:rPr>
          <w:color w:val="000000"/>
          <w:sz w:val="22"/>
          <w:szCs w:val="22"/>
        </w:rPr>
        <w:t>)</w:t>
      </w:r>
      <w:r w:rsidRPr="001C23CB">
        <w:rPr>
          <w:color w:val="000000"/>
          <w:sz w:val="22"/>
          <w:szCs w:val="22"/>
        </w:rPr>
        <w:t xml:space="preserve">. </w:t>
      </w:r>
    </w:p>
    <w:p w14:paraId="17A8C8C8" w14:textId="77777777" w:rsidR="00BD0E05" w:rsidRDefault="00BD0E05" w:rsidP="00E347DE">
      <w:pPr>
        <w:pStyle w:val="p1"/>
        <w:ind w:firstLine="0"/>
        <w:jc w:val="left"/>
        <w:rPr>
          <w:color w:val="000000"/>
          <w:sz w:val="22"/>
          <w:szCs w:val="22"/>
        </w:rPr>
      </w:pPr>
    </w:p>
    <w:p w14:paraId="412B6969" w14:textId="77777777" w:rsidR="00C769AA" w:rsidRPr="001C23CB" w:rsidRDefault="00C769AA" w:rsidP="00E347DE">
      <w:pPr>
        <w:pStyle w:val="p1"/>
        <w:ind w:firstLine="0"/>
        <w:jc w:val="left"/>
        <w:rPr>
          <w:color w:val="000000"/>
          <w:sz w:val="22"/>
          <w:szCs w:val="22"/>
        </w:rPr>
      </w:pPr>
      <w:r w:rsidRPr="001C23CB">
        <w:rPr>
          <w:color w:val="000000"/>
          <w:sz w:val="22"/>
          <w:szCs w:val="22"/>
        </w:rPr>
        <w:t xml:space="preserve">It is a defence for a person charged with breaching </w:t>
      </w:r>
      <w:r w:rsidR="00AD0B5D">
        <w:rPr>
          <w:color w:val="000000"/>
          <w:sz w:val="22"/>
          <w:szCs w:val="22"/>
        </w:rPr>
        <w:t xml:space="preserve">a </w:t>
      </w:r>
      <w:r w:rsidRPr="001C23CB">
        <w:rPr>
          <w:color w:val="000000"/>
          <w:sz w:val="22"/>
          <w:szCs w:val="22"/>
        </w:rPr>
        <w:t xml:space="preserve">section 47 </w:t>
      </w:r>
      <w:r w:rsidR="00EA758C">
        <w:rPr>
          <w:color w:val="000000"/>
          <w:sz w:val="22"/>
          <w:szCs w:val="22"/>
        </w:rPr>
        <w:t xml:space="preserve">restriction </w:t>
      </w:r>
      <w:r w:rsidRPr="001C23CB">
        <w:rPr>
          <w:color w:val="000000"/>
          <w:sz w:val="22"/>
          <w:szCs w:val="22"/>
        </w:rPr>
        <w:t xml:space="preserve">to prove he/she was not aware and neither suspected nor had reason to suspect that such matter was included in what was published. </w:t>
      </w:r>
    </w:p>
    <w:p w14:paraId="3977C94C" w14:textId="77777777" w:rsidR="00EA2ACA" w:rsidRDefault="00EA2ACA" w:rsidP="00E347DE">
      <w:pPr>
        <w:pStyle w:val="p1"/>
        <w:ind w:firstLine="0"/>
        <w:jc w:val="left"/>
        <w:rPr>
          <w:color w:val="000000"/>
          <w:sz w:val="22"/>
          <w:szCs w:val="22"/>
        </w:rPr>
      </w:pPr>
    </w:p>
    <w:p w14:paraId="43722E85" w14:textId="77777777" w:rsidR="00C769AA" w:rsidRPr="001C23CB" w:rsidRDefault="008C2325" w:rsidP="000B37AD">
      <w:pPr>
        <w:pStyle w:val="p1"/>
        <w:ind w:firstLine="0"/>
        <w:jc w:val="left"/>
        <w:rPr>
          <w:color w:val="000000"/>
          <w:sz w:val="22"/>
          <w:szCs w:val="22"/>
        </w:rPr>
      </w:pPr>
      <w:r w:rsidRPr="001C23CB">
        <w:rPr>
          <w:color w:val="000000"/>
          <w:sz w:val="22"/>
          <w:szCs w:val="22"/>
        </w:rPr>
        <w:t xml:space="preserve">A court’s </w:t>
      </w:r>
      <w:r w:rsidR="00C769AA" w:rsidRPr="001C23CB">
        <w:rPr>
          <w:color w:val="000000"/>
          <w:sz w:val="22"/>
          <w:szCs w:val="22"/>
        </w:rPr>
        <w:t>decisions on ‘special measures’ and cross-examination issues are likely to be taken at pre-trial hearings, or when a jury is out of the court</w:t>
      </w:r>
      <w:r w:rsidR="000B37AD">
        <w:rPr>
          <w:color w:val="000000"/>
          <w:sz w:val="22"/>
          <w:szCs w:val="22"/>
        </w:rPr>
        <w:t xml:space="preserve">. Therefore </w:t>
      </w:r>
      <w:r w:rsidR="00C769AA" w:rsidRPr="001C23CB">
        <w:rPr>
          <w:color w:val="000000"/>
          <w:sz w:val="22"/>
          <w:szCs w:val="22"/>
        </w:rPr>
        <w:t xml:space="preserve">other statute, or contempt law, will probably also be in effect </w:t>
      </w:r>
      <w:r w:rsidRPr="001C23CB">
        <w:rPr>
          <w:color w:val="000000"/>
          <w:sz w:val="22"/>
          <w:szCs w:val="22"/>
        </w:rPr>
        <w:t xml:space="preserve">– see 9.4, 19.11.2 and 19.11.3 in </w:t>
      </w:r>
      <w:r w:rsidRPr="001C23CB">
        <w:rPr>
          <w:i/>
          <w:color w:val="000000"/>
          <w:sz w:val="22"/>
          <w:szCs w:val="22"/>
        </w:rPr>
        <w:t>McNae’s</w:t>
      </w:r>
      <w:r w:rsidRPr="001C23CB">
        <w:rPr>
          <w:color w:val="000000"/>
          <w:sz w:val="22"/>
          <w:szCs w:val="22"/>
        </w:rPr>
        <w:t xml:space="preserve"> - </w:t>
      </w:r>
      <w:r w:rsidR="00C769AA" w:rsidRPr="001C23CB">
        <w:rPr>
          <w:color w:val="000000"/>
          <w:sz w:val="22"/>
          <w:szCs w:val="22"/>
        </w:rPr>
        <w:t xml:space="preserve">to restrict contemporaneous reporting of what is decided </w:t>
      </w:r>
      <w:r w:rsidR="000B37AD">
        <w:rPr>
          <w:color w:val="000000"/>
          <w:sz w:val="22"/>
          <w:szCs w:val="22"/>
        </w:rPr>
        <w:t>and discussed in court before the jury is empanelled or when it is absent.</w:t>
      </w:r>
    </w:p>
    <w:p w14:paraId="0E6F69DA" w14:textId="77777777" w:rsidR="00C769AA" w:rsidRDefault="00C769AA" w:rsidP="00E347DE">
      <w:pPr>
        <w:spacing w:after="0" w:line="480" w:lineRule="auto"/>
        <w:rPr>
          <w:rFonts w:ascii="Times New Roman" w:hAnsi="Times New Roman" w:cs="Times New Roman"/>
          <w:b/>
          <w:bCs/>
          <w:sz w:val="24"/>
          <w:szCs w:val="24"/>
        </w:rPr>
      </w:pPr>
    </w:p>
    <w:p w14:paraId="633C9940" w14:textId="77777777" w:rsidR="00820FEC" w:rsidRPr="00820FEC" w:rsidRDefault="00820FEC" w:rsidP="00E347DE">
      <w:pPr>
        <w:spacing w:after="0" w:line="480" w:lineRule="auto"/>
        <w:rPr>
          <w:rFonts w:ascii="Times New Roman" w:hAnsi="Times New Roman" w:cs="Times New Roman"/>
          <w:b/>
          <w:bCs/>
          <w:sz w:val="28"/>
          <w:szCs w:val="28"/>
        </w:rPr>
      </w:pPr>
      <w:r w:rsidRPr="00820FEC">
        <w:rPr>
          <w:rFonts w:ascii="Times New Roman" w:hAnsi="Times New Roman" w:cs="Times New Roman"/>
          <w:b/>
          <w:sz w:val="28"/>
          <w:szCs w:val="28"/>
        </w:rPr>
        <w:t xml:space="preserve">12.15 </w:t>
      </w:r>
      <w:r w:rsidRPr="00820FEC">
        <w:rPr>
          <w:rFonts w:ascii="Times New Roman" w:hAnsi="Times New Roman" w:cs="Times New Roman"/>
          <w:b/>
          <w:bCs/>
          <w:sz w:val="28"/>
          <w:szCs w:val="28"/>
        </w:rPr>
        <w:t>Postponing reports of ‘derogatory’ mitigation</w:t>
      </w:r>
    </w:p>
    <w:p w14:paraId="26D009EA" w14:textId="77777777" w:rsidR="00C769AA" w:rsidRPr="001C23CB" w:rsidRDefault="00C769AA" w:rsidP="00E347DE">
      <w:pPr>
        <w:spacing w:after="0" w:line="480" w:lineRule="auto"/>
        <w:rPr>
          <w:rFonts w:ascii="Times New Roman" w:hAnsi="Times New Roman" w:cs="Times New Roman"/>
        </w:rPr>
      </w:pPr>
      <w:r w:rsidRPr="001C23CB">
        <w:rPr>
          <w:rFonts w:ascii="Times New Roman" w:hAnsi="Times New Roman" w:cs="Times New Roman"/>
        </w:rPr>
        <w:t xml:space="preserve">A court can postpone a media report of an allegation made in a ‘speech in mitigation’, if it feels that someone’s reputation may have been unfairly besmirched. If a defendant is convicted, the court will hear mitigation – a plea for leniency – before deciding what punishment to impose, as </w:t>
      </w:r>
      <w:r w:rsidR="00820FEC" w:rsidRPr="001C23CB">
        <w:rPr>
          <w:rFonts w:ascii="Times New Roman" w:hAnsi="Times New Roman" w:cs="Times New Roman"/>
        </w:rPr>
        <w:t xml:space="preserve">7.6 and 9.7 </w:t>
      </w:r>
      <w:r w:rsidR="008C2325" w:rsidRPr="001C23CB">
        <w:rPr>
          <w:rFonts w:ascii="Times New Roman" w:hAnsi="Times New Roman" w:cs="Times New Roman"/>
        </w:rPr>
        <w:t xml:space="preserve">in </w:t>
      </w:r>
      <w:r w:rsidRPr="001C23CB">
        <w:rPr>
          <w:rFonts w:ascii="Times New Roman" w:hAnsi="Times New Roman" w:cs="Times New Roman"/>
          <w:i/>
          <w:iCs/>
        </w:rPr>
        <w:t>McNae’s</w:t>
      </w:r>
      <w:r w:rsidRPr="001C23CB">
        <w:rPr>
          <w:rFonts w:ascii="Times New Roman" w:hAnsi="Times New Roman" w:cs="Times New Roman"/>
        </w:rPr>
        <w:t xml:space="preserve"> explain.</w:t>
      </w:r>
      <w:r w:rsidR="00AD0B5D">
        <w:rPr>
          <w:rFonts w:ascii="Times New Roman" w:hAnsi="Times New Roman" w:cs="Times New Roman"/>
        </w:rPr>
        <w:t xml:space="preserve"> </w:t>
      </w:r>
      <w:r w:rsidRPr="001C23CB">
        <w:rPr>
          <w:rFonts w:ascii="Times New Roman" w:hAnsi="Times New Roman" w:cs="Times New Roman"/>
        </w:rPr>
        <w:t>Mitigation is usually pleaded by a defence lawyer, but a defendant may speak too. Mitigation speeches are also made in appeal hearings against the severity of sentences.</w:t>
      </w:r>
    </w:p>
    <w:p w14:paraId="16190B6F" w14:textId="77777777" w:rsidR="00AD0B5D" w:rsidRDefault="00AD0B5D" w:rsidP="00E347DE">
      <w:pPr>
        <w:spacing w:after="0" w:line="480" w:lineRule="auto"/>
        <w:rPr>
          <w:rFonts w:ascii="Times New Roman" w:hAnsi="Times New Roman" w:cs="Times New Roman"/>
        </w:rPr>
      </w:pPr>
    </w:p>
    <w:p w14:paraId="59D8685B" w14:textId="77777777" w:rsidR="00C769AA" w:rsidRPr="001C23CB" w:rsidRDefault="00C769AA" w:rsidP="00E347DE">
      <w:pPr>
        <w:spacing w:after="0" w:line="480" w:lineRule="auto"/>
        <w:rPr>
          <w:rFonts w:ascii="Times New Roman" w:hAnsi="Times New Roman" w:cs="Times New Roman"/>
        </w:rPr>
      </w:pPr>
      <w:r w:rsidRPr="001C23CB">
        <w:rPr>
          <w:rFonts w:ascii="Times New Roman" w:hAnsi="Times New Roman" w:cs="Times New Roman"/>
        </w:rPr>
        <w:t>There may be controversy over mitigation pleas making allegations against another person, for example the victim of the crime. A defendant who admits attacking another man in a pub could claim that he provoked the violence by making an indecent remark to the defendant’s girlfriend. There may be no truth in this, but the assault victim may not be in court to object to this smear. He cannot sue for defamation, because what is said during court proceedings</w:t>
      </w:r>
      <w:r w:rsidR="00820FEC" w:rsidRPr="001C23CB">
        <w:rPr>
          <w:rFonts w:ascii="Times New Roman" w:hAnsi="Times New Roman" w:cs="Times New Roman"/>
        </w:rPr>
        <w:t xml:space="preserve"> - </w:t>
      </w:r>
      <w:r w:rsidRPr="001C23CB">
        <w:rPr>
          <w:rFonts w:ascii="Times New Roman" w:hAnsi="Times New Roman" w:cs="Times New Roman"/>
        </w:rPr>
        <w:t xml:space="preserve"> and what </w:t>
      </w:r>
      <w:r w:rsidR="00820FEC" w:rsidRPr="001C23CB">
        <w:rPr>
          <w:rFonts w:ascii="Times New Roman" w:hAnsi="Times New Roman" w:cs="Times New Roman"/>
        </w:rPr>
        <w:t xml:space="preserve">the media properly publishes when reporting court cases - </w:t>
      </w:r>
      <w:r w:rsidRPr="001C23CB">
        <w:rPr>
          <w:rFonts w:ascii="Times New Roman" w:hAnsi="Times New Roman" w:cs="Times New Roman"/>
        </w:rPr>
        <w:t>is ‘privileged’</w:t>
      </w:r>
      <w:r w:rsidR="00820FEC" w:rsidRPr="001C23CB">
        <w:rPr>
          <w:rFonts w:ascii="Times New Roman" w:hAnsi="Times New Roman" w:cs="Times New Roman"/>
        </w:rPr>
        <w:t xml:space="preserve">, as explained in 22.5 and 22.7 in </w:t>
      </w:r>
      <w:r w:rsidRPr="001C23CB">
        <w:rPr>
          <w:rFonts w:ascii="Times New Roman" w:hAnsi="Times New Roman" w:cs="Times New Roman"/>
          <w:i/>
          <w:iCs/>
        </w:rPr>
        <w:t>McNae’s</w:t>
      </w:r>
      <w:r w:rsidRPr="001C23CB">
        <w:rPr>
          <w:rFonts w:ascii="Times New Roman" w:hAnsi="Times New Roman" w:cs="Times New Roman"/>
        </w:rPr>
        <w:t>.</w:t>
      </w:r>
    </w:p>
    <w:p w14:paraId="5E284C64" w14:textId="77777777" w:rsidR="00AD0B5D" w:rsidRDefault="00AD0B5D" w:rsidP="00E347DE">
      <w:pPr>
        <w:spacing w:after="0" w:line="480" w:lineRule="auto"/>
        <w:rPr>
          <w:rFonts w:ascii="Times New Roman" w:hAnsi="Times New Roman" w:cs="Times New Roman"/>
        </w:rPr>
      </w:pPr>
    </w:p>
    <w:p w14:paraId="4B07704B" w14:textId="77777777" w:rsidR="00C769AA" w:rsidRPr="001C23CB" w:rsidRDefault="00C769AA" w:rsidP="00E347DE">
      <w:pPr>
        <w:spacing w:after="0" w:line="480" w:lineRule="auto"/>
        <w:rPr>
          <w:rFonts w:ascii="Times New Roman" w:hAnsi="Times New Roman" w:cs="Times New Roman"/>
        </w:rPr>
      </w:pPr>
      <w:r w:rsidRPr="001C23CB">
        <w:rPr>
          <w:rFonts w:ascii="Times New Roman" w:hAnsi="Times New Roman" w:cs="Times New Roman"/>
        </w:rPr>
        <w:t>Reacting to such controversy, Parliament gave the courts the power, in section 58 of the Criminal Procedure and Investigations Act 1996, to impose a temporary reporting restriction on the media, postponing the reporting of an assertion made in a speech of mitigation for 12 months if the assertion is derogatory to a person’s character, such as suggesting that the individual’s conduct has been criminal, immoral, or improper.</w:t>
      </w:r>
    </w:p>
    <w:p w14:paraId="776BD086" w14:textId="77777777" w:rsidR="00AD0B5D" w:rsidRDefault="00AD0B5D" w:rsidP="00E347DE">
      <w:pPr>
        <w:spacing w:after="0" w:line="480" w:lineRule="auto"/>
        <w:rPr>
          <w:rFonts w:ascii="Times New Roman" w:hAnsi="Times New Roman" w:cs="Times New Roman"/>
        </w:rPr>
      </w:pPr>
    </w:p>
    <w:p w14:paraId="7E2B985E" w14:textId="77777777" w:rsidR="00C769AA" w:rsidRPr="001C23CB" w:rsidRDefault="00C769AA" w:rsidP="00E347DE">
      <w:pPr>
        <w:spacing w:after="0" w:line="480" w:lineRule="auto"/>
        <w:rPr>
          <w:rFonts w:ascii="Times New Roman" w:hAnsi="Times New Roman" w:cs="Times New Roman"/>
        </w:rPr>
      </w:pPr>
      <w:r w:rsidRPr="001C23CB">
        <w:rPr>
          <w:rFonts w:ascii="Times New Roman" w:hAnsi="Times New Roman" w:cs="Times New Roman"/>
        </w:rPr>
        <w:t>The court may order the postponement if there are substantial grounds for believing that the assertion is false, or that it is irrelevant to the sentence.</w:t>
      </w:r>
    </w:p>
    <w:p w14:paraId="6981395E" w14:textId="77777777" w:rsidR="00AD0B5D" w:rsidRDefault="00AD0B5D" w:rsidP="00E347DE">
      <w:pPr>
        <w:spacing w:after="0" w:line="480" w:lineRule="auto"/>
        <w:rPr>
          <w:rFonts w:ascii="Times New Roman" w:hAnsi="Times New Roman" w:cs="Times New Roman"/>
        </w:rPr>
      </w:pPr>
    </w:p>
    <w:p w14:paraId="1D82C8A8" w14:textId="160AABAF" w:rsidR="00C769AA" w:rsidRPr="001C23CB" w:rsidRDefault="00C769AA" w:rsidP="00E347DE">
      <w:pPr>
        <w:spacing w:after="0" w:line="480" w:lineRule="auto"/>
        <w:rPr>
          <w:rFonts w:ascii="Times New Roman" w:hAnsi="Times New Roman" w:cs="Times New Roman"/>
        </w:rPr>
      </w:pPr>
      <w:r w:rsidRPr="001C23CB">
        <w:rPr>
          <w:rFonts w:ascii="Times New Roman" w:hAnsi="Times New Roman" w:cs="Times New Roman"/>
        </w:rPr>
        <w:t xml:space="preserve">A section 58 order makes it an offence to publish the assertion during the 12 months if the report contains enough information to make it likely that a member of the public will identify the person whose character was thus besmirched. But an order cannot be made if the derogatory assertion made </w:t>
      </w:r>
      <w:r w:rsidRPr="001C23CB">
        <w:rPr>
          <w:rFonts w:ascii="Times New Roman" w:hAnsi="Times New Roman" w:cs="Times New Roman"/>
        </w:rPr>
        <w:lastRenderedPageBreak/>
        <w:t>in mitigation has already been made during in the relevant trial or ‘during any other proceedings relating to the offence’.</w:t>
      </w:r>
      <w:r w:rsidR="00AD0B5D">
        <w:rPr>
          <w:rFonts w:ascii="Times New Roman" w:hAnsi="Times New Roman" w:cs="Times New Roman"/>
        </w:rPr>
        <w:t xml:space="preserve"> </w:t>
      </w:r>
      <w:r w:rsidRPr="001C23CB">
        <w:rPr>
          <w:rFonts w:ascii="Times New Roman" w:hAnsi="Times New Roman" w:cs="Times New Roman"/>
        </w:rPr>
        <w:t xml:space="preserve">This means that a journalist aware that the assertion has already been aired during the trial can challenge, as invalid, a section 58 order made in respect of the same assertion repeated in a speech of mitigation. </w:t>
      </w:r>
      <w:r w:rsidR="00820FEC" w:rsidRPr="001C23CB">
        <w:rPr>
          <w:rFonts w:ascii="Times New Roman" w:hAnsi="Times New Roman" w:cs="Times New Roman"/>
        </w:rPr>
        <w:t>T</w:t>
      </w:r>
      <w:r w:rsidRPr="001C23CB">
        <w:rPr>
          <w:rFonts w:ascii="Times New Roman" w:hAnsi="Times New Roman" w:cs="Times New Roman"/>
        </w:rPr>
        <w:t xml:space="preserve">he </w:t>
      </w:r>
      <w:r w:rsidR="00820FEC" w:rsidRPr="001C23CB">
        <w:rPr>
          <w:rFonts w:ascii="Times New Roman" w:hAnsi="Times New Roman" w:cs="Times New Roman"/>
        </w:rPr>
        <w:t>media’s right to challenge a court decision affecting reporting, and how to challenge it, are explained in 16.1 - 16.</w:t>
      </w:r>
      <w:r w:rsidR="00A6509E">
        <w:rPr>
          <w:rFonts w:ascii="Times New Roman" w:hAnsi="Times New Roman" w:cs="Times New Roman"/>
        </w:rPr>
        <w:t>6</w:t>
      </w:r>
      <w:r w:rsidR="00820FEC" w:rsidRPr="001C23CB">
        <w:rPr>
          <w:rFonts w:ascii="Times New Roman" w:hAnsi="Times New Roman" w:cs="Times New Roman"/>
        </w:rPr>
        <w:t xml:space="preserve"> of </w:t>
      </w:r>
      <w:r w:rsidR="00820FEC" w:rsidRPr="001C23CB">
        <w:rPr>
          <w:rFonts w:ascii="Times New Roman" w:hAnsi="Times New Roman" w:cs="Times New Roman"/>
          <w:i/>
        </w:rPr>
        <w:t>McNae’s</w:t>
      </w:r>
      <w:r w:rsidRPr="001C23CB">
        <w:rPr>
          <w:rFonts w:ascii="Times New Roman" w:hAnsi="Times New Roman" w:cs="Times New Roman"/>
        </w:rPr>
        <w:t>.</w:t>
      </w:r>
    </w:p>
    <w:p w14:paraId="3D589206" w14:textId="77777777" w:rsidR="00AD0B5D" w:rsidRDefault="00AD0B5D" w:rsidP="00E347DE">
      <w:pPr>
        <w:spacing w:after="0" w:line="480" w:lineRule="auto"/>
        <w:rPr>
          <w:rFonts w:ascii="Times New Roman" w:hAnsi="Times New Roman" w:cs="Times New Roman"/>
        </w:rPr>
      </w:pPr>
    </w:p>
    <w:p w14:paraId="09E6C47A" w14:textId="77777777" w:rsidR="00C769AA" w:rsidRPr="001C23CB" w:rsidRDefault="00C769AA" w:rsidP="00E347DE">
      <w:pPr>
        <w:spacing w:after="0" w:line="480" w:lineRule="auto"/>
        <w:rPr>
          <w:rFonts w:ascii="Times New Roman" w:hAnsi="Times New Roman" w:cs="Times New Roman"/>
        </w:rPr>
      </w:pPr>
      <w:r w:rsidRPr="001C23CB">
        <w:rPr>
          <w:rFonts w:ascii="Times New Roman" w:hAnsi="Times New Roman" w:cs="Times New Roman"/>
        </w:rPr>
        <w:t>A court can make, before its sentencing decision, an interim order postponing publication of the assertion, which automatically lapses when the sentence is decided. But the court can then make a full order postponing publication for 12 months, even if no interim order was made. It can revoke such an order at any time in the next year. But the order expires automatically after 12 months.</w:t>
      </w:r>
    </w:p>
    <w:p w14:paraId="750C3D0E" w14:textId="77777777" w:rsidR="00AD0B5D" w:rsidRDefault="00AD0B5D" w:rsidP="00E347DE">
      <w:pPr>
        <w:spacing w:after="0" w:line="480" w:lineRule="auto"/>
        <w:rPr>
          <w:rFonts w:ascii="Times New Roman" w:hAnsi="Times New Roman" w:cs="Times New Roman"/>
        </w:rPr>
      </w:pPr>
    </w:p>
    <w:p w14:paraId="718F3FE3" w14:textId="77777777" w:rsidR="00C769AA" w:rsidRPr="001C23CB" w:rsidRDefault="00C769AA" w:rsidP="00E347DE">
      <w:pPr>
        <w:spacing w:after="0" w:line="480" w:lineRule="auto"/>
        <w:rPr>
          <w:rFonts w:ascii="Times New Roman" w:hAnsi="Times New Roman" w:cs="Times New Roman"/>
        </w:rPr>
      </w:pPr>
      <w:r w:rsidRPr="001C23CB">
        <w:rPr>
          <w:rFonts w:ascii="Times New Roman" w:hAnsi="Times New Roman" w:cs="Times New Roman"/>
        </w:rPr>
        <w:t xml:space="preserve">As Parliament realised when it made this the law, the news value of a derogatory assertion would, in most cases, be non-existent after 12 months, making it unlikely in such cases that the assertion would be published at all. </w:t>
      </w:r>
    </w:p>
    <w:p w14:paraId="1F92E6C5" w14:textId="77777777" w:rsidR="00AD0B5D" w:rsidRDefault="00AD0B5D" w:rsidP="00E347DE">
      <w:pPr>
        <w:spacing w:after="0" w:line="480" w:lineRule="auto"/>
        <w:rPr>
          <w:rFonts w:ascii="Times New Roman" w:hAnsi="Times New Roman" w:cs="Times New Roman"/>
        </w:rPr>
      </w:pPr>
    </w:p>
    <w:p w14:paraId="61ABDE6B" w14:textId="77777777" w:rsidR="00C769AA" w:rsidRPr="001C23CB" w:rsidRDefault="00C769AA" w:rsidP="00E347DE">
      <w:pPr>
        <w:spacing w:after="0" w:line="480" w:lineRule="auto"/>
        <w:rPr>
          <w:rFonts w:ascii="Times New Roman" w:hAnsi="Times New Roman" w:cs="Times New Roman"/>
        </w:rPr>
      </w:pPr>
      <w:r w:rsidRPr="001C23CB">
        <w:rPr>
          <w:rFonts w:ascii="Times New Roman" w:hAnsi="Times New Roman" w:cs="Times New Roman"/>
        </w:rPr>
        <w:t xml:space="preserve">This reporting restriction is rarely used. Defence lawyers are required to give notice of any intention to make a derogatory assertion in mitigation, in case the prosecution choose to require the assertion be proved as true in a ‘Newton hearing’ – a term explained in the glossary in </w:t>
      </w:r>
      <w:r w:rsidRPr="001C23CB">
        <w:rPr>
          <w:rFonts w:ascii="Times New Roman" w:hAnsi="Times New Roman" w:cs="Times New Roman"/>
          <w:i/>
        </w:rPr>
        <w:t>McNae’s.</w:t>
      </w:r>
      <w:r w:rsidRPr="001C23CB">
        <w:rPr>
          <w:rFonts w:ascii="Times New Roman" w:hAnsi="Times New Roman" w:cs="Times New Roman"/>
        </w:rPr>
        <w:t xml:space="preserve"> This requirement generally discourages the making of untrue assertions.</w:t>
      </w:r>
    </w:p>
    <w:p w14:paraId="19809A52" w14:textId="77777777" w:rsidR="00AD0B5D" w:rsidRDefault="00AD0B5D" w:rsidP="00E347DE">
      <w:pPr>
        <w:spacing w:after="0" w:line="480" w:lineRule="auto"/>
        <w:rPr>
          <w:rFonts w:ascii="Times New Roman" w:hAnsi="Times New Roman" w:cs="Times New Roman"/>
        </w:rPr>
      </w:pPr>
    </w:p>
    <w:p w14:paraId="75AD0165" w14:textId="66B994E3" w:rsidR="00C769AA" w:rsidRPr="001C23CB" w:rsidRDefault="00C769AA" w:rsidP="00E347DE">
      <w:pPr>
        <w:spacing w:after="0" w:line="480" w:lineRule="auto"/>
        <w:rPr>
          <w:rFonts w:ascii="Times New Roman" w:hAnsi="Times New Roman" w:cs="Times New Roman"/>
        </w:rPr>
      </w:pPr>
      <w:r w:rsidRPr="001C23CB">
        <w:rPr>
          <w:rFonts w:ascii="Times New Roman" w:hAnsi="Times New Roman" w:cs="Times New Roman"/>
        </w:rPr>
        <w:t xml:space="preserve">Liability for any breach of a section 58 order is the same as for breach of section </w:t>
      </w:r>
      <w:r w:rsidR="00A6509E">
        <w:rPr>
          <w:rFonts w:ascii="Times New Roman" w:hAnsi="Times New Roman" w:cs="Times New Roman"/>
        </w:rPr>
        <w:t xml:space="preserve">49 of the Children and Young Person’s Act 1993 – see 10.3.4 </w:t>
      </w:r>
      <w:r w:rsidR="001C23CB" w:rsidRPr="001C23CB">
        <w:rPr>
          <w:rFonts w:ascii="Times New Roman" w:hAnsi="Times New Roman" w:cs="Times New Roman"/>
        </w:rPr>
        <w:t xml:space="preserve">in </w:t>
      </w:r>
      <w:r w:rsidRPr="001C23CB">
        <w:rPr>
          <w:rFonts w:ascii="Times New Roman" w:hAnsi="Times New Roman" w:cs="Times New Roman"/>
          <w:i/>
          <w:iCs/>
        </w:rPr>
        <w:t>McNae’s</w:t>
      </w:r>
      <w:r w:rsidRPr="001C23CB">
        <w:rPr>
          <w:rFonts w:ascii="Times New Roman" w:hAnsi="Times New Roman" w:cs="Times New Roman"/>
        </w:rPr>
        <w:t xml:space="preserve">. </w:t>
      </w:r>
    </w:p>
    <w:p w14:paraId="091B7615" w14:textId="77777777" w:rsidR="00AD0B5D" w:rsidRDefault="00AD0B5D" w:rsidP="00E347DE">
      <w:pPr>
        <w:spacing w:after="0" w:line="480" w:lineRule="auto"/>
        <w:rPr>
          <w:rFonts w:ascii="Times New Roman" w:hAnsi="Times New Roman" w:cs="Times New Roman"/>
        </w:rPr>
      </w:pPr>
    </w:p>
    <w:p w14:paraId="7D8DB6CD" w14:textId="77777777" w:rsidR="00C769AA" w:rsidRPr="001C23CB" w:rsidRDefault="00C769AA" w:rsidP="00E347DE">
      <w:pPr>
        <w:spacing w:after="0" w:line="480" w:lineRule="auto"/>
        <w:rPr>
          <w:rFonts w:ascii="Times New Roman" w:hAnsi="Times New Roman" w:cs="Times New Roman"/>
        </w:rPr>
      </w:pPr>
      <w:r w:rsidRPr="001C23CB">
        <w:rPr>
          <w:rFonts w:ascii="Times New Roman" w:hAnsi="Times New Roman" w:cs="Times New Roman"/>
        </w:rPr>
        <w:t>It is a defence for anyone accused of breaching a section 58 order to prove that he/she was not aware of the order or, did not know and had no reason to suspect that what was published contained the relevant assertion.</w:t>
      </w:r>
    </w:p>
    <w:sectPr w:rsidR="00C769AA" w:rsidRPr="001C23CB" w:rsidSect="0034724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4C44" w14:textId="77777777" w:rsidR="001A3F2F" w:rsidRDefault="001A3F2F" w:rsidP="001A3F2F">
      <w:pPr>
        <w:spacing w:after="0" w:line="240" w:lineRule="auto"/>
      </w:pPr>
      <w:r>
        <w:separator/>
      </w:r>
    </w:p>
  </w:endnote>
  <w:endnote w:type="continuationSeparator" w:id="0">
    <w:p w14:paraId="6FAFEDCA" w14:textId="77777777" w:rsidR="001A3F2F" w:rsidRDefault="001A3F2F" w:rsidP="001A3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Olympian LT Std">
    <w:altName w:val="Calibri"/>
    <w:panose1 w:val="00000000000000000000"/>
    <w:charset w:val="4D"/>
    <w:family w:val="auto"/>
    <w:notTrueType/>
    <w:pitch w:val="default"/>
    <w:sig w:usb0="00000003" w:usb1="00000000" w:usb2="00000000" w:usb3="00000000" w:csb0="00000001" w:csb1="00000000"/>
  </w:font>
  <w:font w:name="News Gothic MT St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UP Swift">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F384F" w14:textId="77777777" w:rsidR="00AF56E4" w:rsidRDefault="00AF5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5FBD" w14:textId="77777777" w:rsidR="00AF56E4" w:rsidRPr="009616C4" w:rsidRDefault="00AF56E4" w:rsidP="00AF56E4">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6FD2D410" wp14:editId="061E5424">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4599E3DC" w14:textId="77777777" w:rsidR="00AF56E4" w:rsidRDefault="00AF5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7A47" w14:textId="77777777" w:rsidR="00AF56E4" w:rsidRDefault="00AF5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C1F32" w14:textId="77777777" w:rsidR="001A3F2F" w:rsidRDefault="001A3F2F" w:rsidP="001A3F2F">
      <w:pPr>
        <w:spacing w:after="0" w:line="240" w:lineRule="auto"/>
      </w:pPr>
      <w:r>
        <w:separator/>
      </w:r>
    </w:p>
  </w:footnote>
  <w:footnote w:type="continuationSeparator" w:id="0">
    <w:p w14:paraId="35F25BC9" w14:textId="77777777" w:rsidR="001A3F2F" w:rsidRDefault="001A3F2F" w:rsidP="001A3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5C5C" w14:textId="77777777" w:rsidR="00AF56E4" w:rsidRDefault="00AF5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7157" w14:textId="77777777" w:rsidR="00AF56E4" w:rsidRDefault="00AF5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8E16" w14:textId="77777777" w:rsidR="00AF56E4" w:rsidRDefault="00AF5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0A00"/>
    <w:multiLevelType w:val="hybridMultilevel"/>
    <w:tmpl w:val="8F58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F4758"/>
    <w:multiLevelType w:val="multilevel"/>
    <w:tmpl w:val="68FC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69"/>
    <w:rsid w:val="000162C7"/>
    <w:rsid w:val="00031079"/>
    <w:rsid w:val="0003166E"/>
    <w:rsid w:val="00050EB9"/>
    <w:rsid w:val="00072E9C"/>
    <w:rsid w:val="00093B69"/>
    <w:rsid w:val="000B0B49"/>
    <w:rsid w:val="000B37AD"/>
    <w:rsid w:val="000C43CD"/>
    <w:rsid w:val="000C4771"/>
    <w:rsid w:val="000E4025"/>
    <w:rsid w:val="001128B7"/>
    <w:rsid w:val="00126EC3"/>
    <w:rsid w:val="001720B1"/>
    <w:rsid w:val="00186CAE"/>
    <w:rsid w:val="00193323"/>
    <w:rsid w:val="001A3F2F"/>
    <w:rsid w:val="001C23CB"/>
    <w:rsid w:val="001F140F"/>
    <w:rsid w:val="002614F3"/>
    <w:rsid w:val="002703AA"/>
    <w:rsid w:val="0027713F"/>
    <w:rsid w:val="0034724B"/>
    <w:rsid w:val="0035280A"/>
    <w:rsid w:val="00356553"/>
    <w:rsid w:val="0037238A"/>
    <w:rsid w:val="003A34A7"/>
    <w:rsid w:val="003B41AF"/>
    <w:rsid w:val="003B4741"/>
    <w:rsid w:val="00414B0D"/>
    <w:rsid w:val="00473D41"/>
    <w:rsid w:val="004849CE"/>
    <w:rsid w:val="00491496"/>
    <w:rsid w:val="005275BE"/>
    <w:rsid w:val="00540A13"/>
    <w:rsid w:val="00540FD9"/>
    <w:rsid w:val="005C105A"/>
    <w:rsid w:val="005C75FE"/>
    <w:rsid w:val="00604B3A"/>
    <w:rsid w:val="00636CD6"/>
    <w:rsid w:val="00680588"/>
    <w:rsid w:val="00691FEF"/>
    <w:rsid w:val="00704E7F"/>
    <w:rsid w:val="007168D8"/>
    <w:rsid w:val="0073469E"/>
    <w:rsid w:val="00737CDD"/>
    <w:rsid w:val="00763A9F"/>
    <w:rsid w:val="00816394"/>
    <w:rsid w:val="00820FEC"/>
    <w:rsid w:val="008640F8"/>
    <w:rsid w:val="008853A9"/>
    <w:rsid w:val="008A60C7"/>
    <w:rsid w:val="008C01EC"/>
    <w:rsid w:val="008C2325"/>
    <w:rsid w:val="008E56E0"/>
    <w:rsid w:val="008F4293"/>
    <w:rsid w:val="00934D03"/>
    <w:rsid w:val="00946A9B"/>
    <w:rsid w:val="00950173"/>
    <w:rsid w:val="0097427B"/>
    <w:rsid w:val="00977CD1"/>
    <w:rsid w:val="0098298C"/>
    <w:rsid w:val="009D7D81"/>
    <w:rsid w:val="00A02873"/>
    <w:rsid w:val="00A64373"/>
    <w:rsid w:val="00A6509E"/>
    <w:rsid w:val="00A77B16"/>
    <w:rsid w:val="00AB3D05"/>
    <w:rsid w:val="00AD0B5D"/>
    <w:rsid w:val="00AD3914"/>
    <w:rsid w:val="00AF02D8"/>
    <w:rsid w:val="00AF56E4"/>
    <w:rsid w:val="00B14261"/>
    <w:rsid w:val="00B307C8"/>
    <w:rsid w:val="00B35C9C"/>
    <w:rsid w:val="00B4221F"/>
    <w:rsid w:val="00B6377C"/>
    <w:rsid w:val="00B927B2"/>
    <w:rsid w:val="00B936B8"/>
    <w:rsid w:val="00B97EBC"/>
    <w:rsid w:val="00BD0E05"/>
    <w:rsid w:val="00C769AA"/>
    <w:rsid w:val="00C90FFE"/>
    <w:rsid w:val="00CD344C"/>
    <w:rsid w:val="00CD3B7D"/>
    <w:rsid w:val="00CF5C5F"/>
    <w:rsid w:val="00D121CF"/>
    <w:rsid w:val="00D20711"/>
    <w:rsid w:val="00D47BCE"/>
    <w:rsid w:val="00D57AAB"/>
    <w:rsid w:val="00D74909"/>
    <w:rsid w:val="00D93012"/>
    <w:rsid w:val="00DD6987"/>
    <w:rsid w:val="00E347DE"/>
    <w:rsid w:val="00E40201"/>
    <w:rsid w:val="00EA2ACA"/>
    <w:rsid w:val="00EA385B"/>
    <w:rsid w:val="00EA758C"/>
    <w:rsid w:val="00ED0E69"/>
    <w:rsid w:val="00F2090B"/>
    <w:rsid w:val="00F3363D"/>
    <w:rsid w:val="00F4176B"/>
    <w:rsid w:val="00F6510D"/>
    <w:rsid w:val="00F847C4"/>
    <w:rsid w:val="00F93738"/>
    <w:rsid w:val="00FB02A5"/>
    <w:rsid w:val="00FD49D6"/>
    <w:rsid w:val="00FF15FA"/>
    <w:rsid w:val="00FF3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01F2E"/>
  <w15:docId w15:val="{F6342590-923E-422F-BC8D-FF3D8353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56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9AA"/>
    <w:rPr>
      <w:color w:val="0000FF" w:themeColor="hyperlink"/>
      <w:u w:val="single"/>
    </w:rPr>
  </w:style>
  <w:style w:type="paragraph" w:customStyle="1" w:styleId="ct">
    <w:name w:val="ct"/>
    <w:basedOn w:val="Normal"/>
    <w:qFormat/>
    <w:rsid w:val="00C769AA"/>
    <w:pPr>
      <w:spacing w:after="480" w:line="360" w:lineRule="auto"/>
    </w:pPr>
    <w:rPr>
      <w:rFonts w:ascii="Times New Roman" w:eastAsia="Calibri" w:hAnsi="Times New Roman" w:cs="Times New Roman"/>
      <w:sz w:val="36"/>
    </w:rPr>
  </w:style>
  <w:style w:type="paragraph" w:customStyle="1" w:styleId="p">
    <w:name w:val="p"/>
    <w:basedOn w:val="Normal"/>
    <w:qFormat/>
    <w:rsid w:val="00C769AA"/>
    <w:pPr>
      <w:spacing w:after="0" w:line="480" w:lineRule="auto"/>
      <w:jc w:val="both"/>
    </w:pPr>
    <w:rPr>
      <w:rFonts w:ascii="Times New Roman" w:eastAsia="Calibri" w:hAnsi="Times New Roman" w:cs="Times New Roman"/>
      <w:sz w:val="24"/>
      <w:szCs w:val="24"/>
      <w:lang w:val="en-US"/>
    </w:rPr>
  </w:style>
  <w:style w:type="paragraph" w:customStyle="1" w:styleId="h2">
    <w:name w:val="h2"/>
    <w:basedOn w:val="Normal"/>
    <w:qFormat/>
    <w:rsid w:val="00C769AA"/>
    <w:pPr>
      <w:keepNext/>
      <w:spacing w:before="240" w:after="120" w:line="360" w:lineRule="auto"/>
    </w:pPr>
    <w:rPr>
      <w:rFonts w:ascii="Times New Roman" w:eastAsia="Calibri" w:hAnsi="Times New Roman" w:cs="Times New Roman"/>
      <w:sz w:val="30"/>
      <w:lang w:val="en-US"/>
    </w:rPr>
  </w:style>
  <w:style w:type="paragraph" w:customStyle="1" w:styleId="p1">
    <w:name w:val="p1"/>
    <w:basedOn w:val="Normal"/>
    <w:qFormat/>
    <w:rsid w:val="00C769AA"/>
    <w:pPr>
      <w:spacing w:after="0" w:line="480" w:lineRule="auto"/>
      <w:ind w:firstLine="720"/>
      <w:jc w:val="both"/>
    </w:pPr>
    <w:rPr>
      <w:rFonts w:ascii="Times New Roman" w:eastAsia="Calibri" w:hAnsi="Times New Roman" w:cs="Times New Roman"/>
      <w:sz w:val="24"/>
      <w:szCs w:val="24"/>
      <w:lang w:val="en-US"/>
    </w:rPr>
  </w:style>
  <w:style w:type="paragraph" w:customStyle="1" w:styleId="h1">
    <w:name w:val="h1"/>
    <w:basedOn w:val="Normal"/>
    <w:qFormat/>
    <w:rsid w:val="00C769AA"/>
    <w:pPr>
      <w:keepNext/>
      <w:spacing w:before="240" w:after="120" w:line="360" w:lineRule="auto"/>
    </w:pPr>
    <w:rPr>
      <w:rFonts w:ascii="Times New Roman" w:eastAsia="Calibri" w:hAnsi="Times New Roman" w:cs="Times New Roman"/>
      <w:sz w:val="32"/>
    </w:rPr>
  </w:style>
  <w:style w:type="paragraph" w:styleId="NormalWeb">
    <w:name w:val="Normal (Web)"/>
    <w:basedOn w:val="Normal"/>
    <w:uiPriority w:val="99"/>
    <w:unhideWhenUsed/>
    <w:rsid w:val="00C76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rsid w:val="00C769AA"/>
  </w:style>
  <w:style w:type="paragraph" w:customStyle="1" w:styleId="Text">
    <w:name w:val="Text"/>
    <w:basedOn w:val="Normal"/>
    <w:rsid w:val="00C769AA"/>
    <w:pPr>
      <w:widowControl w:val="0"/>
      <w:autoSpaceDE w:val="0"/>
      <w:autoSpaceDN w:val="0"/>
      <w:adjustRightInd w:val="0"/>
      <w:spacing w:after="0" w:line="250" w:lineRule="atLeast"/>
      <w:jc w:val="both"/>
      <w:textAlignment w:val="center"/>
    </w:pPr>
    <w:rPr>
      <w:rFonts w:ascii="Olympian LT Std" w:eastAsia="Times New Roman" w:hAnsi="Olympian LT Std" w:cs="Olympian LT Std"/>
      <w:color w:val="000000"/>
      <w:sz w:val="16"/>
      <w:szCs w:val="16"/>
    </w:rPr>
  </w:style>
  <w:style w:type="paragraph" w:customStyle="1" w:styleId="FT3aText">
    <w:name w:val="FT3a_Text"/>
    <w:basedOn w:val="Normal"/>
    <w:rsid w:val="00C769AA"/>
    <w:pPr>
      <w:widowControl w:val="0"/>
      <w:autoSpaceDE w:val="0"/>
      <w:autoSpaceDN w:val="0"/>
      <w:adjustRightInd w:val="0"/>
      <w:spacing w:after="0" w:line="200" w:lineRule="atLeast"/>
      <w:textAlignment w:val="center"/>
    </w:pPr>
    <w:rPr>
      <w:rFonts w:ascii="News Gothic MT Std" w:eastAsia="Times New Roman" w:hAnsi="News Gothic MT Std" w:cs="News Gothic MT Std"/>
      <w:color w:val="0060A1"/>
      <w:sz w:val="16"/>
      <w:szCs w:val="16"/>
    </w:rPr>
  </w:style>
  <w:style w:type="paragraph" w:customStyle="1" w:styleId="Casehd">
    <w:name w:val="Case hd"/>
    <w:basedOn w:val="Normal"/>
    <w:rsid w:val="008A60C7"/>
    <w:pPr>
      <w:keepNext/>
      <w:pBdr>
        <w:top w:val="single" w:sz="4" w:space="1" w:color="auto"/>
      </w:pBdr>
      <w:spacing w:before="240" w:line="240" w:lineRule="auto"/>
      <w:ind w:left="360"/>
    </w:pPr>
    <w:rPr>
      <w:rFonts w:ascii="Times New Roman" w:eastAsia="Times New Roman" w:hAnsi="Times New Roman" w:cs="Times New Roman"/>
      <w:b/>
      <w:kern w:val="28"/>
      <w:sz w:val="32"/>
      <w:szCs w:val="32"/>
      <w:lang w:val="en-US"/>
    </w:rPr>
  </w:style>
  <w:style w:type="paragraph" w:customStyle="1" w:styleId="Casep1">
    <w:name w:val="Case p1"/>
    <w:basedOn w:val="Normal"/>
    <w:rsid w:val="008A60C7"/>
    <w:pPr>
      <w:tabs>
        <w:tab w:val="center" w:pos="4819"/>
        <w:tab w:val="right" w:pos="9638"/>
      </w:tabs>
      <w:spacing w:before="40" w:after="40" w:line="240" w:lineRule="auto"/>
      <w:ind w:left="360"/>
      <w:jc w:val="both"/>
    </w:pPr>
    <w:rPr>
      <w:rFonts w:ascii="Times New Roman" w:eastAsia="Times New Roman" w:hAnsi="Times New Roman" w:cs="Times New Roman"/>
      <w:sz w:val="24"/>
      <w:szCs w:val="20"/>
      <w:lang w:val="en-US"/>
    </w:rPr>
  </w:style>
  <w:style w:type="paragraph" w:customStyle="1" w:styleId="2hd">
    <w:name w:val="2 hd"/>
    <w:basedOn w:val="Normal"/>
    <w:rsid w:val="008A60C7"/>
    <w:pPr>
      <w:keepNext/>
      <w:spacing w:before="440" w:line="240" w:lineRule="auto"/>
    </w:pPr>
    <w:rPr>
      <w:rFonts w:ascii="Times New Roman" w:eastAsia="Times New Roman" w:hAnsi="Times New Roman" w:cs="Times New Roman"/>
      <w:b/>
      <w:kern w:val="28"/>
      <w:sz w:val="28"/>
      <w:szCs w:val="28"/>
      <w:lang w:val="fr-FR"/>
    </w:rPr>
  </w:style>
  <w:style w:type="paragraph" w:styleId="FootnoteText">
    <w:name w:val="footnote text"/>
    <w:basedOn w:val="Normal"/>
    <w:link w:val="FootnoteTextChar"/>
    <w:uiPriority w:val="99"/>
    <w:semiHidden/>
    <w:unhideWhenUsed/>
    <w:rsid w:val="001A3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F2F"/>
    <w:rPr>
      <w:sz w:val="20"/>
      <w:szCs w:val="20"/>
    </w:rPr>
  </w:style>
  <w:style w:type="character" w:styleId="FootnoteReference">
    <w:name w:val="footnote reference"/>
    <w:basedOn w:val="DefaultParagraphFont"/>
    <w:uiPriority w:val="99"/>
    <w:semiHidden/>
    <w:unhideWhenUsed/>
    <w:rsid w:val="001A3F2F"/>
    <w:rPr>
      <w:vertAlign w:val="superscript"/>
    </w:rPr>
  </w:style>
  <w:style w:type="character" w:styleId="CommentReference">
    <w:name w:val="annotation reference"/>
    <w:basedOn w:val="DefaultParagraphFont"/>
    <w:uiPriority w:val="99"/>
    <w:semiHidden/>
    <w:unhideWhenUsed/>
    <w:rsid w:val="001F140F"/>
    <w:rPr>
      <w:sz w:val="16"/>
      <w:szCs w:val="16"/>
    </w:rPr>
  </w:style>
  <w:style w:type="paragraph" w:styleId="CommentText">
    <w:name w:val="annotation text"/>
    <w:basedOn w:val="Normal"/>
    <w:link w:val="CommentTextChar"/>
    <w:uiPriority w:val="99"/>
    <w:semiHidden/>
    <w:unhideWhenUsed/>
    <w:rsid w:val="001F140F"/>
    <w:pPr>
      <w:spacing w:line="240" w:lineRule="auto"/>
    </w:pPr>
    <w:rPr>
      <w:sz w:val="20"/>
      <w:szCs w:val="20"/>
    </w:rPr>
  </w:style>
  <w:style w:type="character" w:customStyle="1" w:styleId="CommentTextChar">
    <w:name w:val="Comment Text Char"/>
    <w:basedOn w:val="DefaultParagraphFont"/>
    <w:link w:val="CommentText"/>
    <w:uiPriority w:val="99"/>
    <w:semiHidden/>
    <w:rsid w:val="001F140F"/>
    <w:rPr>
      <w:sz w:val="20"/>
      <w:szCs w:val="20"/>
    </w:rPr>
  </w:style>
  <w:style w:type="paragraph" w:styleId="CommentSubject">
    <w:name w:val="annotation subject"/>
    <w:basedOn w:val="CommentText"/>
    <w:next w:val="CommentText"/>
    <w:link w:val="CommentSubjectChar"/>
    <w:uiPriority w:val="99"/>
    <w:semiHidden/>
    <w:unhideWhenUsed/>
    <w:rsid w:val="001F140F"/>
    <w:rPr>
      <w:b/>
      <w:bCs/>
    </w:rPr>
  </w:style>
  <w:style w:type="character" w:customStyle="1" w:styleId="CommentSubjectChar">
    <w:name w:val="Comment Subject Char"/>
    <w:basedOn w:val="CommentTextChar"/>
    <w:link w:val="CommentSubject"/>
    <w:uiPriority w:val="99"/>
    <w:semiHidden/>
    <w:rsid w:val="001F140F"/>
    <w:rPr>
      <w:b/>
      <w:bCs/>
      <w:sz w:val="20"/>
      <w:szCs w:val="20"/>
    </w:rPr>
  </w:style>
  <w:style w:type="paragraph" w:styleId="BalloonText">
    <w:name w:val="Balloon Text"/>
    <w:basedOn w:val="Normal"/>
    <w:link w:val="BalloonTextChar"/>
    <w:uiPriority w:val="99"/>
    <w:semiHidden/>
    <w:unhideWhenUsed/>
    <w:rsid w:val="001F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40F"/>
    <w:rPr>
      <w:rFonts w:ascii="Tahoma" w:hAnsi="Tahoma" w:cs="Tahoma"/>
      <w:sz w:val="16"/>
      <w:szCs w:val="16"/>
    </w:rPr>
  </w:style>
  <w:style w:type="paragraph" w:customStyle="1" w:styleId="1hd">
    <w:name w:val="1 hd"/>
    <w:basedOn w:val="Heading1"/>
    <w:next w:val="Normal"/>
    <w:rsid w:val="00FB02A5"/>
    <w:pPr>
      <w:keepLines w:val="0"/>
      <w:spacing w:before="440" w:after="200" w:line="240" w:lineRule="auto"/>
      <w:outlineLvl w:val="9"/>
    </w:pPr>
    <w:rPr>
      <w:rFonts w:ascii="Times New Roman" w:eastAsia="Times New Roman" w:hAnsi="Times New Roman" w:cs="Times New Roman"/>
      <w:bCs w:val="0"/>
      <w:color w:val="auto"/>
      <w:kern w:val="28"/>
      <w:sz w:val="32"/>
      <w:szCs w:val="32"/>
      <w:lang w:val="fr-FR"/>
    </w:rPr>
  </w:style>
  <w:style w:type="character" w:customStyle="1" w:styleId="Heading1Char">
    <w:name w:val="Heading 1 Char"/>
    <w:basedOn w:val="DefaultParagraphFont"/>
    <w:link w:val="Heading1"/>
    <w:uiPriority w:val="9"/>
    <w:rsid w:val="00FB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56E0"/>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AF5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6E4"/>
  </w:style>
  <w:style w:type="paragraph" w:styleId="Footer">
    <w:name w:val="footer"/>
    <w:basedOn w:val="Normal"/>
    <w:link w:val="FooterChar"/>
    <w:unhideWhenUsed/>
    <w:rsid w:val="00AF56E4"/>
    <w:pPr>
      <w:tabs>
        <w:tab w:val="center" w:pos="4513"/>
        <w:tab w:val="right" w:pos="9026"/>
      </w:tabs>
      <w:spacing w:after="0" w:line="240" w:lineRule="auto"/>
    </w:pPr>
  </w:style>
  <w:style w:type="character" w:customStyle="1" w:styleId="FooterChar">
    <w:name w:val="Footer Char"/>
    <w:basedOn w:val="DefaultParagraphFont"/>
    <w:link w:val="Footer"/>
    <w:rsid w:val="00AF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840814">
      <w:bodyDiv w:val="1"/>
      <w:marLeft w:val="0"/>
      <w:marRight w:val="0"/>
      <w:marTop w:val="0"/>
      <w:marBottom w:val="0"/>
      <w:divBdr>
        <w:top w:val="none" w:sz="0" w:space="0" w:color="auto"/>
        <w:left w:val="none" w:sz="0" w:space="0" w:color="auto"/>
        <w:bottom w:val="none" w:sz="0" w:space="0" w:color="auto"/>
        <w:right w:val="none" w:sz="0" w:space="0" w:color="auto"/>
      </w:divBdr>
      <w:divsChild>
        <w:div w:id="160079292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987248750">
      <w:bodyDiv w:val="1"/>
      <w:marLeft w:val="0"/>
      <w:marRight w:val="0"/>
      <w:marTop w:val="0"/>
      <w:marBottom w:val="0"/>
      <w:divBdr>
        <w:top w:val="none" w:sz="0" w:space="0" w:color="auto"/>
        <w:left w:val="none" w:sz="0" w:space="0" w:color="auto"/>
        <w:bottom w:val="none" w:sz="0" w:space="0" w:color="auto"/>
        <w:right w:val="none" w:sz="0" w:space="0" w:color="auto"/>
      </w:divBdr>
      <w:divsChild>
        <w:div w:id="1037972205">
          <w:marLeft w:val="0"/>
          <w:marRight w:val="0"/>
          <w:marTop w:val="0"/>
          <w:marBottom w:val="750"/>
          <w:divBdr>
            <w:top w:val="none" w:sz="0" w:space="0" w:color="auto"/>
            <w:left w:val="none" w:sz="0" w:space="0" w:color="auto"/>
            <w:bottom w:val="none" w:sz="0" w:space="0" w:color="auto"/>
            <w:right w:val="none" w:sz="0" w:space="0" w:color="auto"/>
          </w:divBdr>
          <w:divsChild>
            <w:div w:id="2006469962">
              <w:marLeft w:val="0"/>
              <w:marRight w:val="0"/>
              <w:marTop w:val="0"/>
              <w:marBottom w:val="0"/>
              <w:divBdr>
                <w:top w:val="none" w:sz="0" w:space="0" w:color="auto"/>
                <w:left w:val="none" w:sz="0" w:space="0" w:color="auto"/>
                <w:bottom w:val="none" w:sz="0" w:space="0" w:color="auto"/>
                <w:right w:val="none" w:sz="0" w:space="0" w:color="auto"/>
              </w:divBdr>
            </w:div>
          </w:divsChild>
        </w:div>
        <w:div w:id="828331322">
          <w:marLeft w:val="0"/>
          <w:marRight w:val="0"/>
          <w:marTop w:val="0"/>
          <w:marBottom w:val="750"/>
          <w:divBdr>
            <w:top w:val="none" w:sz="0" w:space="0" w:color="auto"/>
            <w:left w:val="none" w:sz="0" w:space="0" w:color="auto"/>
            <w:bottom w:val="none" w:sz="0" w:space="0" w:color="auto"/>
            <w:right w:val="none" w:sz="0" w:space="0" w:color="auto"/>
          </w:divBdr>
          <w:divsChild>
            <w:div w:id="14290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nae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cnaes.com" TargetMode="External"/><Relationship Id="rId4" Type="http://schemas.openxmlformats.org/officeDocument/2006/relationships/settings" Target="settings.xml"/><Relationship Id="rId9" Type="http://schemas.openxmlformats.org/officeDocument/2006/relationships/hyperlink" Target="http://www.bailii.org/cgi-bin/redirect.cgi?path=/ew/cases/EWHC/QB/2005/971.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7D89-C146-478B-9568-9625CEEA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4605</Words>
  <Characters>26254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MarkAnew</dc:creator>
  <cp:lastModifiedBy>SHEFFIELD, Emma</cp:lastModifiedBy>
  <cp:revision>5</cp:revision>
  <dcterms:created xsi:type="dcterms:W3CDTF">2020-06-04T10:27:00Z</dcterms:created>
  <dcterms:modified xsi:type="dcterms:W3CDTF">2020-07-10T10:32:00Z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2020-07-10T10:32:23Z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451e1215-a0d8-492f-a40a-0000eafae378</vt:lpwstr>
  </property>
  <property fmtid="{D5CDD505-2E9C-101B-9397-08002B2CF9AE}" pid="8" name="MSIP_Label_89f61502-7731-4690-a118-333634878cc9_ContentBits">
    <vt:lpwstr>0</vt:lpwstr>
  </property>
</Properties>
</file>