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D424A" w14:textId="77777777" w:rsidR="00BE469E" w:rsidRDefault="00BE469E" w:rsidP="00BE469E">
      <w:pPr>
        <w:pStyle w:val="Heading1"/>
      </w:pPr>
      <w:r>
        <w:t xml:space="preserve">Answer guidance </w:t>
      </w:r>
    </w:p>
    <w:p w14:paraId="6D41B4EB" w14:textId="77777777" w:rsidR="00DC6299" w:rsidRDefault="00DC6299" w:rsidP="00DC6299">
      <w:pPr>
        <w:pStyle w:val="Heading2"/>
      </w:pPr>
    </w:p>
    <w:p w14:paraId="7717D0D3" w14:textId="088A2034" w:rsidR="00BE469E" w:rsidRDefault="00BE469E" w:rsidP="00DC6299">
      <w:pPr>
        <w:pStyle w:val="Heading2"/>
      </w:pPr>
      <w:r>
        <w:t>Essay question:</w:t>
      </w:r>
    </w:p>
    <w:p w14:paraId="36022AE2" w14:textId="77777777" w:rsidR="00106DA6" w:rsidRPr="00106DA6" w:rsidRDefault="00106DA6" w:rsidP="00106DA6"/>
    <w:p w14:paraId="63B73274" w14:textId="30F3F06F" w:rsidR="00BE469E" w:rsidRPr="00DC6299" w:rsidRDefault="00BE469E" w:rsidP="00BE469E">
      <w:r w:rsidRPr="00DC6299">
        <w:t xml:space="preserve">The rules on intoxication as a negation of mens rea are arbitrary and in need of reform. Discuss. </w:t>
      </w:r>
    </w:p>
    <w:p w14:paraId="38541EB5" w14:textId="0C33EF38" w:rsidR="00DC6299" w:rsidRDefault="00BE469E" w:rsidP="00DC6299">
      <w:pPr>
        <w:pStyle w:val="Heading2"/>
      </w:pPr>
      <w:r>
        <w:t>Key issues:</w:t>
      </w:r>
    </w:p>
    <w:p w14:paraId="3F6CFAB4" w14:textId="77777777" w:rsidR="00106DA6" w:rsidRPr="00106DA6" w:rsidRDefault="00106DA6" w:rsidP="00106DA6"/>
    <w:p w14:paraId="7495EF35" w14:textId="1DB0ADED" w:rsidR="00DC6299" w:rsidRDefault="00DC6299" w:rsidP="00DC6299">
      <w:pPr>
        <w:pStyle w:val="ListParagraph"/>
        <w:numPr>
          <w:ilvl w:val="0"/>
          <w:numId w:val="8"/>
        </w:numPr>
      </w:pPr>
      <w:r>
        <w:t xml:space="preserve">Voluntary and involuntary intoxication </w:t>
      </w:r>
    </w:p>
    <w:p w14:paraId="44ED7954" w14:textId="02B583B3" w:rsidR="00DC6299" w:rsidRDefault="00DC6299" w:rsidP="00DC6299">
      <w:pPr>
        <w:pStyle w:val="ListParagraph"/>
        <w:numPr>
          <w:ilvl w:val="0"/>
          <w:numId w:val="8"/>
        </w:numPr>
      </w:pPr>
      <w:r>
        <w:t>Specific and basic intent</w:t>
      </w:r>
      <w:r w:rsidR="00106DA6">
        <w:t xml:space="preserve"> - the rationale for distinguishing between different types of crime</w:t>
      </w:r>
    </w:p>
    <w:p w14:paraId="475AC66A" w14:textId="5067843B" w:rsidR="00380526" w:rsidRDefault="00380526" w:rsidP="00DC6299">
      <w:pPr>
        <w:pStyle w:val="ListParagraph"/>
        <w:numPr>
          <w:ilvl w:val="0"/>
          <w:numId w:val="8"/>
        </w:numPr>
      </w:pPr>
      <w:r>
        <w:t>The effect of a successful claim that intoxication amounts to a denial of MR</w:t>
      </w:r>
    </w:p>
    <w:p w14:paraId="4E72F32E" w14:textId="18E99EAB" w:rsidR="00DC6299" w:rsidRDefault="00DC6299" w:rsidP="00106DA6">
      <w:pPr>
        <w:pStyle w:val="ListParagraph"/>
      </w:pPr>
    </w:p>
    <w:p w14:paraId="046FC7BA" w14:textId="52DAB08B" w:rsidR="00BE469E" w:rsidRDefault="00BE469E" w:rsidP="00BE469E">
      <w:pPr>
        <w:pStyle w:val="Heading2"/>
      </w:pPr>
      <w:r>
        <w:t>Key law</w:t>
      </w:r>
    </w:p>
    <w:p w14:paraId="2AB3A694" w14:textId="77777777" w:rsidR="00106DA6" w:rsidRPr="00106DA6" w:rsidRDefault="00106DA6" w:rsidP="00106DA6"/>
    <w:p w14:paraId="4F4DD0C8" w14:textId="6F58A214" w:rsidR="00BE469E" w:rsidRDefault="00BE469E" w:rsidP="00BE469E">
      <w:r>
        <w:t>You will find relevant legal rules in:</w:t>
      </w:r>
    </w:p>
    <w:p w14:paraId="364ED0C7" w14:textId="0C7D7318" w:rsidR="00DC6299" w:rsidRDefault="00DC6299" w:rsidP="00DC6299">
      <w:pPr>
        <w:pStyle w:val="ListParagraph"/>
        <w:numPr>
          <w:ilvl w:val="0"/>
          <w:numId w:val="7"/>
        </w:numPr>
      </w:pPr>
      <w:r>
        <w:t>Chapter 6, section 6</w:t>
      </w:r>
    </w:p>
    <w:p w14:paraId="433EDCD2" w14:textId="5F8918ED" w:rsidR="00DC6299" w:rsidRDefault="00DC6299" w:rsidP="00DC6299">
      <w:pPr>
        <w:pStyle w:val="ListParagraph"/>
        <w:numPr>
          <w:ilvl w:val="0"/>
          <w:numId w:val="7"/>
        </w:numPr>
      </w:pPr>
      <w:r w:rsidRPr="00A02B06">
        <w:rPr>
          <w:i/>
          <w:iCs/>
        </w:rPr>
        <w:t>DPP v Majewski</w:t>
      </w:r>
      <w:r w:rsidR="00380526">
        <w:t xml:space="preserve"> (section 6.3.2)</w:t>
      </w:r>
    </w:p>
    <w:p w14:paraId="07804B90" w14:textId="647CE542" w:rsidR="00380526" w:rsidRDefault="00380526" w:rsidP="00DC6299">
      <w:pPr>
        <w:pStyle w:val="ListParagraph"/>
        <w:numPr>
          <w:ilvl w:val="0"/>
          <w:numId w:val="7"/>
        </w:numPr>
      </w:pPr>
      <w:r w:rsidRPr="00A02B06">
        <w:rPr>
          <w:i/>
          <w:iCs/>
        </w:rPr>
        <w:t xml:space="preserve">DPP v </w:t>
      </w:r>
      <w:r w:rsidR="00CE2D46" w:rsidRPr="00A02B06">
        <w:rPr>
          <w:i/>
          <w:iCs/>
        </w:rPr>
        <w:t>Heard</w:t>
      </w:r>
      <w:r w:rsidR="00CE2D46">
        <w:t xml:space="preserve"> –</w:t>
      </w:r>
      <w:r>
        <w:t xml:space="preserve"> definition of specific intent</w:t>
      </w:r>
      <w:r w:rsidR="00106DA6">
        <w:t xml:space="preserve"> (section 6.3.4)</w:t>
      </w:r>
    </w:p>
    <w:p w14:paraId="57F7E351" w14:textId="4DE2BABD" w:rsidR="00DC6299" w:rsidRDefault="00DC6299" w:rsidP="00DC6299">
      <w:pPr>
        <w:pStyle w:val="ListParagraph"/>
        <w:numPr>
          <w:ilvl w:val="0"/>
          <w:numId w:val="7"/>
        </w:numPr>
      </w:pPr>
      <w:r>
        <w:t xml:space="preserve">Involuntary intoxication: </w:t>
      </w:r>
      <w:r w:rsidR="00380526" w:rsidRPr="00A02B06">
        <w:rPr>
          <w:i/>
          <w:iCs/>
        </w:rPr>
        <w:t xml:space="preserve">R v </w:t>
      </w:r>
      <w:r w:rsidRPr="00A02B06">
        <w:rPr>
          <w:i/>
          <w:iCs/>
        </w:rPr>
        <w:t>Kingston</w:t>
      </w:r>
      <w:r>
        <w:t xml:space="preserve"> </w:t>
      </w:r>
      <w:r w:rsidR="00106DA6">
        <w:t>(section 6.3.7)</w:t>
      </w:r>
    </w:p>
    <w:p w14:paraId="27CD2AC6" w14:textId="5EE5D63C" w:rsidR="00DC6299" w:rsidRDefault="00CE2D46" w:rsidP="00DC6299">
      <w:pPr>
        <w:pStyle w:val="ListParagraph"/>
        <w:numPr>
          <w:ilvl w:val="0"/>
          <w:numId w:val="7"/>
        </w:numPr>
      </w:pPr>
      <w:r w:rsidRPr="00A02B06">
        <w:rPr>
          <w:i/>
          <w:iCs/>
        </w:rPr>
        <w:t>Hardie</w:t>
      </w:r>
      <w:r>
        <w:t xml:space="preserve"> -</w:t>
      </w:r>
      <w:r w:rsidR="00106DA6">
        <w:t xml:space="preserve"> </w:t>
      </w:r>
      <w:r w:rsidR="00DC6299">
        <w:t>unexpected effects of drugs</w:t>
      </w:r>
      <w:r w:rsidR="00106DA6">
        <w:t xml:space="preserve"> (section 6.3.8)</w:t>
      </w:r>
    </w:p>
    <w:p w14:paraId="150A32B3" w14:textId="0682C682" w:rsidR="00380526" w:rsidRDefault="00380526" w:rsidP="00DC6299">
      <w:pPr>
        <w:pStyle w:val="ListParagraph"/>
        <w:numPr>
          <w:ilvl w:val="0"/>
          <w:numId w:val="7"/>
        </w:numPr>
      </w:pPr>
      <w:r w:rsidRPr="00A02B06">
        <w:rPr>
          <w:i/>
          <w:iCs/>
        </w:rPr>
        <w:t>Gallagher</w:t>
      </w:r>
      <w:r>
        <w:t xml:space="preserve"> – ‘Dutch’ courage</w:t>
      </w:r>
      <w:r w:rsidR="00106DA6">
        <w:t xml:space="preserve"> (section 6.3.5)</w:t>
      </w:r>
    </w:p>
    <w:p w14:paraId="6206101D" w14:textId="77777777" w:rsidR="00A02B06" w:rsidRDefault="00A02B06" w:rsidP="00A02B06">
      <w:pPr>
        <w:pStyle w:val="ListParagraph"/>
      </w:pPr>
    </w:p>
    <w:p w14:paraId="6F028900" w14:textId="2D7BD57C" w:rsidR="00BE469E" w:rsidRDefault="00BE469E" w:rsidP="00BE469E">
      <w:pPr>
        <w:pStyle w:val="Heading2"/>
      </w:pPr>
      <w:r>
        <w:t>Key arguments</w:t>
      </w:r>
    </w:p>
    <w:p w14:paraId="17869778" w14:textId="17F72C8E" w:rsidR="00BE469E" w:rsidRDefault="00BE469E" w:rsidP="00BE469E">
      <w:r>
        <w:t xml:space="preserve">Arguments that </w:t>
      </w:r>
      <w:r w:rsidR="00DC6299">
        <w:t>the rules are satisfactory</w:t>
      </w:r>
    </w:p>
    <w:p w14:paraId="0EFA46A8" w14:textId="5924C695" w:rsidR="00DC6299" w:rsidRDefault="00DC6299" w:rsidP="00DC6299">
      <w:pPr>
        <w:pStyle w:val="ListParagraph"/>
        <w:numPr>
          <w:ilvl w:val="0"/>
          <w:numId w:val="6"/>
        </w:numPr>
      </w:pPr>
      <w:r>
        <w:t xml:space="preserve">Discussion of the rationale – the courts’ role of public protection </w:t>
      </w:r>
      <w:r w:rsidR="0091349E">
        <w:t xml:space="preserve">and in dealing with crimes committed under the influence of alcohol and drugs, including cost </w:t>
      </w:r>
    </w:p>
    <w:p w14:paraId="585BDD68" w14:textId="0AEDC8A2" w:rsidR="00DC6299" w:rsidRDefault="0091349E" w:rsidP="00DC6299">
      <w:pPr>
        <w:pStyle w:val="ListParagraph"/>
        <w:numPr>
          <w:ilvl w:val="0"/>
          <w:numId w:val="6"/>
        </w:numPr>
      </w:pPr>
      <w:r>
        <w:t xml:space="preserve">Fair that recklessness in deciding to drink/take drugs can amount to sufficient mens rea for a crime </w:t>
      </w:r>
    </w:p>
    <w:p w14:paraId="5F36B3EF" w14:textId="3239ED63" w:rsidR="00380526" w:rsidRDefault="00380526" w:rsidP="00DC6299">
      <w:pPr>
        <w:pStyle w:val="ListParagraph"/>
        <w:numPr>
          <w:ilvl w:val="0"/>
          <w:numId w:val="6"/>
        </w:numPr>
      </w:pPr>
      <w:r>
        <w:t xml:space="preserve">The rule in </w:t>
      </w:r>
      <w:r w:rsidRPr="00A02B06">
        <w:rPr>
          <w:i/>
          <w:iCs/>
        </w:rPr>
        <w:t>Kingston</w:t>
      </w:r>
      <w:r>
        <w:t xml:space="preserve"> – a drunken intent is still an intent – supports the rule that mens rea must be established</w:t>
      </w:r>
    </w:p>
    <w:p w14:paraId="46BCEC7B" w14:textId="2BC3E5C3" w:rsidR="00BE469E" w:rsidRDefault="00BE469E" w:rsidP="00DC6299">
      <w:r>
        <w:t xml:space="preserve">Arguments that </w:t>
      </w:r>
      <w:r w:rsidR="00DC6299">
        <w:t xml:space="preserve">the rules </w:t>
      </w:r>
      <w:proofErr w:type="gramStart"/>
      <w:r w:rsidR="00DC6299">
        <w:t>are in need of</w:t>
      </w:r>
      <w:proofErr w:type="gramEnd"/>
      <w:r w:rsidR="00DC6299">
        <w:t xml:space="preserve"> reform: </w:t>
      </w:r>
    </w:p>
    <w:p w14:paraId="15524448" w14:textId="45500797" w:rsidR="00DC6299" w:rsidRDefault="00DC6299" w:rsidP="00DC6299">
      <w:pPr>
        <w:pStyle w:val="ListParagraph"/>
        <w:numPr>
          <w:ilvl w:val="0"/>
          <w:numId w:val="6"/>
        </w:numPr>
      </w:pPr>
      <w:r>
        <w:t>Unfairness</w:t>
      </w:r>
      <w:r w:rsidR="0091349E">
        <w:t xml:space="preserve"> to the defendant</w:t>
      </w:r>
      <w:r>
        <w:t xml:space="preserve"> – mens rea should be fully established before convicting a person of a serious criminal offence </w:t>
      </w:r>
    </w:p>
    <w:p w14:paraId="4048A2C5" w14:textId="0C5C9A6D" w:rsidR="00DC6299" w:rsidRDefault="00DC6299" w:rsidP="00DC6299">
      <w:pPr>
        <w:pStyle w:val="ListParagraph"/>
        <w:numPr>
          <w:ilvl w:val="0"/>
          <w:numId w:val="6"/>
        </w:numPr>
      </w:pPr>
      <w:r>
        <w:t>Arbitrary distinction between crimes of specific and basic intent</w:t>
      </w:r>
    </w:p>
    <w:p w14:paraId="579D0CE8" w14:textId="1023AB43" w:rsidR="00106DA6" w:rsidRDefault="00106DA6" w:rsidP="00DC6299">
      <w:pPr>
        <w:pStyle w:val="ListParagraph"/>
        <w:numPr>
          <w:ilvl w:val="0"/>
          <w:numId w:val="6"/>
        </w:numPr>
      </w:pPr>
      <w:r>
        <w:t>Rules are complex and difficult to apply</w:t>
      </w:r>
    </w:p>
    <w:p w14:paraId="54CE78F1" w14:textId="5E4EAA72" w:rsidR="0091349E" w:rsidRPr="00C036A7" w:rsidRDefault="00380526" w:rsidP="00DC6299">
      <w:pPr>
        <w:pStyle w:val="ListParagraph"/>
        <w:numPr>
          <w:ilvl w:val="0"/>
          <w:numId w:val="6"/>
        </w:numPr>
      </w:pPr>
      <w:r w:rsidRPr="00A02B06">
        <w:rPr>
          <w:i/>
          <w:iCs/>
        </w:rPr>
        <w:lastRenderedPageBreak/>
        <w:t>Majewski</w:t>
      </w:r>
      <w:r>
        <w:t xml:space="preserve"> ignores the general principles that the prosecution must prove MR and that AR and MR must coincide and attributes a general rather than a legal understanding of recklessness to the rules.</w:t>
      </w:r>
    </w:p>
    <w:p w14:paraId="06628388" w14:textId="77777777" w:rsidR="00106DA6" w:rsidRDefault="00106DA6" w:rsidP="00BE469E">
      <w:pPr>
        <w:pStyle w:val="Heading2"/>
      </w:pPr>
    </w:p>
    <w:p w14:paraId="58C90007" w14:textId="29E9B99F" w:rsidR="00BE469E" w:rsidRDefault="00BE469E" w:rsidP="00BE469E">
      <w:pPr>
        <w:pStyle w:val="Heading2"/>
      </w:pPr>
      <w:r>
        <w:t>Hints:</w:t>
      </w:r>
    </w:p>
    <w:p w14:paraId="3212E21D" w14:textId="77777777" w:rsidR="00BE469E" w:rsidRDefault="00BE469E" w:rsidP="00BE469E">
      <w:pPr>
        <w:pStyle w:val="ListParagraph"/>
        <w:numPr>
          <w:ilvl w:val="0"/>
          <w:numId w:val="2"/>
        </w:numPr>
      </w:pPr>
      <w:r>
        <w:t>Summarise the key law before considering the arguments</w:t>
      </w:r>
    </w:p>
    <w:p w14:paraId="5A32360D" w14:textId="63580EEC" w:rsidR="00BE469E" w:rsidRDefault="00BE469E" w:rsidP="00BE469E">
      <w:pPr>
        <w:pStyle w:val="ListParagraph"/>
        <w:numPr>
          <w:ilvl w:val="0"/>
          <w:numId w:val="2"/>
        </w:numPr>
      </w:pPr>
      <w:r>
        <w:t>Refer to the academic literature (see further reading) as well as the legal authorities</w:t>
      </w:r>
      <w:r w:rsidR="00380526">
        <w:t xml:space="preserve"> (</w:t>
      </w:r>
      <w:r w:rsidR="00CE2D46">
        <w:t>e.g.</w:t>
      </w:r>
      <w:r w:rsidR="00380526">
        <w:t xml:space="preserve"> Law Commission recommendations for reform). </w:t>
      </w:r>
    </w:p>
    <w:p w14:paraId="4FE3DEAC" w14:textId="40A813B5" w:rsidR="00BE469E" w:rsidRDefault="00BE469E" w:rsidP="00BE469E">
      <w:pPr>
        <w:pStyle w:val="ListParagraph"/>
        <w:numPr>
          <w:ilvl w:val="0"/>
          <w:numId w:val="2"/>
        </w:numPr>
      </w:pPr>
      <w:r>
        <w:t>Make sure that you are answering the question asked</w:t>
      </w:r>
      <w:r w:rsidR="00380526">
        <w:t xml:space="preserve"> - </w:t>
      </w:r>
      <w:r>
        <w:t xml:space="preserve">not writing a general essay on </w:t>
      </w:r>
      <w:r w:rsidR="00380526">
        <w:t xml:space="preserve">intoxication. You should avoid description and instead focus on </w:t>
      </w:r>
      <w:r w:rsidR="00106DA6">
        <w:t xml:space="preserve">arguments which either agree or disagree with the statement in the question. </w:t>
      </w:r>
    </w:p>
    <w:p w14:paraId="73E25010" w14:textId="77777777" w:rsidR="00BE469E" w:rsidRDefault="00BE469E" w:rsidP="00BE469E"/>
    <w:p w14:paraId="5EF83FC9" w14:textId="77777777" w:rsidR="00BE469E" w:rsidRDefault="00BE469E"/>
    <w:sectPr w:rsidR="00BE46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90A15" w14:textId="77777777" w:rsidR="00CE2D46" w:rsidRDefault="00CE2D46" w:rsidP="00CE2D46">
      <w:pPr>
        <w:spacing w:after="0" w:line="240" w:lineRule="auto"/>
      </w:pPr>
      <w:r>
        <w:separator/>
      </w:r>
    </w:p>
  </w:endnote>
  <w:endnote w:type="continuationSeparator" w:id="0">
    <w:p w14:paraId="638B3F2A" w14:textId="77777777" w:rsidR="00CE2D46" w:rsidRDefault="00CE2D46" w:rsidP="00CE2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UP Swift">
    <w:altName w:val="Calibri"/>
    <w:panose1 w:val="0200050308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42358" w14:textId="2871E5F3" w:rsidR="00CE2D46" w:rsidRDefault="00CE2D46" w:rsidP="00CE2D46">
    <w:pPr>
      <w:pStyle w:val="Footer"/>
      <w:pBdr>
        <w:top w:val="single" w:sz="4" w:space="1" w:color="808080"/>
      </w:pBdr>
      <w:jc w:val="right"/>
      <w:rPr>
        <w:rFonts w:ascii="OUP Swift" w:hAnsi="OUP Swift"/>
        <w:color w:val="808080"/>
      </w:rPr>
    </w:pPr>
    <w:bookmarkStart w:id="0" w:name="_Hlk94603672"/>
    <w:bookmarkStart w:id="1" w:name="_Hlk94603673"/>
    <w:r>
      <w:rPr>
        <w:rFonts w:ascii="OUP Swift" w:hAnsi="OUP Swift"/>
        <w:noProof/>
        <w:color w:val="808080"/>
      </w:rPr>
      <w:drawing>
        <wp:inline distT="0" distB="0" distL="0" distR="0" wp14:anchorId="4653B7EF" wp14:editId="3808109B">
          <wp:extent cx="1219200" cy="457200"/>
          <wp:effectExtent l="0" t="0" r="0" b="0"/>
          <wp:docPr id="1" name="Picture 1" descr="Company n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pany nam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8CA070" w14:textId="77777777" w:rsidR="00CE2D46" w:rsidRDefault="00CE2D46" w:rsidP="00CE2D46">
    <w:pPr>
      <w:pStyle w:val="Footer"/>
      <w:rPr>
        <w:rFonts w:ascii="Arial" w:hAnsi="Arial"/>
        <w:color w:val="808080"/>
        <w:sz w:val="20"/>
        <w:szCs w:val="20"/>
      </w:rPr>
    </w:pPr>
    <w:r>
      <w:rPr>
        <w:rFonts w:ascii="Arial" w:hAnsi="Arial"/>
        <w:color w:val="808080"/>
        <w:sz w:val="20"/>
        <w:szCs w:val="20"/>
      </w:rPr>
      <w:t>© Oxford University Press, 2022. All rights reserved.</w:t>
    </w:r>
    <w:bookmarkEnd w:id="0"/>
    <w:bookmarkEnd w:id="1"/>
  </w:p>
  <w:p w14:paraId="04F3CEBE" w14:textId="77777777" w:rsidR="00CE2D46" w:rsidRDefault="00CE2D46" w:rsidP="00CE2D46">
    <w:pPr>
      <w:pStyle w:val="Footer"/>
    </w:pPr>
  </w:p>
  <w:p w14:paraId="241DB471" w14:textId="77777777" w:rsidR="00CE2D46" w:rsidRDefault="00CE2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A7177" w14:textId="77777777" w:rsidR="00CE2D46" w:rsidRDefault="00CE2D46" w:rsidP="00CE2D46">
      <w:pPr>
        <w:spacing w:after="0" w:line="240" w:lineRule="auto"/>
      </w:pPr>
      <w:r>
        <w:separator/>
      </w:r>
    </w:p>
  </w:footnote>
  <w:footnote w:type="continuationSeparator" w:id="0">
    <w:p w14:paraId="26A45F8C" w14:textId="77777777" w:rsidR="00CE2D46" w:rsidRDefault="00CE2D46" w:rsidP="00CE2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58A6"/>
    <w:multiLevelType w:val="hybridMultilevel"/>
    <w:tmpl w:val="D6040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C45AF"/>
    <w:multiLevelType w:val="hybridMultilevel"/>
    <w:tmpl w:val="A00A3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C06B5"/>
    <w:multiLevelType w:val="hybridMultilevel"/>
    <w:tmpl w:val="F3CEA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57B5F"/>
    <w:multiLevelType w:val="hybridMultilevel"/>
    <w:tmpl w:val="93247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D21CB"/>
    <w:multiLevelType w:val="hybridMultilevel"/>
    <w:tmpl w:val="3DD0B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E2BD9"/>
    <w:multiLevelType w:val="hybridMultilevel"/>
    <w:tmpl w:val="A1A48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E5BC7"/>
    <w:multiLevelType w:val="hybridMultilevel"/>
    <w:tmpl w:val="35C2D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17C86"/>
    <w:multiLevelType w:val="hybridMultilevel"/>
    <w:tmpl w:val="F0D60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9E"/>
    <w:rsid w:val="00106DA6"/>
    <w:rsid w:val="00380526"/>
    <w:rsid w:val="0091349E"/>
    <w:rsid w:val="00A02B06"/>
    <w:rsid w:val="00BE469E"/>
    <w:rsid w:val="00CE2D46"/>
    <w:rsid w:val="00DC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3579E"/>
  <w15:chartTrackingRefBased/>
  <w15:docId w15:val="{74D7415C-5CD9-0D44-B2B1-84171BF7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9E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46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46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E46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E469E"/>
    <w:pPr>
      <w:ind w:left="720"/>
      <w:contextualSpacing/>
    </w:pPr>
  </w:style>
  <w:style w:type="paragraph" w:customStyle="1" w:styleId="UL">
    <w:name w:val="UL"/>
    <w:basedOn w:val="Normal"/>
    <w:rsid w:val="00BE469E"/>
    <w:pPr>
      <w:spacing w:before="60" w:after="60" w:line="480" w:lineRule="auto"/>
      <w:ind w:left="480"/>
    </w:pPr>
    <w:rPr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E2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D46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CE2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E2D4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0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Mischa.Allen</dc:creator>
  <cp:keywords/>
  <dc:description/>
  <cp:lastModifiedBy>SINGH, Sera</cp:lastModifiedBy>
  <cp:revision>3</cp:revision>
  <dcterms:created xsi:type="dcterms:W3CDTF">2022-01-28T11:55:00Z</dcterms:created>
  <dcterms:modified xsi:type="dcterms:W3CDTF">2022-02-03T11:46:00Z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2022-02-03T11:46:16Z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93b7d39e-e2ea-49b8-b2e7-12056537a1f3</vt:lpwstr>
  </property>
  <property fmtid="{D5CDD505-2E9C-101B-9397-08002B2CF9AE}" pid="8" name="MSIP_Label_be5cb09a-2992-49d6-8ac9-5f63e7b1ad2f_ContentBits">
    <vt:lpwstr>0</vt:lpwstr>
  </property>
</Properties>
</file>