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1"/>
        <w:gridCol w:w="5999"/>
      </w:tblGrid>
      <w:tr w:rsidR="00DA79F0" w:rsidTr="00DA4AC1">
        <w:trPr>
          <w:trHeight w:val="804"/>
        </w:trPr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9F0" w:rsidRDefault="00546A9D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OUTLINE 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The Triumph of Death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The Godly Society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From the Peace of Augsburg to the Edict of Nantes: The French Wars of Religion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Saint Bartholomew’s Day Massacre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Reign of Henri IV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Dutch Ascendancy and Spanish Eclipse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Revolt of the Netherlands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The Thirty Years’ War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Origins and Course of the War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Mass Armies and Modern Weaponry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Grimmelshausen’s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The Adventures of a Simpleton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Enemies Within: The Hunt for Witches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Links between Persecution of Witches and Wars of Religion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Targeting Women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The Jews of the East and West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Messianic Movements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Sabbatean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Cult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Escalating Anti-Semitism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The Waning of the Sultanate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Economic Causes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Conservative Reaction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New Centers of Intellectual and Cultural Life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Illuminationism</w:t>
            </w:r>
            <w:proofErr w:type="spellEnd"/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Wars of Religion: The Eastern Front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Ottoman-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Safavid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Strife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European Victories over the Ottomans</w:t>
            </w:r>
          </w:p>
          <w:p w:rsidR="00DA79F0" w:rsidRDefault="00546A9D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Sultanate of Women</w:t>
            </w:r>
          </w:p>
          <w:p w:rsidR="00DA79F0" w:rsidRDefault="00546A9D">
            <w:pPr>
              <w:pStyle w:val="COL1"/>
              <w:spacing w:line="240" w:lineRule="auto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Economic Changes in an Atlantic World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9F0" w:rsidRDefault="00546A9D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b/>
                <w:bCs/>
                <w:color w:val="000000"/>
                <w:sz w:val="18"/>
                <w:szCs w:val="18"/>
                <w:u w:color="000000"/>
              </w:rPr>
              <w:t>WHO?</w:t>
            </w:r>
          </w:p>
          <w:p w:rsidR="00DA79F0" w:rsidRDefault="00546A9D">
            <w:pPr>
              <w:pStyle w:val="Textbook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Elizabeth I</w:t>
            </w:r>
          </w:p>
          <w:p w:rsidR="00DA79F0" w:rsidRDefault="00546A9D">
            <w:pPr>
              <w:pStyle w:val="Textbook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Huguenots</w:t>
            </w:r>
          </w:p>
          <w:p w:rsidR="00DA79F0" w:rsidRDefault="00546A9D">
            <w:pPr>
              <w:pStyle w:val="Textbook"/>
              <w:spacing w:line="240" w:lineRule="auto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Mulla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Sadra</w:t>
            </w:r>
            <w:proofErr w:type="spellEnd"/>
          </w:p>
        </w:tc>
      </w:tr>
      <w:tr w:rsidR="00DA79F0" w:rsidTr="00DA4AC1">
        <w:trPr>
          <w:trHeight w:val="2404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F0" w:rsidRDefault="00DA79F0"/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9F0" w:rsidRDefault="00546A9D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b/>
                <w:bCs/>
                <w:color w:val="000000"/>
                <w:sz w:val="18"/>
                <w:szCs w:val="18"/>
                <w:u w:color="000000"/>
              </w:rPr>
              <w:t>WHAT?</w:t>
            </w:r>
          </w:p>
          <w:p w:rsidR="00DA79F0" w:rsidRDefault="00546A9D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Church of England</w:t>
            </w:r>
          </w:p>
          <w:p w:rsidR="00DA79F0" w:rsidRDefault="00546A9D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Edict of Nantes</w:t>
            </w:r>
          </w:p>
          <w:p w:rsidR="00DA79F0" w:rsidRDefault="00546A9D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Enclosure movement</w:t>
            </w:r>
          </w:p>
          <w:p w:rsidR="00DA79F0" w:rsidRDefault="00546A9D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Ghetto</w:t>
            </w:r>
          </w:p>
          <w:p w:rsidR="00DA79F0" w:rsidRDefault="00546A9D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Illuminationism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</w:t>
            </w:r>
          </w:p>
          <w:p w:rsidR="00DA79F0" w:rsidRDefault="00546A9D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Kabbala</w:t>
            </w:r>
          </w:p>
          <w:p w:rsidR="00DA79F0" w:rsidRDefault="00546A9D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Peace of Augsburg</w:t>
            </w:r>
          </w:p>
          <w:p w:rsidR="00DA79F0" w:rsidRDefault="00546A9D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Peace of Westphalia</w:t>
            </w:r>
          </w:p>
          <w:p w:rsidR="00DA79F0" w:rsidRDefault="00546A9D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Saint Bartholomew’s Day Massacre</w:t>
            </w:r>
          </w:p>
          <w:p w:rsidR="00DA79F0" w:rsidRDefault="00546A9D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Sultanate of Wome</w:t>
            </w:r>
            <w:bookmarkStart w:id="0" w:name="_GoBack"/>
            <w:bookmarkEnd w:id="0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n</w:t>
            </w:r>
          </w:p>
          <w:p w:rsidR="00DA79F0" w:rsidRDefault="00546A9D"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Thirty Years’ War</w:t>
            </w:r>
          </w:p>
        </w:tc>
      </w:tr>
      <w:tr w:rsidR="00DA79F0" w:rsidTr="00DA4AC1">
        <w:trPr>
          <w:trHeight w:val="2676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F0" w:rsidRDefault="00DA79F0"/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A79F0" w:rsidRDefault="00546A9D">
            <w:pPr>
              <w:pStyle w:val="Textbook"/>
              <w:spacing w:line="24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WHERE?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A79F0" w:rsidRDefault="00DA79F0">
            <w:pPr>
              <w:pStyle w:val="Textbook"/>
              <w:spacing w:line="240" w:lineRule="auto"/>
              <w:ind w:left="288" w:hanging="288"/>
            </w:pPr>
          </w:p>
        </w:tc>
      </w:tr>
      <w:tr w:rsidR="00DA79F0" w:rsidTr="00DA4AC1">
        <w:trPr>
          <w:trHeight w:val="2204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9F0" w:rsidRDefault="00546A9D" w:rsidP="00DA4AC1">
            <w:pPr>
              <w:pStyle w:val="RQ"/>
              <w:spacing w:line="240" w:lineRule="auto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NOTES: TO FOLLOW UP / QUESTIONS TO ASK IN CLASS</w:t>
            </w:r>
          </w:p>
        </w:tc>
      </w:tr>
    </w:tbl>
    <w:p w:rsidR="00DA79F0" w:rsidRDefault="00DA79F0">
      <w:pPr>
        <w:pStyle w:val="Body"/>
        <w:widowControl w:val="0"/>
      </w:pPr>
    </w:p>
    <w:sectPr w:rsidR="00DA79F0">
      <w:headerReference w:type="default" r:id="rId7"/>
      <w:footerReference w:type="default" r:id="rId8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D9" w:rsidRDefault="00546A9D">
      <w:r>
        <w:separator/>
      </w:r>
    </w:p>
  </w:endnote>
  <w:endnote w:type="continuationSeparator" w:id="0">
    <w:p w:rsidR="009816D9" w:rsidRDefault="005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 StempelGaramond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 StempelGaramond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F0" w:rsidRDefault="00DA79F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D9" w:rsidRDefault="00546A9D">
      <w:r>
        <w:separator/>
      </w:r>
    </w:p>
  </w:footnote>
  <w:footnote w:type="continuationSeparator" w:id="0">
    <w:p w:rsidR="009816D9" w:rsidRDefault="0054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F0" w:rsidRDefault="00546A9D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Backman, </w:t>
    </w:r>
    <w:r>
      <w:rPr>
        <w:i/>
        <w:iCs/>
        <w:sz w:val="20"/>
        <w:szCs w:val="20"/>
      </w:rPr>
      <w:t>Cultures of the West</w:t>
    </w:r>
  </w:p>
  <w:p w:rsidR="00DA79F0" w:rsidRDefault="00546A9D">
    <w:pPr>
      <w:pStyle w:val="Head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CHAPTER 14 The Wars of All Against All</w:t>
    </w:r>
  </w:p>
  <w:p w:rsidR="00DA79F0" w:rsidRDefault="00546A9D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>1540—1648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79F0"/>
    <w:rsid w:val="00546A9D"/>
    <w:rsid w:val="009816D9"/>
    <w:rsid w:val="00DA4AC1"/>
    <w:rsid w:val="00D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TUNKAVIGE, Katie</dc:creator>
  <cp:lastModifiedBy>BURNS, Jaime</cp:lastModifiedBy>
  <cp:revision>3</cp:revision>
  <dcterms:created xsi:type="dcterms:W3CDTF">2019-08-28T13:30:00Z</dcterms:created>
  <dcterms:modified xsi:type="dcterms:W3CDTF">2020-02-27T17:28:00Z</dcterms:modified>
</cp:coreProperties>
</file>