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30CCD" w14:textId="77777777" w:rsidR="00564A38" w:rsidRDefault="00564A38" w:rsidP="00564A38">
      <w:pPr>
        <w:pStyle w:val="Heading1"/>
      </w:pPr>
      <w:bookmarkStart w:id="0" w:name="h-2690048-title"/>
      <w:bookmarkStart w:id="1" w:name="_Toc237348063"/>
      <w:bookmarkStart w:id="2" w:name="f-2690048-title"/>
      <w:bookmarkStart w:id="3" w:name="f-2690048"/>
      <w:bookmarkStart w:id="4" w:name="f-2690055-lessons"/>
      <w:r>
        <w:t>The problem of inequitable access to justice</w:t>
      </w:r>
      <w:bookmarkEnd w:id="0"/>
      <w:bookmarkEnd w:id="1"/>
    </w:p>
    <w:p w14:paraId="5E13956B" w14:textId="77777777" w:rsidR="00564A38" w:rsidRDefault="00564A38" w:rsidP="00111382">
      <w:bookmarkStart w:id="5" w:name="f-2690048-2"/>
      <w:bookmarkEnd w:id="2"/>
      <w:r>
        <w:t>It has been pointed out that legal problems are often the problems of everyday life.</w:t>
      </w:r>
      <w:r>
        <w:rPr>
          <w:rStyle w:val="FootnoteReference"/>
        </w:rPr>
        <w:footnoteReference w:id="2"/>
      </w:r>
      <w:r>
        <w:t xml:space="preserve"> They occur when people lose their jobs, migrate, have an accident, divorce, buy unsatisfactory goods and services, form a business or wind a business up, and so on. When these everyday problems occur, people are likely to need access to justice. They often need legal assistance to enforce their rights, redefine relationships, receive compensation or otherwise receive redress.</w:t>
      </w:r>
      <w:r>
        <w:rPr>
          <w:rStyle w:val="FootnoteReference"/>
        </w:rPr>
        <w:footnoteReference w:id="3"/>
      </w:r>
      <w:r>
        <w:t xml:space="preserve"> As Duffy </w:t>
      </w:r>
      <w:r>
        <w:rPr>
          <w:i/>
        </w:rPr>
        <w:t>et al.</w:t>
      </w:r>
      <w:r>
        <w:t xml:space="preserve"> point out, access to the civil justice system in Australia, ‘including access to legal advice, representation and where necessary, court action, is important in protecting the rights of citizens. Private enforcement of such rights entails further value in its deterrent effect on breaches of the law and in supplementing regulatory enforcement.’</w:t>
      </w:r>
      <w:r>
        <w:rPr>
          <w:rStyle w:val="FootnoteReference"/>
        </w:rPr>
        <w:footnoteReference w:id="4"/>
      </w:r>
    </w:p>
    <w:p w14:paraId="305822BB" w14:textId="77777777" w:rsidR="00564A38" w:rsidRDefault="00564A38" w:rsidP="00111382">
      <w:r>
        <w:t>On an individual level, therefore, access to justice is important; but access to justice and to justice systems</w:t>
      </w:r>
      <w:r>
        <w:rPr>
          <w:rStyle w:val="FootnoteReference"/>
        </w:rPr>
        <w:footnoteReference w:id="5"/>
      </w:r>
      <w:r>
        <w:t xml:space="preserve"> are also important on a broader social level. They are vital to democracies</w:t>
      </w:r>
      <w:r>
        <w:rPr>
          <w:rStyle w:val="FootnoteReference"/>
        </w:rPr>
        <w:footnoteReference w:id="6"/>
      </w:r>
      <w:r>
        <w:t xml:space="preserve"> and to the rule of law: ‘by providing access to justice, governments enhance their legitimacy, improve their ability to create social change, and facilitate economic development’.</w:t>
      </w:r>
      <w:r>
        <w:rPr>
          <w:rStyle w:val="FootnoteReference"/>
        </w:rPr>
        <w:footnoteReference w:id="7"/>
      </w:r>
      <w:r>
        <w:t xml:space="preserve"> It is important for the smooth running of our society to ensure that the public understand and respect the rules, and that the legal system operates effectively. We look to the administration of law to achieve justice—that is, ‘fair outcomes arrived at by fair procedures’</w:t>
      </w:r>
      <w:r>
        <w:rPr>
          <w:rStyle w:val="FootnoteReference"/>
        </w:rPr>
        <w:footnoteReference w:id="8"/>
      </w:r>
      <w:r>
        <w:t>—and, according to the rule of law, there is to be no arbitrary use of power. Rules are to be administered fairly, consistently and impartially.</w:t>
      </w:r>
    </w:p>
    <w:p w14:paraId="40393940" w14:textId="1BE6A361" w:rsidR="00564A38" w:rsidRDefault="00564A38" w:rsidP="00111382">
      <w:r>
        <w:t>There is an assumption that in following due process, individuals will be protected from abuses of power and their rights upheld. The rule of law relies on the idea that individuals will only be penalised if they disobey the law—and for no other reason. In addition, it proposes that everyone is subject to the law, no matter who they are. As Lash, Gee and Zelon point out, ‘[r]espect for justice and laws is diminished when large segments of our society do not have equal access to civil justice because they cannot obtain legal assistance to resolve disputes that touch on the very basics of life (e.g., health care, food, and shelter) or to seek legal redress of their grievances’.</w:t>
      </w:r>
      <w:r>
        <w:rPr>
          <w:rStyle w:val="FootnoteReference"/>
        </w:rPr>
        <w:footnoteReference w:id="9"/>
      </w:r>
    </w:p>
    <w:p w14:paraId="6E561381" w14:textId="77777777" w:rsidR="00564A38" w:rsidRDefault="00564A38" w:rsidP="00111382">
      <w:r>
        <w:t>Despite the fundamental importance of access to justice both to the individual and to society, it is something of a paradox that legal services are distributed so inequitably in democracies such as Australia. In Australia, as in other Western liberal democracies, there is a pervasive view within government that ‘the legal system is like a product to be purchased for private benefit’.</w:t>
      </w:r>
      <w:r>
        <w:rPr>
          <w:rStyle w:val="FootnoteReference"/>
        </w:rPr>
        <w:footnoteReference w:id="10"/>
      </w:r>
      <w:r>
        <w:t xml:space="preserve"> Pilliar, although writing with specific reference to the problem of access to justice in Canada, sums up the issues well when he writes that ‘[d]espite prominent calls to action, </w:t>
      </w:r>
      <w:r>
        <w:lastRenderedPageBreak/>
        <w:t>reports, and even some government support, access to justice remains a nebulous concept for many, is largely ignored outside the legal profession, and has not demonstrably improved’.</w:t>
      </w:r>
      <w:r>
        <w:rPr>
          <w:rStyle w:val="FootnoteReference"/>
        </w:rPr>
        <w:footnoteReference w:id="11"/>
      </w:r>
    </w:p>
    <w:p w14:paraId="77373219" w14:textId="77777777" w:rsidR="00564A38" w:rsidRDefault="00564A38" w:rsidP="00111382">
      <w:r>
        <w:t>This means that the cost of accessing legal services and securing representation can prevent many Australians from gaining effective access to the justice system. For a well-functioning justice system, access should not be dependent on capacity to pay, and vulnerable litigants should not be disadvantaged. A well-functioning justice system should provide timely, affordable and equitable justice— delivering fair outcomes as efficiently as possible, and resolving disputes early, expeditiously and at the most appropriate level. A justice system that effectively excludes a sizable portion of society from adequate redress risks significant economic and social costs.</w:t>
      </w:r>
      <w:r>
        <w:rPr>
          <w:rStyle w:val="FootnoteReference"/>
        </w:rPr>
        <w:footnoteReference w:id="12"/>
      </w:r>
      <w:r>
        <w:t xml:space="preserve"> The problem is particularly acute in the United States, where the figures are stark:</w:t>
      </w:r>
    </w:p>
    <w:p w14:paraId="1B89DB33" w14:textId="77777777" w:rsidR="00564A38" w:rsidRDefault="00564A38" w:rsidP="00903297">
      <w:pPr>
        <w:pStyle w:val="Quote"/>
      </w:pPr>
      <w:r>
        <w:t>In 2021, three of four low-income households experienced one or more civil legal problems, and a majority said these problems had substantial effects on their finances, their relationships, their safety, or their mental or physical health. Further, 92 per cent of those low-income individuals surveyed reported receiving no or inadequate legal assistance related to the civil legal problems substantially affecting them.</w:t>
      </w:r>
      <w:r>
        <w:rPr>
          <w:rStyle w:val="FootnoteReference"/>
        </w:rPr>
        <w:footnoteReference w:id="13"/>
      </w:r>
    </w:p>
    <w:p w14:paraId="12AAFF95" w14:textId="77777777" w:rsidR="00564A38" w:rsidRDefault="00564A38" w:rsidP="00111382">
      <w:r>
        <w:t>Rhode further notes that not only low-income communities but also middle-income Americans struggle to access legal protections,</w:t>
      </w:r>
      <w:r>
        <w:rPr>
          <w:rStyle w:val="FootnoteReference"/>
        </w:rPr>
        <w:footnoteReference w:id="14"/>
      </w:r>
      <w:r>
        <w:t xml:space="preserve"> underscoring that the justice gap extends well beyond poverty lines:</w:t>
      </w:r>
    </w:p>
    <w:p w14:paraId="451BB89E" w14:textId="77777777" w:rsidR="00564A38" w:rsidRDefault="00564A38" w:rsidP="00903297">
      <w:pPr>
        <w:pStyle w:val="Quote"/>
      </w:pPr>
      <w:r>
        <w:t>Domestic violence victims cannot obtain protective orders, elderly medical patients cannot collect health benefits, disabled children are denied educational services, defrauded consumers lack affordable remedies … The list is long and the costs incalculable. Moreover, those who attempt to navigate the system unassisted confront unnecessary obstacles at every turn. In most family, housing, bankruptcy, and small claims courts, the majority of litigants lack legal representation. Yet the system has been designed by and for lawyers, and too little effort has been made to ensure that it is fair or even comprehensible to the average claimant.</w:t>
      </w:r>
      <w:r>
        <w:rPr>
          <w:rStyle w:val="FootnoteReference"/>
        </w:rPr>
        <w:footnoteReference w:id="15"/>
      </w:r>
    </w:p>
    <w:p w14:paraId="538655CC" w14:textId="77777777" w:rsidR="00564A38" w:rsidRDefault="00564A38" w:rsidP="00111382">
      <w:r>
        <w:t>Indeed, Rhode, Eaton and Porto observe that ‘[f]or a nation with one of the world’s highest concentrations of lawyers, the United States does a shamefully inadequate job of making legal services available to individuals who need those services most’,</w:t>
      </w:r>
      <w:r>
        <w:rPr>
          <w:rStyle w:val="FootnoteReference"/>
        </w:rPr>
        <w:footnoteReference w:id="16"/>
      </w:r>
      <w:r>
        <w:t xml:space="preserve"> and that the unmet need for legal services in the United States is ‘staggering’, particularly for the poor.</w:t>
      </w:r>
      <w:r>
        <w:rPr>
          <w:rStyle w:val="FootnoteReference"/>
        </w:rPr>
        <w:footnoteReference w:id="17"/>
      </w:r>
    </w:p>
    <w:p w14:paraId="63964920" w14:textId="77777777" w:rsidR="00564A38" w:rsidRDefault="00564A38" w:rsidP="00111382">
      <w:r>
        <w:t xml:space="preserve">In Australia, various studies since the 1970s have revealed persistent procedural barriers to access to justice (such as cost and delay), as well as specific difficulties experienced by disadvantaged groups—including Indigenous peoples, the young, the elderly, the poor, women, asylum seekers and people with disabilities—in </w:t>
      </w:r>
      <w:r>
        <w:lastRenderedPageBreak/>
        <w:t>accessing justice.</w:t>
      </w:r>
      <w:r>
        <w:rPr>
          <w:rStyle w:val="FootnoteReference"/>
        </w:rPr>
        <w:footnoteReference w:id="18"/>
      </w:r>
      <w:r>
        <w:t xml:space="preserve"> In 2018, the Law Council of Australia published the final report of The Justice Project, which was overseen by an expert Steering Committee chaired by the former High Court Chief Justice, Robert French.</w:t>
      </w:r>
      <w:r>
        <w:rPr>
          <w:rStyle w:val="FootnoteReference"/>
        </w:rPr>
        <w:footnoteReference w:id="19"/>
      </w:r>
      <w:r>
        <w:t xml:space="preserve"> This comprehensive study identified the following groups as particularly vulnerable in terms of accessing justice:</w:t>
      </w:r>
    </w:p>
    <w:p w14:paraId="17803E8C" w14:textId="77777777" w:rsidR="00564A38" w:rsidRDefault="00564A38" w:rsidP="001F2C04">
      <w:pPr>
        <w:pStyle w:val="Quote"/>
        <w:numPr>
          <w:ilvl w:val="3"/>
          <w:numId w:val="6"/>
        </w:numPr>
      </w:pPr>
      <w:r>
        <w:t>People with Disability;</w:t>
      </w:r>
    </w:p>
    <w:p w14:paraId="2DEC463F" w14:textId="77777777" w:rsidR="00564A38" w:rsidRDefault="00564A38" w:rsidP="001F2C04">
      <w:pPr>
        <w:pStyle w:val="Quote"/>
        <w:numPr>
          <w:ilvl w:val="3"/>
          <w:numId w:val="6"/>
        </w:numPr>
      </w:pPr>
      <w:r>
        <w:t>People Experiencing Economic Disadvantage;</w:t>
      </w:r>
    </w:p>
    <w:p w14:paraId="5C4F9A01" w14:textId="77777777" w:rsidR="00564A38" w:rsidRDefault="00564A38" w:rsidP="001F2C04">
      <w:pPr>
        <w:pStyle w:val="Quote"/>
        <w:numPr>
          <w:ilvl w:val="3"/>
          <w:numId w:val="6"/>
        </w:numPr>
      </w:pPr>
      <w:r>
        <w:t>LGBTI+ People;</w:t>
      </w:r>
    </w:p>
    <w:p w14:paraId="74D3FE43" w14:textId="77777777" w:rsidR="00564A38" w:rsidRDefault="00564A38" w:rsidP="001F2C04">
      <w:pPr>
        <w:pStyle w:val="Quote"/>
        <w:numPr>
          <w:ilvl w:val="3"/>
          <w:numId w:val="6"/>
        </w:numPr>
      </w:pPr>
      <w:r>
        <w:t>Prisoners and Detainees;</w:t>
      </w:r>
    </w:p>
    <w:p w14:paraId="03CE51BF" w14:textId="77777777" w:rsidR="00564A38" w:rsidRDefault="00564A38" w:rsidP="001F2C04">
      <w:pPr>
        <w:pStyle w:val="Quote"/>
        <w:numPr>
          <w:ilvl w:val="3"/>
          <w:numId w:val="6"/>
        </w:numPr>
      </w:pPr>
      <w:r>
        <w:t>Aboriginal and Torres Strait Islander People;</w:t>
      </w:r>
    </w:p>
    <w:p w14:paraId="1D22B42D" w14:textId="77777777" w:rsidR="00564A38" w:rsidRDefault="00564A38" w:rsidP="001F2C04">
      <w:pPr>
        <w:pStyle w:val="Quote"/>
        <w:numPr>
          <w:ilvl w:val="3"/>
          <w:numId w:val="6"/>
        </w:numPr>
      </w:pPr>
      <w:r>
        <w:t>People who Experience Family Violence;</w:t>
      </w:r>
    </w:p>
    <w:p w14:paraId="5766E721" w14:textId="77777777" w:rsidR="00564A38" w:rsidRDefault="00564A38" w:rsidP="001F2C04">
      <w:pPr>
        <w:pStyle w:val="Quote"/>
        <w:numPr>
          <w:ilvl w:val="3"/>
          <w:numId w:val="6"/>
        </w:numPr>
      </w:pPr>
      <w:r>
        <w:t>People who have been Trafficked or Exploited;</w:t>
      </w:r>
    </w:p>
    <w:p w14:paraId="21BDD374" w14:textId="77777777" w:rsidR="00564A38" w:rsidRDefault="00564A38" w:rsidP="001F2C04">
      <w:pPr>
        <w:pStyle w:val="Quote"/>
        <w:numPr>
          <w:ilvl w:val="3"/>
          <w:numId w:val="6"/>
        </w:numPr>
      </w:pPr>
      <w:r>
        <w:t>Recent Arrivals to Australia;</w:t>
      </w:r>
    </w:p>
    <w:p w14:paraId="0A65C34A" w14:textId="77777777" w:rsidR="00564A38" w:rsidRDefault="00564A38" w:rsidP="001F2C04">
      <w:pPr>
        <w:pStyle w:val="Quote"/>
        <w:numPr>
          <w:ilvl w:val="3"/>
          <w:numId w:val="6"/>
        </w:numPr>
      </w:pPr>
      <w:r>
        <w:t>Children and Young People;</w:t>
      </w:r>
    </w:p>
    <w:p w14:paraId="7D019F8F" w14:textId="77777777" w:rsidR="00564A38" w:rsidRDefault="00564A38" w:rsidP="001F2C04">
      <w:pPr>
        <w:pStyle w:val="Quote"/>
        <w:numPr>
          <w:ilvl w:val="3"/>
          <w:numId w:val="6"/>
        </w:numPr>
      </w:pPr>
      <w:r>
        <w:t>Rural, Regional and Remote (RRR) Australians;</w:t>
      </w:r>
    </w:p>
    <w:p w14:paraId="42531B33" w14:textId="77777777" w:rsidR="00564A38" w:rsidRDefault="00564A38" w:rsidP="001F2C04">
      <w:pPr>
        <w:pStyle w:val="Quote"/>
        <w:numPr>
          <w:ilvl w:val="3"/>
          <w:numId w:val="6"/>
        </w:numPr>
      </w:pPr>
      <w:r>
        <w:t>Asylum Seekers;</w:t>
      </w:r>
    </w:p>
    <w:p w14:paraId="09473CE3" w14:textId="77777777" w:rsidR="00564A38" w:rsidRDefault="00564A38" w:rsidP="001F2C04">
      <w:pPr>
        <w:pStyle w:val="Quote"/>
        <w:numPr>
          <w:ilvl w:val="3"/>
          <w:numId w:val="6"/>
        </w:numPr>
      </w:pPr>
      <w:r>
        <w:t>Older Persons;</w:t>
      </w:r>
    </w:p>
    <w:p w14:paraId="0CF77D47" w14:textId="77777777" w:rsidR="00564A38" w:rsidRDefault="00564A38" w:rsidP="001F2C04">
      <w:pPr>
        <w:pStyle w:val="Quote"/>
        <w:numPr>
          <w:ilvl w:val="3"/>
          <w:numId w:val="6"/>
        </w:numPr>
      </w:pPr>
      <w:r>
        <w:t>People who are Homeless.</w:t>
      </w:r>
      <w:r>
        <w:rPr>
          <w:rStyle w:val="FootnoteReference"/>
        </w:rPr>
        <w:footnoteReference w:id="20"/>
      </w:r>
    </w:p>
    <w:p w14:paraId="0D8DB1BC" w14:textId="77777777" w:rsidR="00564A38" w:rsidRDefault="00564A38" w:rsidP="00111382">
      <w:r>
        <w:t>The report noted:</w:t>
      </w:r>
    </w:p>
    <w:p w14:paraId="0FE841D5" w14:textId="77777777" w:rsidR="00564A38" w:rsidRDefault="00564A38" w:rsidP="00903297">
      <w:pPr>
        <w:pStyle w:val="Quote"/>
      </w:pPr>
      <w:r>
        <w:t>While all individuals are different, many people within the Justice Project priority groups lack the legal capability (basic legal knowledge, non-legal skills such as literacy, and motivation and confidence to act) to identify legal issues and seek legal assistance.</w:t>
      </w:r>
      <w:r>
        <w:rPr>
          <w:rStyle w:val="FootnoteReference"/>
        </w:rPr>
        <w:footnoteReference w:id="21"/>
      </w:r>
    </w:p>
    <w:p w14:paraId="5C323542" w14:textId="77777777" w:rsidR="00564A38" w:rsidRDefault="00564A38" w:rsidP="00111382">
      <w:r>
        <w:t>A number of commentators have argued that our attitude towards this problem is one of complacency—if not, at times, hypocrisy. Burnside, for instance, claims:</w:t>
      </w:r>
    </w:p>
    <w:p w14:paraId="0D321D9D" w14:textId="77777777" w:rsidR="00564A38" w:rsidRDefault="00564A38" w:rsidP="00903297">
      <w:pPr>
        <w:pStyle w:val="Quote"/>
      </w:pPr>
      <w:r>
        <w:t>Access to Justice is a favourite topic of lawyers and politicians. We draw such pleasure and pride from its aspirational sound. When a disgruntled member of the public flings Jack Cade’s imprecation—‘the first thing we do, let’s kill all the lawyers’</w:t>
      </w:r>
      <w:r>
        <w:rPr>
          <w:rStyle w:val="FootnoteReference"/>
        </w:rPr>
        <w:footnoteReference w:id="22"/>
      </w:r>
      <w:r>
        <w:t>—we reach for that comforting phrase as we reach for garlic to ward off vampires or fridge magnets for terrorists. And when the danger passes, we settle back into our comfortable ways.</w:t>
      </w:r>
    </w:p>
    <w:p w14:paraId="56A6D472" w14:textId="77777777" w:rsidR="00564A38" w:rsidRDefault="00564A38" w:rsidP="00830F67">
      <w:pPr>
        <w:pStyle w:val="Quote"/>
      </w:pPr>
      <w:r>
        <w:t>When politicians face elections, they do the same thing, for much the same reasons.</w:t>
      </w:r>
      <w:r>
        <w:rPr>
          <w:rStyle w:val="FootnoteReference"/>
        </w:rPr>
        <w:footnoteReference w:id="23"/>
      </w:r>
    </w:p>
    <w:p w14:paraId="5930ED08" w14:textId="77777777" w:rsidR="00564A38" w:rsidRDefault="00564A38" w:rsidP="00111382">
      <w:r>
        <w:t>At the heart of the access to justice discourse is the issue of how we, as a society, allocate scarce legal resources. This raises an interesting tension. Many lawyers see access to justice as the responsibility of government, but it has been suggested that ‘if government cannot or will not guarantee [access to justice], a profession which controls access has a social responsibility which it should not seek to evade’.</w:t>
      </w:r>
      <w:r>
        <w:rPr>
          <w:rStyle w:val="FootnoteReference"/>
        </w:rPr>
        <w:footnoteReference w:id="24"/>
      </w:r>
    </w:p>
    <w:p w14:paraId="45024105" w14:textId="77777777" w:rsidR="00564A38" w:rsidRDefault="00564A38" w:rsidP="00111382">
      <w:r>
        <w:t xml:space="preserve">In this context it is interesting to note a contemporary development. This is that the provision of free legal services to entrepreneurs and startups has become increasingly common. Private law firms offer small business services pro bono; US law school clinics dedicated to entrepreneurship and small business development have </w:t>
      </w:r>
      <w:r>
        <w:lastRenderedPageBreak/>
        <w:t>also increased in number. Even conventional poverty-law-focused legal services offices provide transactional services to eligible clients; and some public interest law firms provide services to small business. But such developments raise questions about redirecting scarce lawyering resources towards enterprises rather than the disadvantaged. Resource allocation is an issue not only for society and the legal profession, but for individuals too:</w:t>
      </w:r>
    </w:p>
    <w:p w14:paraId="028532FD" w14:textId="77777777" w:rsidR="00564A38" w:rsidRDefault="00564A38" w:rsidP="00903297">
      <w:pPr>
        <w:pStyle w:val="Quote"/>
      </w:pPr>
      <w:r>
        <w:t>A central—if not the central—challenge for social justice lawyers is how, in a world of scarce resources, they should prioritize their goals and methods to maximize positive social change. We are constantly looking for practice visions to guide our allocation of scarce human capital.</w:t>
      </w:r>
      <w:r>
        <w:rPr>
          <w:rStyle w:val="FootnoteReference"/>
        </w:rPr>
        <w:footnoteReference w:id="25"/>
      </w:r>
    </w:p>
    <w:p w14:paraId="4B01C30A" w14:textId="77777777" w:rsidR="00564A38" w:rsidRDefault="00564A38" w:rsidP="00111382">
      <w:r>
        <w:t>The role of the profession itself in resource allocation is contested. Hadfield,</w:t>
      </w:r>
      <w:r>
        <w:rPr>
          <w:rStyle w:val="FootnoteReference"/>
        </w:rPr>
        <w:footnoteReference w:id="26"/>
      </w:r>
      <w:r>
        <w:t xml:space="preserve"> for instance, argues that the lack of access to justice in the community is a problem created by the legal profession itself. Self-governance, the maintenance of the monopoly on legal services, and the ban on a wider variety of organisational and contractual relationships between lawyers and non-lawyers have, she argues, hindered the innovation of low-cost legal services. On the other hand, Nicholson argues that the monopoly on legal services is essential to preserve the core values of the profession—that clients should receive ethical, competent advice from lawyers who are independent and loyal, who understand confidentiality, and who avoid conflicts of interest. She notes that lawyers who fail to meet these standards are subject to discipline and other sanctions. On this basis, she argues that a two-tiered system of legal services will not resolve the problems of access to justice. Rather, she argues, mandatory pro bono is the better alternative.</w:t>
      </w:r>
      <w:r>
        <w:rPr>
          <w:rStyle w:val="FootnoteReference"/>
        </w:rPr>
        <w:footnoteReference w:id="27"/>
      </w:r>
    </w:p>
    <w:p w14:paraId="1DA43A24" w14:textId="77777777" w:rsidR="00564A38" w:rsidRDefault="00564A38" w:rsidP="00564A38">
      <w:pPr>
        <w:pStyle w:val="Heading2"/>
      </w:pPr>
      <w:bookmarkStart w:id="6" w:name="h-2690048-3"/>
      <w:bookmarkStart w:id="7" w:name="_Toc237348064"/>
      <w:bookmarkStart w:id="8" w:name="f-2690048-3"/>
      <w:bookmarkEnd w:id="5"/>
      <w:r>
        <w:t>The meaning of ‘access to justice’</w:t>
      </w:r>
      <w:bookmarkEnd w:id="6"/>
      <w:bookmarkEnd w:id="7"/>
    </w:p>
    <w:p w14:paraId="405749F3" w14:textId="77777777" w:rsidR="00564A38" w:rsidRDefault="00564A38" w:rsidP="00111382">
      <w:r>
        <w:t>At a very simple level the meaning of access to justice centres on determining what some call the ‘justice gap’—‘the difference between the legal needs of low-income individuals and the resources available to meet those needs’.</w:t>
      </w:r>
      <w:r>
        <w:rPr>
          <w:rStyle w:val="FootnoteReference"/>
        </w:rPr>
        <w:footnoteReference w:id="28"/>
      </w:r>
      <w:r>
        <w:t xml:space="preserve"> The premier body of the legal profession in Australia, the Law Council of Australia, defined ‘access to justice’ in 2002 as follows:</w:t>
      </w:r>
    </w:p>
    <w:p w14:paraId="6FBCC511" w14:textId="77777777" w:rsidR="00564A38" w:rsidRDefault="00564A38" w:rsidP="00903297">
      <w:pPr>
        <w:pStyle w:val="Quote"/>
      </w:pPr>
      <w:r>
        <w:t>Despite the different approaches and definitions of the concept which have been reached over time, the concept is most clearly articulated as concerning the link between a person’s formal right to seek justice and the person’s effective access to the legal system or legal remedies. The 'effective access' enjoyed by individuals necessarily depends on a range of factors, including geographic location, economic capacity, health, education, cultural and linguistic variations, formal and informal discrimination and other variable factors ... Realising or guaranteeing access to justice means fair and equitable access to legal assistance, as well as access to both formal and informal justice mechanisms without economic, geographic, social, cultural, linguistic or other barriers.</w:t>
      </w:r>
      <w:r>
        <w:rPr>
          <w:rStyle w:val="FootnoteReference"/>
        </w:rPr>
        <w:footnoteReference w:id="29"/>
      </w:r>
    </w:p>
    <w:p w14:paraId="37E11C8E" w14:textId="77777777" w:rsidR="00564A38" w:rsidRDefault="00564A38" w:rsidP="00111382">
      <w:r>
        <w:lastRenderedPageBreak/>
        <w:t>The Justice Project adopted this definition,</w:t>
      </w:r>
      <w:r>
        <w:rPr>
          <w:rStyle w:val="FootnoteReference"/>
        </w:rPr>
        <w:footnoteReference w:id="30"/>
      </w:r>
      <w:r>
        <w:t xml:space="preserve"> and also referred to a number of definitions by legal academics and others, including that of Rice:</w:t>
      </w:r>
    </w:p>
    <w:p w14:paraId="52114555" w14:textId="77777777" w:rsidR="00564A38" w:rsidRDefault="00564A38" w:rsidP="00903297">
      <w:pPr>
        <w:pStyle w:val="Quote"/>
      </w:pPr>
      <w:r>
        <w:t>the idea is broadly understood as access to law—justice being, in effect, ‘justice according to the law’. The idea of ‘access to justice’ is, therefore, the capacity to understand the law, to get legal advice, to get legal assistance and representation, and to use public legal institutions such as the courts. It requires an ability to, for example, understand, communicate, travel and pay, and also requires the means to overcome the inability to do any of those things.</w:t>
      </w:r>
      <w:r>
        <w:rPr>
          <w:rStyle w:val="FootnoteReference"/>
        </w:rPr>
        <w:footnoteReference w:id="31"/>
      </w:r>
    </w:p>
    <w:p w14:paraId="7B9DAE3C" w14:textId="77777777" w:rsidR="00564A38" w:rsidRDefault="00564A38" w:rsidP="00111382">
      <w:r>
        <w:t>Yet, some have still argued that the term ‘access to justice’ defies precise definition, having been used in a variety of contexts, often interchangeably with the term ‘legal needs’, even though there has been no explicit definition of either term.</w:t>
      </w:r>
      <w:r>
        <w:rPr>
          <w:rStyle w:val="FootnoteReference"/>
        </w:rPr>
        <w:footnoteReference w:id="32"/>
      </w:r>
      <w:r>
        <w:t xml:space="preserve"> However, ‘access to justice’ is commonly used in reference to the mechanisms by which the individual may seek legal assistance. It thus involves three key elements identified by the Sackville Report:</w:t>
      </w:r>
    </w:p>
    <w:p w14:paraId="6B322443" w14:textId="77777777" w:rsidR="00564A38" w:rsidRDefault="00564A38" w:rsidP="001F2C04">
      <w:pPr>
        <w:pStyle w:val="Quote"/>
        <w:numPr>
          <w:ilvl w:val="0"/>
          <w:numId w:val="7"/>
        </w:numPr>
      </w:pPr>
      <w:r>
        <w:t>Equality of access to legal services—ensuring that all persons, regardless of means, have access to high-quality legal services or effective dispute resolution mechanisms necessary to protect their rights and interests.</w:t>
      </w:r>
    </w:p>
    <w:p w14:paraId="7DA610E7" w14:textId="77777777" w:rsidR="00564A38" w:rsidRDefault="00564A38" w:rsidP="001F2C04">
      <w:pPr>
        <w:pStyle w:val="Quote"/>
        <w:numPr>
          <w:ilvl w:val="0"/>
          <w:numId w:val="7"/>
        </w:numPr>
      </w:pPr>
      <w:r>
        <w:t>National equity—ensuring that all persons enjoy, as nearly as possible, equal access to legal services and to legal service markets that operate consistently within the dictates of competition policy.</w:t>
      </w:r>
    </w:p>
    <w:p w14:paraId="66E363C7" w14:textId="77777777" w:rsidR="00564A38" w:rsidRDefault="00564A38" w:rsidP="001F2C04">
      <w:pPr>
        <w:pStyle w:val="Quote"/>
        <w:numPr>
          <w:ilvl w:val="0"/>
          <w:numId w:val="7"/>
        </w:numPr>
      </w:pPr>
      <w:r>
        <w:t>Equality before the law—ensuring that all persons, regardless of race, ethnic origins, gender or disability, are entitled to equal opportunities in such fields as education, employment, use of community facilities and access to services.</w:t>
      </w:r>
      <w:r>
        <w:rPr>
          <w:rStyle w:val="FootnoteReference"/>
        </w:rPr>
        <w:footnoteReference w:id="33"/>
      </w:r>
    </w:p>
    <w:p w14:paraId="3C77BEDB" w14:textId="77777777" w:rsidR="00564A38" w:rsidRDefault="00564A38" w:rsidP="00111382">
      <w:r>
        <w:t>Given this focus upon mechanisms, the tendency is to emphasise access to legal services and thus seek to develop strategies to overcome the procedural barriers to justice. Such an approach tends to concentrate on issues such as ‘overcoming delays within the court process, efficiency, formality and cost of proceedings, and the organisation, structure and administration of courts and tribunals’.</w:t>
      </w:r>
      <w:r>
        <w:rPr>
          <w:rStyle w:val="FootnoteReference"/>
        </w:rPr>
        <w:footnoteReference w:id="34"/>
      </w:r>
      <w:r>
        <w:t xml:space="preserve"> However, a broad interpretation of the term is possible, one that encourages us to look beyond legal services to consider:</w:t>
      </w:r>
    </w:p>
    <w:p w14:paraId="58E1B12C" w14:textId="77777777" w:rsidR="00564A38" w:rsidRDefault="00564A38" w:rsidP="001F2C04">
      <w:pPr>
        <w:pStyle w:val="Quote"/>
        <w:numPr>
          <w:ilvl w:val="0"/>
          <w:numId w:val="8"/>
        </w:numPr>
      </w:pPr>
      <w:r>
        <w:t>the equal ability of all in society to access the processes to enforce existing rights or laws ... [raising considerations of equitable access, for instance, to conflict resolution and legal remedies]</w:t>
      </w:r>
    </w:p>
    <w:p w14:paraId="6556C81D" w14:textId="77777777" w:rsidR="00564A38" w:rsidRDefault="00564A38" w:rsidP="001F2C04">
      <w:pPr>
        <w:pStyle w:val="Quote"/>
        <w:numPr>
          <w:ilvl w:val="0"/>
          <w:numId w:val="8"/>
        </w:numPr>
      </w:pPr>
      <w:r>
        <w:t>the existence of widely accepted rights under international and regional laws that may not be protected through the domestic justice system ...</w:t>
      </w:r>
    </w:p>
    <w:p w14:paraId="4D47E64A" w14:textId="77777777" w:rsidR="00564A38" w:rsidRDefault="00564A38" w:rsidP="001F2C04">
      <w:pPr>
        <w:pStyle w:val="Quote"/>
        <w:numPr>
          <w:ilvl w:val="0"/>
          <w:numId w:val="8"/>
        </w:numPr>
      </w:pPr>
      <w:r>
        <w:t>equal access for all minority groups to all legal rights enjoyed by the majority … [for instance, the rights of asylum seekers vis-à-vis Australian citizens] and</w:t>
      </w:r>
    </w:p>
    <w:p w14:paraId="5A5A71FC" w14:textId="77777777" w:rsidR="00564A38" w:rsidRDefault="00564A38" w:rsidP="001F2C04">
      <w:pPr>
        <w:pStyle w:val="Quote"/>
        <w:numPr>
          <w:ilvl w:val="0"/>
          <w:numId w:val="8"/>
        </w:numPr>
      </w:pPr>
      <w:r>
        <w:t>the relative underdevelopment of the common law in areas associated with poverty law, because of the lack of access to litigation opportunities.</w:t>
      </w:r>
      <w:r>
        <w:rPr>
          <w:rStyle w:val="FootnoteReference"/>
        </w:rPr>
        <w:footnoteReference w:id="35"/>
      </w:r>
    </w:p>
    <w:p w14:paraId="5AD3A6DD" w14:textId="77777777" w:rsidR="00564A38" w:rsidRDefault="00564A38" w:rsidP="00111382">
      <w:r>
        <w:lastRenderedPageBreak/>
        <w:t>There is also a growing interest in providing access to justice through holistic, multidisciplinary service provision. For instance, Ardalan addresses the need for access to justice for asylum seekers in the United States. Noting that a return to the country of origin for an asylum seeker may mean torture or death, and acknowledging the often traumatic experiences these people have gone through, she calls for appropriate funding and for lawyers to make an effort to understand what it means to provide holistic representation. By this she means that lawyers may find that it is beneficial for the client if they work with health professionals, country experts and other specialists to ensure just outcomes.</w:t>
      </w:r>
      <w:r>
        <w:rPr>
          <w:rStyle w:val="FootnoteReference"/>
        </w:rPr>
        <w:footnoteReference w:id="36"/>
      </w:r>
    </w:p>
    <w:p w14:paraId="04B54FB8" w14:textId="77777777" w:rsidR="00564A38" w:rsidRDefault="00564A38" w:rsidP="00564A38">
      <w:pPr>
        <w:pStyle w:val="Heading2"/>
      </w:pPr>
      <w:bookmarkStart w:id="9" w:name="h-2690048-4"/>
      <w:bookmarkStart w:id="10" w:name="_Toc237348065"/>
      <w:bookmarkStart w:id="11" w:name="f-2690048-4"/>
      <w:bookmarkEnd w:id="8"/>
      <w:r>
        <w:t>Causes of inequitable or inadequate access to justice</w:t>
      </w:r>
      <w:bookmarkEnd w:id="9"/>
      <w:bookmarkEnd w:id="10"/>
    </w:p>
    <w:p w14:paraId="3ABFFABE" w14:textId="77777777" w:rsidR="00564A38" w:rsidRDefault="00564A38" w:rsidP="00111382">
      <w:r>
        <w:t>Numerous issues have been identified as contributing to (or even exacerbating) inequitable or inadequate access to justice. These include economic disadvantage, the economics of lawyering, social factors, and the influence of neoliberalism, all of which are discussed below.</w:t>
      </w:r>
    </w:p>
    <w:p w14:paraId="72032E00" w14:textId="77777777" w:rsidR="00564A38" w:rsidRDefault="00564A38" w:rsidP="00564A38">
      <w:pPr>
        <w:pStyle w:val="Heading3"/>
      </w:pPr>
      <w:bookmarkStart w:id="12" w:name="h-2690048-5"/>
      <w:bookmarkStart w:id="13" w:name="_Toc237348066"/>
      <w:bookmarkStart w:id="14" w:name="f-2690048-5"/>
      <w:bookmarkEnd w:id="11"/>
      <w:r>
        <w:t>Economic disadvantage</w:t>
      </w:r>
      <w:bookmarkEnd w:id="12"/>
      <w:bookmarkEnd w:id="13"/>
    </w:p>
    <w:p w14:paraId="7F08B42D" w14:textId="77777777" w:rsidR="00564A38" w:rsidRDefault="00564A38" w:rsidP="00111382">
      <w:r>
        <w:t>An individual’s lack of financial resources—and the often associated lack of self-esteem—are obvious issues for those wishing to access legal services. However, these difficulties can also be exacerbated by the economic consequences that result from the legal system itself. For instance, the formal nature of the adversarial system and the need to comply with the rules of evidence can cause delays and therefore increase the predicted costs. While alternative dispute resolution mechanisms have been introduced, these may not be appropriate for all matters. The prospect of losing a case and being ordered to pay costs can also be prohibitive to someone who has a legal matter to be resolved.</w:t>
      </w:r>
    </w:p>
    <w:p w14:paraId="0BF51E0F" w14:textId="77777777" w:rsidR="00564A38" w:rsidRDefault="00564A38" w:rsidP="00111382">
      <w:r>
        <w:t>While pro bono, legal aid and other initiatives are available, these have limitations. For instance, in the case of legal aid, we will see in Section 4.1 below, there are very strict eligibility guidelines and restrictive funding arrangements. The Law Council of Australia argues that reduced funding for legal aid has contributed to an increase in the number of self</w:t>
      </w:r>
      <w:r>
        <w:rPr>
          <w:rFonts w:ascii="Cambria Math" w:hAnsi="Cambria Math" w:cs="Cambria Math"/>
        </w:rPr>
        <w:t>‑</w:t>
      </w:r>
      <w:r>
        <w:t xml:space="preserve">represented litigants, which in turn has had </w:t>
      </w:r>
      <w:r>
        <w:rPr>
          <w:rFonts w:ascii="Calibri" w:hAnsi="Calibri" w:cs="Calibri"/>
        </w:rPr>
        <w:t>‘</w:t>
      </w:r>
      <w:r>
        <w:t>an impact on courts, in terms of both time and cost, and on the conduct and outcomes of trials</w:t>
      </w:r>
      <w:r>
        <w:rPr>
          <w:rFonts w:ascii="Calibri" w:hAnsi="Calibri" w:cs="Calibri"/>
        </w:rPr>
        <w:t>’</w:t>
      </w:r>
      <w:r>
        <w:t>.</w:t>
      </w:r>
      <w:r>
        <w:rPr>
          <w:rStyle w:val="FootnoteReference"/>
        </w:rPr>
        <w:footnoteReference w:id="37"/>
      </w:r>
      <w:r>
        <w:t xml:space="preserve"> These costs, which are not easily measured, are ultimately costs to the administration of justice, and therefore costs to the public generally.</w:t>
      </w:r>
    </w:p>
    <w:p w14:paraId="558ED4BA" w14:textId="77777777" w:rsidR="00564A38" w:rsidRDefault="00564A38" w:rsidP="00111382">
      <w:r>
        <w:t>There is also recognition that the conduct of a matter can increase costs, and so there have been efforts to regulate how many witnesses can be called,</w:t>
      </w:r>
      <w:r>
        <w:rPr>
          <w:rStyle w:val="FootnoteReference"/>
        </w:rPr>
        <w:footnoteReference w:id="38"/>
      </w:r>
      <w:r>
        <w:t xml:space="preserve"> in an effort to resolve disputes ‘in such a way that the costs to the parties is proportionate to the importance and complexity of the subject-matter in dispute’.</w:t>
      </w:r>
      <w:r>
        <w:rPr>
          <w:rStyle w:val="FootnoteReference"/>
        </w:rPr>
        <w:footnoteReference w:id="39"/>
      </w:r>
    </w:p>
    <w:p w14:paraId="6383D503" w14:textId="77777777" w:rsidR="00564A38" w:rsidRDefault="00564A38" w:rsidP="00564A38">
      <w:pPr>
        <w:pStyle w:val="Heading3"/>
      </w:pPr>
      <w:bookmarkStart w:id="15" w:name="h-2690048-6"/>
      <w:bookmarkStart w:id="16" w:name="_Toc237348067"/>
      <w:bookmarkStart w:id="17" w:name="f-2690048-6"/>
      <w:bookmarkEnd w:id="14"/>
      <w:r>
        <w:t>The economics of lawyering</w:t>
      </w:r>
      <w:bookmarkEnd w:id="15"/>
      <w:bookmarkEnd w:id="16"/>
    </w:p>
    <w:p w14:paraId="538FAE14" w14:textId="77777777" w:rsidR="00564A38" w:rsidRDefault="00564A38" w:rsidP="00111382">
      <w:r>
        <w:t>It is generally accepted that only the very rich—or those who are poor and eligible for public funding</w:t>
      </w:r>
      <w:r>
        <w:rPr>
          <w:rStyle w:val="FootnoteReference"/>
        </w:rPr>
        <w:footnoteReference w:id="40"/>
      </w:r>
      <w:r>
        <w:t xml:space="preserve">—can afford legal services. Even then it is suggested that the large corporations are themselves struggling to manage </w:t>
      </w:r>
      <w:r>
        <w:lastRenderedPageBreak/>
        <w:t>the cost of the legal services they require. Susskind</w:t>
      </w:r>
      <w:r>
        <w:rPr>
          <w:rStyle w:val="FootnoteReference"/>
        </w:rPr>
        <w:footnoteReference w:id="41"/>
      </w:r>
      <w:r>
        <w:t xml:space="preserve"> reported in 2013 that it was commonly understood that the in-house legal departments of large corporations were being asked to reduce their legal budgets, some by as much as 50 per cent.</w:t>
      </w:r>
    </w:p>
    <w:p w14:paraId="4A1614E0" w14:textId="77777777" w:rsidR="00564A38" w:rsidRDefault="00564A38" w:rsidP="00111382">
      <w:r>
        <w:t>Hadfield examines the economics of lawyering, which she claims have ‘disturbing implications’ for access to justice:</w:t>
      </w:r>
    </w:p>
    <w:p w14:paraId="4C2BA686" w14:textId="77777777" w:rsidR="00564A38" w:rsidRDefault="00564A38" w:rsidP="00903297">
      <w:pPr>
        <w:pStyle w:val="Quote"/>
      </w:pPr>
      <w:r>
        <w:t>The price dynamics of the system operate within the framework of a unified profession/unified legal system that essentially puts individual clients—with justice interests at stake—into a bidding contest with corporate clients with efficiency (more generally, market) interests at stake. Corporations by definition are aggregations of individual wealth and as a consequence are able to bid for the resources; they also are a richer feeding ground for the wealth extraction generated by the imperfections/monopoly aspects of the market for lawyers. This is not an ethical critique of lawyers; it is the implication of ordinary economic response to incentives structured by a non-competitive market.</w:t>
      </w:r>
    </w:p>
    <w:p w14:paraId="41A031A8" w14:textId="77777777" w:rsidR="00564A38" w:rsidRDefault="00564A38" w:rsidP="00680CFB">
      <w:pPr>
        <w:pStyle w:val="Quote"/>
      </w:pPr>
      <w:r>
        <w:t>The economic dynamics of the market for lawyers operate like a vacuum, drawing the resources of the system into the corporate sphere, in the service (from a public perspective) of efficiency, and away from the individual sphere in the service of justice as in the relationships between the individual and the state, the market, the family, the community and so on. This stands on its head the lexicographic relationship between efficiency and justice: efficiency is of normative significance only to the extent it promotes individual welfare through just social relations.</w:t>
      </w:r>
      <w:r>
        <w:rPr>
          <w:rStyle w:val="FootnoteReference"/>
        </w:rPr>
        <w:footnoteReference w:id="42"/>
      </w:r>
    </w:p>
    <w:p w14:paraId="399DBEBE" w14:textId="77777777" w:rsidR="00564A38" w:rsidRDefault="00564A38" w:rsidP="00111382">
      <w:r>
        <w:t>As this suggests, it is quite possible that there are individuals in our society who are unable to access legal services—and thus achieve justice—simply because of the cost of legal services and because lawyers may favour acting for corporations for financial reasons.</w:t>
      </w:r>
    </w:p>
    <w:p w14:paraId="73AB4827" w14:textId="77777777" w:rsidR="00564A38" w:rsidRDefault="00564A38" w:rsidP="00564A38">
      <w:pPr>
        <w:pStyle w:val="Heading3"/>
      </w:pPr>
      <w:bookmarkStart w:id="18" w:name="h-2690048-7"/>
      <w:bookmarkStart w:id="19" w:name="_Toc237348068"/>
      <w:bookmarkStart w:id="20" w:name="f-2690048-7"/>
      <w:bookmarkEnd w:id="17"/>
      <w:r>
        <w:t>Social factors</w:t>
      </w:r>
      <w:bookmarkEnd w:id="18"/>
      <w:bookmarkEnd w:id="19"/>
    </w:p>
    <w:p w14:paraId="0CFBE4CD" w14:textId="77777777" w:rsidR="00564A38" w:rsidRDefault="00564A38" w:rsidP="00111382">
      <w:r>
        <w:t>In the last chapter, we discussed the importance of relational competency. This competency is important for facilitating access to justice and for supporting a sustainable justice system. One empirical study found that there are significant improvements in justice outcomes when cultural competency is systematically integrated into legal frameworks, with increases in successful case resolutions ranging from 40 per cent to 85 per cent across different programs. The research noted that three initiatives had transformative impacts: comprehensive cultural competency training programs, integration of cultural experts in legal proceedings, and the development of culturally appropriate dispute resolution mechanisms.</w:t>
      </w:r>
      <w:r>
        <w:rPr>
          <w:rStyle w:val="FootnoteReference"/>
        </w:rPr>
        <w:footnoteReference w:id="43"/>
      </w:r>
    </w:p>
    <w:p w14:paraId="36853DDA" w14:textId="77777777" w:rsidR="00564A38" w:rsidRDefault="00564A38" w:rsidP="00111382">
      <w:r>
        <w:t>It is not surprising that those from other countries are likely to encounter barriers to accessing legal services because of cultural understandings and language issues. The need for interpreters and sensitivities around communication practices can impede the process of assisting someone with legal issues. Female clients may be particularly affected, and women generally can have difficulties accessing legal services because of the nature of their issue (for example, domestic violence). The Justice Project picks up on the issue of interpreters and recommends that:</w:t>
      </w:r>
    </w:p>
    <w:p w14:paraId="30A2A292" w14:textId="77777777" w:rsidR="00564A38" w:rsidRDefault="00564A38" w:rsidP="00903297">
      <w:pPr>
        <w:pStyle w:val="Quote"/>
      </w:pPr>
      <w:r>
        <w:lastRenderedPageBreak/>
        <w:t>A National Justice Interpreter Scheme should be implemented, so that professional, trained interpreters are readily available and free at all stages of the criminal and civil justice process to Aboriginal and Torres Strait Islander peoples and other culturally and linguistically diverse (‘CALD’) groups with insufficient means.</w:t>
      </w:r>
      <w:r>
        <w:rPr>
          <w:rStyle w:val="FootnoteReference"/>
        </w:rPr>
        <w:footnoteReference w:id="44"/>
      </w:r>
    </w:p>
    <w:p w14:paraId="6A4394BA" w14:textId="77777777" w:rsidR="00564A38" w:rsidRDefault="00564A38" w:rsidP="00111382">
      <w:r>
        <w:t>However, as a study conducted in 2023 by UNSW’s School of Humanities &amp; Languages has highlighted, the ‘interpreting communication culture’ in courts is also affected by the courts’ judicial officers—magistrates and judges—and understandably these individuals are busy and focused on the case being heard. Further, the study noted that there are more than 300 separately identified languages spoken in Australian homes. Court interpreters are required in more than 175 languages '[yet] interpreting training is available in less than 20 of those’.</w:t>
      </w:r>
      <w:r>
        <w:rPr>
          <w:rStyle w:val="FootnoteReference"/>
        </w:rPr>
        <w:footnoteReference w:id="45"/>
      </w:r>
    </w:p>
    <w:p w14:paraId="3DAD8DAB" w14:textId="77777777" w:rsidR="00564A38" w:rsidRDefault="00564A38" w:rsidP="00111382">
      <w:r>
        <w:t>It is well established that Indigenous Australians suffer extreme and persistent disadvantage. By reason of history, systemic and social factors</w:t>
      </w:r>
      <w:r>
        <w:rPr>
          <w:rStyle w:val="FootnoteReference"/>
        </w:rPr>
        <w:footnoteReference w:id="46"/>
      </w:r>
      <w:r>
        <w:t>—and, in various areas, ongoing mistreatment—many Indigenous peoples do not trust the legal system or its services. There is often a preference to deal with fellow Indigenous peoples skilled in law. However, as is the case with legal aid, there are criticisms that dedicated Aboriginal and Torres Strait Islander legal service providers are underfunded and consequently that, on average, their ‘lawyers receive 20–25 per cent less than Legal Aid Commission lawyers for conducting the same type of work’.</w:t>
      </w:r>
      <w:r>
        <w:rPr>
          <w:rStyle w:val="FootnoteReference"/>
        </w:rPr>
        <w:footnoteReference w:id="47"/>
      </w:r>
      <w:r>
        <w:t xml:space="preserve"> This is compounded by the fact that many Indigenous peoples live in rural and remote areas, which is itself an issue of equitable access to justice, particularly given the decline of lawyering in remote and regional areas.</w:t>
      </w:r>
    </w:p>
    <w:p w14:paraId="4620BAC1" w14:textId="77777777" w:rsidR="00564A38" w:rsidRDefault="00564A38" w:rsidP="00111382">
      <w:r>
        <w:t>The Justice Project also recognises the importance of cultural competence</w:t>
      </w:r>
      <w:r>
        <w:rPr>
          <w:rStyle w:val="FootnoteReference"/>
        </w:rPr>
        <w:footnoteReference w:id="48"/>
      </w:r>
      <w:r>
        <w:t xml:space="preserve"> training for those in the legal system:</w:t>
      </w:r>
    </w:p>
    <w:p w14:paraId="70A94B96" w14:textId="77777777" w:rsidR="00564A38" w:rsidRDefault="00564A38" w:rsidP="00903297">
      <w:pPr>
        <w:pStyle w:val="Quote"/>
      </w:pPr>
      <w:r>
        <w:t>Ongoing cultural competence training, informed and led by Aboriginal and Torres Strait Islander people and organisations, should be provided to: lawyers, judicial officers, police, corrections and broader justice system professionals who work with Aboriginal and Torres Strait Islander peoples. Strategies to increase the employment of Aboriginal and Torres Strait Islander peoples across these professions should be adopted. Aboriginal and Torres Strait Islander organisations should be appropriately resourced to engage in this work.</w:t>
      </w:r>
      <w:r>
        <w:rPr>
          <w:rStyle w:val="FootnoteReference"/>
        </w:rPr>
        <w:footnoteReference w:id="49"/>
      </w:r>
    </w:p>
    <w:p w14:paraId="29C5B2A7" w14:textId="77777777" w:rsidR="00564A38" w:rsidRDefault="00564A38" w:rsidP="00111382">
      <w:r>
        <w:t>In addition to this, a report funded by the Australian Government Department of Education and Training focused specifically on educating legal academics to be able to incorporate Indigenous cultural competency (ICC) into the legal curriculum, with the aim of improving Indigenous student outcomes in law and building ICC in all students.</w:t>
      </w:r>
      <w:r>
        <w:rPr>
          <w:rStyle w:val="FootnoteReference"/>
        </w:rPr>
        <w:footnoteReference w:id="50"/>
      </w:r>
      <w:r>
        <w:t xml:space="preserve"> Its recommendations include that law schools adopt the guiding principles of ICC into the curriculum; that the Council of Australian Law Deans establish a working party to support the incorporation of ICC, with members of the project team to provide ongoing advice and guidance; and that law schools prioritise the recruitment and retention of Indigenous legal academics to support the embedding of ICC in the curriculum.</w:t>
      </w:r>
      <w:r>
        <w:rPr>
          <w:rStyle w:val="FootnoteReference"/>
        </w:rPr>
        <w:footnoteReference w:id="51"/>
      </w:r>
    </w:p>
    <w:p w14:paraId="20637F92" w14:textId="77777777" w:rsidR="00564A38" w:rsidRDefault="00564A38" w:rsidP="00111382">
      <w:r>
        <w:lastRenderedPageBreak/>
        <w:t>Access to legal services by those living in rural, regional and remote (RRR) Australia—which includes a high concentration of Aboriginal and Torres Strait Islander people—is a significant issue for Australia and one that features in the Justice Project. In 2015, the Law Council observed ‘that unless lawyer shortages are addressed there will be a significant negative impact on access to justice throughout regional Australia’.</w:t>
      </w:r>
      <w:r>
        <w:rPr>
          <w:rStyle w:val="FootnoteReference"/>
        </w:rPr>
        <w:footnoteReference w:id="52"/>
      </w:r>
      <w:r>
        <w:t xml:space="preserve"> In 2023, the Law Council noted that although one-third of the Australian population lives outside of the capital cities, only 10 per cent of lawyers practise in RRR areas.</w:t>
      </w:r>
      <w:r>
        <w:rPr>
          <w:rStyle w:val="FootnoteReference"/>
        </w:rPr>
        <w:footnoteReference w:id="53"/>
      </w:r>
      <w:r>
        <w:t xml:space="preserve"> Urbis found that only country or rural areas had experienced little employment growth in solicitors since 2014 and the proportion of practitioners based in a country/rural area had decreased from 12.5 per cent in 2014 to 8.8 per cent in 2024.</w:t>
      </w:r>
      <w:r>
        <w:rPr>
          <w:rStyle w:val="FootnoteReference"/>
        </w:rPr>
        <w:footnoteReference w:id="54"/>
      </w:r>
      <w:r>
        <w:t xml:space="preserve"> Studies over the years have looked for reasons to explain the lack of lawyers in regional Australia; for instance, the fact that it is difficult to recruit and retain lawyers:</w:t>
      </w:r>
    </w:p>
    <w:p w14:paraId="2421C1C8" w14:textId="77777777" w:rsidR="00564A38" w:rsidRDefault="00564A38" w:rsidP="00903297">
      <w:pPr>
        <w:pStyle w:val="Quote"/>
      </w:pPr>
      <w:r>
        <w:t>The 2006 TNS study commissioned by the Commonwealth Attorney-General’s Department found there is a shortage of lawyers in regional and remote areas with three lawyers per 10,000 residents aged 18+ in remote Australia compared to 10.7 lawyers per 10,000 in capital cities of Australia.</w:t>
      </w:r>
      <w:r>
        <w:rPr>
          <w:rStyle w:val="FootnoteReference"/>
        </w:rPr>
        <w:footnoteReference w:id="55"/>
      </w:r>
    </w:p>
    <w:p w14:paraId="3E13E2E8" w14:textId="77777777" w:rsidR="00564A38" w:rsidRDefault="00564A38" w:rsidP="00111382">
      <w:r>
        <w:t>Another author highlighted in 2008 that many of the lawyers in RRR areas were due to retire, which exacerbates the problem.</w:t>
      </w:r>
      <w:r>
        <w:rPr>
          <w:rStyle w:val="FootnoteReference"/>
        </w:rPr>
        <w:footnoteReference w:id="56"/>
      </w:r>
    </w:p>
    <w:p w14:paraId="1BF4C28A" w14:textId="77777777" w:rsidR="00564A38" w:rsidRDefault="00564A38" w:rsidP="00111382">
      <w:r>
        <w:t>Because of the limited number of lawyers in these areas, the rules of professional conduct can have a detrimental impact on those wishing to access legal services. For instance, the very strict conflict rules, which have been formulated to protect the confidentiality of clients, dictate that lawyers may not act against a former client. In RRR areas, this can mean that one member of a couple who previously engaged the town lawyer for a property matter may have no access to a lawyer at all when later seeking advice on family law issues.</w:t>
      </w:r>
    </w:p>
    <w:p w14:paraId="17D7DCF6" w14:textId="77777777" w:rsidR="00564A38" w:rsidRDefault="00564A38" w:rsidP="00111382">
      <w:r>
        <w:t>The Justice Project acknowledges this issue and has recommended that:</w:t>
      </w:r>
    </w:p>
    <w:p w14:paraId="4F447F04" w14:textId="77777777" w:rsidR="00564A38" w:rsidRDefault="00564A38" w:rsidP="00903297">
      <w:pPr>
        <w:pStyle w:val="Quote"/>
      </w:pPr>
      <w:r>
        <w:t>Governments, peak legal assistance and legal professional bodies should develop:</w:t>
      </w:r>
    </w:p>
    <w:p w14:paraId="11C99865" w14:textId="77777777" w:rsidR="00564A38" w:rsidRDefault="00564A38" w:rsidP="001F2C04">
      <w:pPr>
        <w:pStyle w:val="Quote"/>
        <w:numPr>
          <w:ilvl w:val="0"/>
          <w:numId w:val="3"/>
        </w:numPr>
      </w:pPr>
      <w:r>
        <w:t>strategies to overcome critical conflict of interest issues which preclude many vulnerable people from accessing justice in RRR areas, including through additional investment to address a scarcity of legal services, regional service planning processes and minimum servicing standards; and</w:t>
      </w:r>
    </w:p>
    <w:p w14:paraId="7DE8094B" w14:textId="77777777" w:rsidR="00564A38" w:rsidRDefault="00564A38" w:rsidP="001F2C04">
      <w:pPr>
        <w:pStyle w:val="Quote"/>
        <w:numPr>
          <w:ilvl w:val="0"/>
          <w:numId w:val="3"/>
        </w:numPr>
      </w:pPr>
      <w:r>
        <w:t>RRR access to justice strategies to ensure an appropriate and tailored mix of services, publicly funded and private, in areas of critical need, including through rural placement, targeted mentoring and incentive schemes, additional legal services and increased legal aid rates.</w:t>
      </w:r>
      <w:r>
        <w:rPr>
          <w:rStyle w:val="FootnoteReference"/>
        </w:rPr>
        <w:footnoteReference w:id="57"/>
      </w:r>
    </w:p>
    <w:p w14:paraId="49B981B3" w14:textId="77777777" w:rsidR="00564A38" w:rsidRDefault="00564A38" w:rsidP="00111382">
      <w:r>
        <w:lastRenderedPageBreak/>
        <w:t>The Justice Project also recommended that ‘the adoption of RRR-focused curriculums in undergraduate law training’ be expanded.</w:t>
      </w:r>
      <w:r>
        <w:rPr>
          <w:rStyle w:val="FootnoteReference"/>
        </w:rPr>
        <w:footnoteReference w:id="58"/>
      </w:r>
    </w:p>
    <w:p w14:paraId="6CB188D1" w14:textId="77777777" w:rsidR="00564A38" w:rsidRDefault="00564A38" w:rsidP="00111382">
      <w:r>
        <w:t>This last recommendation—for the law curriculum to include RRR-focused material—was initially identified by a project funded by the then Office of Teaching and Learning and undertaken by a group of academics from six Australian universities</w:t>
      </w:r>
      <w:r>
        <w:rPr>
          <w:rStyle w:val="FootnoteReference"/>
        </w:rPr>
        <w:footnoteReference w:id="59"/>
      </w:r>
      <w:r>
        <w:t xml:space="preserve"> ‘to investigate the role of tertiary education in improving the recruitment and retention of lawyers in rural and regional areas’.</w:t>
      </w:r>
      <w:r>
        <w:rPr>
          <w:rStyle w:val="FootnoteReference"/>
        </w:rPr>
        <w:footnoteReference w:id="60"/>
      </w:r>
      <w:r>
        <w:t xml:space="preserve"> The study resulted in the project team recommending that:</w:t>
      </w:r>
    </w:p>
    <w:p w14:paraId="71DA9D21" w14:textId="77777777" w:rsidR="00564A38" w:rsidRDefault="00564A38" w:rsidP="00903297">
      <w:pPr>
        <w:pStyle w:val="Quote"/>
      </w:pPr>
      <w:r>
        <w:t>this aim could … be achieved by ‘sensitising’ students to place through exposing them to the rural and regional practice context. The [curriculum] package was conceptualised as a single teaching session course of twelve weeks duration, and was designed as an adaptable learning resource and set of assessment tasks that could be taught as a stand-alone unit on rural and regional legal practice, or embedded as components within existing units.</w:t>
      </w:r>
      <w:r>
        <w:rPr>
          <w:rStyle w:val="FootnoteReference"/>
        </w:rPr>
        <w:footnoteReference w:id="61"/>
      </w:r>
    </w:p>
    <w:p w14:paraId="6ACAE7B5" w14:textId="77777777" w:rsidR="00564A38" w:rsidRDefault="00564A38" w:rsidP="00564A38">
      <w:pPr>
        <w:pStyle w:val="Heading3"/>
      </w:pPr>
      <w:bookmarkStart w:id="21" w:name="h-2690048-8"/>
      <w:bookmarkStart w:id="22" w:name="_Toc237348069"/>
      <w:bookmarkStart w:id="23" w:name="f-2690048-8"/>
      <w:bookmarkEnd w:id="20"/>
      <w:r>
        <w:t>The influence of neoliberalism</w:t>
      </w:r>
      <w:bookmarkEnd w:id="21"/>
      <w:bookmarkEnd w:id="22"/>
    </w:p>
    <w:p w14:paraId="0527FA2D" w14:textId="77777777" w:rsidR="00564A38" w:rsidRDefault="00564A38" w:rsidP="00111382">
      <w:r>
        <w:t>In 2012, influential socio-legal scholar Hazel Genn argued that problems relating to access to justice have been exacerbated by neo-liberalism:</w:t>
      </w:r>
      <w:r>
        <w:rPr>
          <w:rStyle w:val="FootnoteReference"/>
        </w:rPr>
        <w:footnoteReference w:id="62"/>
      </w:r>
    </w:p>
    <w:p w14:paraId="69B547B8" w14:textId="77777777" w:rsidR="00564A38" w:rsidRDefault="00564A38" w:rsidP="00903297">
      <w:pPr>
        <w:pStyle w:val="Quote"/>
      </w:pPr>
      <w:r>
        <w:t>Accompanied by a profound change in civil justice discourse, the relevant interdependent justice policy strands involve the promotion of mediation and the withdrawal of the state from civil disputes; the removal of legal aid from most non-criminal issues; and a reduction in resources for the courts with fewer full-time judges.</w:t>
      </w:r>
      <w:r>
        <w:rPr>
          <w:rStyle w:val="FootnoteReference"/>
        </w:rPr>
        <w:footnoteReference w:id="63"/>
      </w:r>
    </w:p>
    <w:p w14:paraId="6A8D4099" w14:textId="77777777" w:rsidR="00564A38" w:rsidRDefault="00564A38" w:rsidP="00111382">
      <w:r>
        <w:t>These arrangements align with neoliberal goals, particularly the notion of a minimal role for government and arrangements that seek to ensure efficiencies. Although this approach accepts that there are inequalities in matters such as power and wealth, it treats these inequalities as incentives that encourage individuals to be creative and innovative—developments that are assumed to produce benefits for society as a whole. Given the factors already discussed, however, it is obvious that many individuals are not in a position to maximise their self-interest.</w:t>
      </w:r>
    </w:p>
    <w:p w14:paraId="47F416DB" w14:textId="77777777" w:rsidR="00564A38" w:rsidRDefault="00564A38" w:rsidP="00C95AF6">
      <w:pPr>
        <w:pStyle w:val="Heading2"/>
      </w:pPr>
      <w:bookmarkStart w:id="24" w:name="h-2690051-title"/>
      <w:bookmarkStart w:id="25" w:name="_Toc237348070"/>
      <w:bookmarkStart w:id="26" w:name="f-2690051-title"/>
      <w:bookmarkStart w:id="27" w:name="f-2690051"/>
      <w:bookmarkEnd w:id="3"/>
      <w:bookmarkEnd w:id="23"/>
      <w:r>
        <w:t>Proposed solutions</w:t>
      </w:r>
      <w:bookmarkEnd w:id="24"/>
      <w:bookmarkEnd w:id="25"/>
    </w:p>
    <w:p w14:paraId="63907015" w14:textId="77777777" w:rsidR="00564A38" w:rsidRDefault="00564A38" w:rsidP="00111382">
      <w:bookmarkStart w:id="28" w:name="f-2690051-2"/>
      <w:bookmarkEnd w:id="26"/>
      <w:r>
        <w:t>Historically, a variety of initiatives have been introduced to increase access to justice for the public. The majority of these are provided by the government and lawyers, but litigation lending, insurance schemes and the availability of tax deductions also provide some assistance to those seeking to pursue their rights.</w:t>
      </w:r>
    </w:p>
    <w:p w14:paraId="3728B95C" w14:textId="77777777" w:rsidR="00564A38" w:rsidRDefault="00564A38" w:rsidP="00C95AF6">
      <w:pPr>
        <w:pStyle w:val="Heading3"/>
      </w:pPr>
      <w:bookmarkStart w:id="29" w:name="h-2690051-3"/>
      <w:bookmarkStart w:id="30" w:name="_Toc237348071"/>
      <w:bookmarkStart w:id="31" w:name="f-2690051-3"/>
      <w:bookmarkEnd w:id="28"/>
      <w:r>
        <w:lastRenderedPageBreak/>
        <w:t>Legal aid and community legal centres</w:t>
      </w:r>
      <w:bookmarkEnd w:id="29"/>
      <w:bookmarkEnd w:id="30"/>
    </w:p>
    <w:p w14:paraId="305BCF32" w14:textId="77777777" w:rsidR="00564A38" w:rsidRDefault="00564A38" w:rsidP="00111382">
      <w:r>
        <w:t>In Australia, legal aid funds criminal, family and civil law. However, there are longstanding criticisms of the funding arrangements. As noted by the Law Council of Australia,</w:t>
      </w:r>
      <w:r>
        <w:rPr>
          <w:rStyle w:val="FootnoteReference"/>
        </w:rPr>
        <w:footnoteReference w:id="64"/>
      </w:r>
      <w:r>
        <w:t xml:space="preserve"> the funding comes from the Commonwealth for matters relating to Commonwealth law, and from the states and territories where state and territory legislation is involved. For instance, the Commonwealth funds matters under the </w:t>
      </w:r>
      <w:r>
        <w:rPr>
          <w:i/>
        </w:rPr>
        <w:t>Family Law Act 1975</w:t>
      </w:r>
      <w:r>
        <w:t xml:space="preserve"> (Cth), but the states and territories are charged with funding child protection and family violence matters.</w:t>
      </w:r>
    </w:p>
    <w:p w14:paraId="4D2883A9" w14:textId="77777777" w:rsidR="00564A38" w:rsidRDefault="00564A38" w:rsidP="00111382">
      <w:r>
        <w:t>Applicants for legal aid must meet both a merits test and a means test. For example, Legal Aid New South Wales</w:t>
      </w:r>
      <w:r>
        <w:rPr>
          <w:rStyle w:val="FootnoteReference"/>
        </w:rPr>
        <w:footnoteReference w:id="65"/>
      </w:r>
      <w:r>
        <w:t xml:space="preserve"> states that applicants are assessed according to the type of matter for which they require assistance; their chances of success (merits test); and what they own and earn (means test).</w:t>
      </w:r>
      <w:r>
        <w:rPr>
          <w:rStyle w:val="FootnoteReference"/>
        </w:rPr>
        <w:footnoteReference w:id="66"/>
      </w:r>
      <w:r>
        <w:t xml:space="preserve"> Burnside suggests that the ‘reality is that legal aid is only available to the very poor and those with inadequate means to defend themselves against serious criminal charges. For those of modest means, a brush with litigation is little short of catastrophic.’</w:t>
      </w:r>
      <w:r>
        <w:rPr>
          <w:rStyle w:val="FootnoteReference"/>
        </w:rPr>
        <w:footnoteReference w:id="67"/>
      </w:r>
    </w:p>
    <w:p w14:paraId="264FC3B6" w14:textId="77777777" w:rsidR="00564A38" w:rsidRDefault="00564A38" w:rsidP="00111382">
      <w:r>
        <w:t>Ross</w:t>
      </w:r>
      <w:r>
        <w:rPr>
          <w:rStyle w:val="FootnoteReference"/>
        </w:rPr>
        <w:footnoteReference w:id="68"/>
      </w:r>
      <w:r>
        <w:t xml:space="preserve"> refers to the sad case of </w:t>
      </w:r>
      <w:r>
        <w:rPr>
          <w:i/>
        </w:rPr>
        <w:t>Andrews v Victoria Legal Aid</w:t>
      </w:r>
      <w:r>
        <w:rPr>
          <w:rStyle w:val="FootnoteReference"/>
        </w:rPr>
        <w:footnoteReference w:id="69"/>
      </w:r>
      <w:r>
        <w:t xml:space="preserve"> as an example. In that case the applicant was a pensioner who had been charged with a criminal matter. He applied for legal aid, but because he would not apply any of his own funds or assets to his legal representation, he was refused. The applicant’s personal situation was such that a reasonable person would be sympathetic with the applicant’s decision, and in fact the judge had great difficulty with having to apply the law against him. The applicant’s circumstances were as follows:</w:t>
      </w:r>
    </w:p>
    <w:p w14:paraId="5D13E45F" w14:textId="77777777" w:rsidR="00564A38" w:rsidRDefault="00564A38" w:rsidP="00903297">
      <w:pPr>
        <w:pStyle w:val="Quote"/>
      </w:pPr>
      <w:r>
        <w:t>This is a real case of a man who has a nest egg and a house and who has worked all his life and now, at 67 years of age, has a sick wife of 63, has a daughter who has a terminal condition and for whom he cares and has a granddaughter unmarried with two children for whom he cares part-time and his assets amount to an interest in a joint property between him and his wife valued at approximately $130,000 and a superannuation fund now at a balance of $67,000 after he has spent $20,000 on committal proceedings from which he draws approximately $150 per week in addition to his pension which is about $300 per week for the two of them, that is himself and his wife.</w:t>
      </w:r>
      <w:r>
        <w:rPr>
          <w:rStyle w:val="FootnoteReference"/>
        </w:rPr>
        <w:footnoteReference w:id="70"/>
      </w:r>
    </w:p>
    <w:p w14:paraId="5F2D06BF" w14:textId="77777777" w:rsidR="00564A38" w:rsidRDefault="00564A38" w:rsidP="00111382">
      <w:r>
        <w:t>This decision left the applicant as an unrepresented litigant. The judge concluded by noting:</w:t>
      </w:r>
    </w:p>
    <w:p w14:paraId="5D68BF5A" w14:textId="77777777" w:rsidR="00564A38" w:rsidRDefault="00564A38" w:rsidP="00903297">
      <w:pPr>
        <w:pStyle w:val="Quote"/>
      </w:pPr>
      <w:r>
        <w:t>I think that provides a real problem in our society and in relation to our legal system. It is not a problem of the making of Legal Aid but it is nevertheless a real social problem and I am afraid the difficulties caused to the court by an unrepresented accused in this sort of case will be immense but we will just have to bear them.</w:t>
      </w:r>
      <w:r>
        <w:rPr>
          <w:rStyle w:val="FootnoteReference"/>
        </w:rPr>
        <w:footnoteReference w:id="71"/>
      </w:r>
    </w:p>
    <w:p w14:paraId="1681C41A" w14:textId="77777777" w:rsidR="00564A38" w:rsidRDefault="00564A38" w:rsidP="00111382">
      <w:r>
        <w:t>Providing adequate funding for legal aid and access to justice may initially appear expensive, but as former Chief Justice Gleeson commented:</w:t>
      </w:r>
    </w:p>
    <w:p w14:paraId="0B4CDC36" w14:textId="77777777" w:rsidR="00564A38" w:rsidRDefault="00564A38" w:rsidP="00903297">
      <w:pPr>
        <w:pStyle w:val="Quote"/>
      </w:pPr>
      <w:r>
        <w:t xml:space="preserve">The expense which governments incur in funding legal aid is obvious and measurable. What is not so obvious, and not so easily measurable, but what is real and substantial, is the cost of </w:t>
      </w:r>
      <w:r>
        <w:lastRenderedPageBreak/>
        <w:t>the delay, disruption and inefficiency, which results from absence or denial of legal representation. Much of that cost is also borne, directly or indirectly, by governments. Providing legal aid is costly. So is not providing legal aid.</w:t>
      </w:r>
      <w:r>
        <w:rPr>
          <w:rStyle w:val="FootnoteReference"/>
        </w:rPr>
        <w:footnoteReference w:id="72"/>
      </w:r>
    </w:p>
    <w:p w14:paraId="1EA8B107" w14:textId="77777777" w:rsidR="00564A38" w:rsidRDefault="00564A38" w:rsidP="00111382">
      <w:r>
        <w:t>As a complement to legal aid, there are over 160 community legal centres (CLCs) across Australia. The Community Legal Centres Australia website provides a summary of their services,</w:t>
      </w:r>
      <w:r>
        <w:rPr>
          <w:rStyle w:val="FootnoteReference"/>
        </w:rPr>
        <w:footnoteReference w:id="73"/>
      </w:r>
      <w:r>
        <w:t xml:space="preserve"> noting that CLCs are ‘independent, non-profit organization[s] set up to support the community legal sector to provide high-quality free and accessible legal and related services to everyday people, especially people experiencing financial hardship, discrimination and/or some other form of disadvantage, or who are experiencing domestic or family violence’. A government review of the work of the CLCs in 2008 confirmed that their services help address the problems faced by disadvantaged people which, if left unresolved, can lead to social exclusion and result in poor health, employment outcomes and general well-being.</w:t>
      </w:r>
      <w:r>
        <w:rPr>
          <w:rStyle w:val="FootnoteReference"/>
        </w:rPr>
        <w:footnoteReference w:id="74"/>
      </w:r>
    </w:p>
    <w:p w14:paraId="489C0FDE" w14:textId="77777777" w:rsidR="00564A38" w:rsidRDefault="00564A38" w:rsidP="00111382">
      <w:r>
        <w:t>While CLCs provide advice and work for individuals, they are particularly valuable to the community as they seek to promote educational, law reform and social policy goals. Some CLCs receive government funding, but many of them rely on volunteers and philanthropic support.</w:t>
      </w:r>
      <w:r>
        <w:rPr>
          <w:rStyle w:val="FootnoteReference"/>
        </w:rPr>
        <w:footnoteReference w:id="75"/>
      </w:r>
      <w:r>
        <w:t xml:space="preserve"> The Law Council of Australia recognises that ‘CLCs are at the forefront of developing policies and programs to ensure fairness in access to justice’,</w:t>
      </w:r>
      <w:r>
        <w:rPr>
          <w:rStyle w:val="FootnoteReference"/>
        </w:rPr>
        <w:footnoteReference w:id="76"/>
      </w:r>
      <w:r>
        <w:t xml:space="preserve"> and argues that funding levels ought to reflect their value to the community.</w:t>
      </w:r>
    </w:p>
    <w:p w14:paraId="26198593" w14:textId="77777777" w:rsidR="00564A38" w:rsidRDefault="00564A38" w:rsidP="00111382">
      <w:r>
        <w:t>The Law Council has repeatedly made submissions regarding its concerns about the chronic lack of government funding for legal services. In May 2016 it launched a new campaign—Legal Aid Matters—aimed at encouraging all political parties to commit to raising an extra $350 million to address what it described as a service in crisis.</w:t>
      </w:r>
      <w:r>
        <w:rPr>
          <w:rStyle w:val="FootnoteReference"/>
        </w:rPr>
        <w:footnoteReference w:id="77"/>
      </w:r>
      <w:r>
        <w:t xml:space="preserve"> It continues to make submissions asserting that the Commonwealth should match the states’ contributions to legal aid funding.</w:t>
      </w:r>
      <w:r>
        <w:rPr>
          <w:rStyle w:val="FootnoteReference"/>
        </w:rPr>
        <w:footnoteReference w:id="78"/>
      </w:r>
      <w:r>
        <w:t xml:space="preserve"> In April 2019 the Commonwealth Attorney-General announced a $20 million increase in the funding for legal services delivered by legal aid, CLCs and Aboriginal and Torres Strait Islander Legal Services for the 2019–20 Budget commencing on 1 July 2020.</w:t>
      </w:r>
      <w:r>
        <w:rPr>
          <w:rStyle w:val="FootnoteReference"/>
        </w:rPr>
        <w:footnoteReference w:id="79"/>
      </w:r>
      <w:r>
        <w:t xml:space="preserve"> However, the Law Council of Australia immediately expressed dissatisfaction,</w:t>
      </w:r>
      <w:r>
        <w:rPr>
          <w:rStyle w:val="FootnoteReference"/>
        </w:rPr>
        <w:footnoteReference w:id="80"/>
      </w:r>
      <w:r>
        <w:t xml:space="preserve"> highlighting that this amount ‘falls well short of the additional $310 million per year needed to provide adequate access to justice to Australians at risk’.</w:t>
      </w:r>
      <w:r>
        <w:rPr>
          <w:rStyle w:val="FootnoteReference"/>
        </w:rPr>
        <w:footnoteReference w:id="81"/>
      </w:r>
    </w:p>
    <w:p w14:paraId="3C262EA5" w14:textId="77777777" w:rsidR="00564A38" w:rsidRDefault="00564A38" w:rsidP="00111382">
      <w:r>
        <w:t>This approach by the government also runs counter to the recommendations of the Justice Project, which states that:</w:t>
      </w:r>
    </w:p>
    <w:p w14:paraId="1FD84C68" w14:textId="77777777" w:rsidR="00564A38" w:rsidRDefault="00564A38" w:rsidP="00903297">
      <w:pPr>
        <w:pStyle w:val="Quote"/>
      </w:pPr>
      <w:r>
        <w:lastRenderedPageBreak/>
        <w:t>Commonwealth, state and territory governments should invest significant additional resources in legal aid commissions, community legal centres, Aboriginal and Torres Strait Islander Legal Services ('ATSILS'), and Family Violence Prevention Legal Services ('FVPLS') to address critical civil and criminal legal assistance service gaps. This should include, at a minimum, $390 million per annum.</w:t>
      </w:r>
      <w:r>
        <w:rPr>
          <w:rStyle w:val="FootnoteReference"/>
        </w:rPr>
        <w:footnoteReference w:id="82"/>
      </w:r>
    </w:p>
    <w:p w14:paraId="47F7EACD" w14:textId="77777777" w:rsidR="00564A38" w:rsidRDefault="00564A38" w:rsidP="00111382">
      <w:r>
        <w:t>This insufficient funding trend appears to be continuing according to the Review of the National Legal Assistance Partnership, the framework through which federal and state governments jointly fund Legal Aid Commissions, CLCs and Aboriginal and Torres Strait Islander Legal Services.</w:t>
      </w:r>
      <w:r>
        <w:rPr>
          <w:rStyle w:val="FootnoteReference"/>
        </w:rPr>
        <w:footnoteReference w:id="83"/>
      </w:r>
      <w:r>
        <w:t xml:space="preserve"> In a media release, the Law Council of Australia praised the efforts of the National Legal Assistance Partnership, and asserted that the government urgently needs to provide funding that recognises that factors such as ‘unsustainable scales of pay, complexity of matters, and significant hours of unremunerated work are … impacting the long-term viability of legal aid and access to justice in Australia’.</w:t>
      </w:r>
      <w:r>
        <w:rPr>
          <w:rStyle w:val="FootnoteReference"/>
        </w:rPr>
        <w:footnoteReference w:id="84"/>
      </w:r>
    </w:p>
    <w:p w14:paraId="0CF79D15" w14:textId="77777777" w:rsidR="00564A38" w:rsidRDefault="00564A38" w:rsidP="00C95AF6">
      <w:pPr>
        <w:pStyle w:val="Heading3"/>
      </w:pPr>
      <w:bookmarkStart w:id="32" w:name="h-2690051-4"/>
      <w:bookmarkStart w:id="33" w:name="_Toc237348072"/>
      <w:bookmarkStart w:id="34" w:name="f-2690051-4"/>
      <w:bookmarkEnd w:id="31"/>
      <w:r>
        <w:t>Pro bono</w:t>
      </w:r>
      <w:bookmarkEnd w:id="32"/>
      <w:bookmarkEnd w:id="33"/>
    </w:p>
    <w:p w14:paraId="1251E39B" w14:textId="77777777" w:rsidR="00564A38" w:rsidRDefault="00564A38" w:rsidP="00111382">
      <w:r>
        <w:t>One proposed solution to the problem of access to justice is to increase the quantity, quality and cost-effectiveness of lawyers’ pro bono services. The Australian Pro Bono Centre defines the term as follows: ‘“Pro bono” comes from the Latin phrase “pro bono publico” which means “for the public good”. In the legal context it generally means the provision of legal services on a free or significantly reduced fee basis, with no expectation of a commercial return.'</w:t>
      </w:r>
      <w:r>
        <w:rPr>
          <w:rStyle w:val="FootnoteReference"/>
        </w:rPr>
        <w:footnoteReference w:id="85"/>
      </w:r>
      <w:r>
        <w:t xml:space="preserve"> There are some pro bono programs associated with courts. Others are part of CLCs or are operated by professional organisations, and many large law firms maintain a dedicated pro bono practice.</w:t>
      </w:r>
    </w:p>
    <w:p w14:paraId="6A9574E4" w14:textId="77777777" w:rsidR="00564A38" w:rsidRDefault="00564A38" w:rsidP="00111382">
      <w:r>
        <w:t>Burnside describes pro bono services as another ‘de facto substitute for legal aid’.</w:t>
      </w:r>
      <w:r>
        <w:rPr>
          <w:rStyle w:val="FootnoteReference"/>
        </w:rPr>
        <w:footnoteReference w:id="86"/>
      </w:r>
      <w:r>
        <w:t xml:space="preserve"> He notes that lawyers play a vital role in taking cases where legal aid is unavailable, particularly in the area of ‘asylum seekers trying to vindicate their rights in a hostile legal and political environment’.</w:t>
      </w:r>
      <w:r>
        <w:rPr>
          <w:rStyle w:val="FootnoteReference"/>
        </w:rPr>
        <w:footnoteReference w:id="87"/>
      </w:r>
    </w:p>
    <w:p w14:paraId="02B248E4" w14:textId="77777777" w:rsidR="00564A38" w:rsidRDefault="00564A38" w:rsidP="00111382">
      <w:r>
        <w:t xml:space="preserve">In the Australian Law Reform Commission (ALRC) Discussion Paper 62, </w:t>
      </w:r>
      <w:r>
        <w:rPr>
          <w:i/>
        </w:rPr>
        <w:t>Review of the Federal Civil Justice System</w:t>
      </w:r>
      <w:r>
        <w:t>,</w:t>
      </w:r>
      <w:r>
        <w:rPr>
          <w:rStyle w:val="FootnoteReference"/>
        </w:rPr>
        <w:footnoteReference w:id="88"/>
      </w:r>
      <w:r>
        <w:t xml:space="preserve"> there was a suggestion that pro bono work should be mandated for lawyers and also for law students. However, the ALRC Report 89, </w:t>
      </w:r>
      <w:r>
        <w:rPr>
          <w:i/>
        </w:rPr>
        <w:t>Managing Justice</w:t>
      </w:r>
      <w:r>
        <w:t>,</w:t>
      </w:r>
      <w:r>
        <w:rPr>
          <w:rStyle w:val="FootnoteReference"/>
        </w:rPr>
        <w:footnoteReference w:id="89"/>
      </w:r>
      <w:r>
        <w:t xml:space="preserve"> recorded strong opposition to these proposals. For instance, the Law Council of Australia argued that mandating pro bono work would allow governments to excuse </w:t>
      </w:r>
      <w:r>
        <w:lastRenderedPageBreak/>
        <w:t>themselves from their responsibilities to provide legal aid,</w:t>
      </w:r>
      <w:r>
        <w:rPr>
          <w:rStyle w:val="FootnoteReference"/>
        </w:rPr>
        <w:footnoteReference w:id="90"/>
      </w:r>
      <w:r>
        <w:t xml:space="preserve"> and the Law Foundation of New South Wales considered mandatory schemes as contrary to the ‘voluntarist’ ethic of pro bono work.</w:t>
      </w:r>
      <w:r>
        <w:rPr>
          <w:rStyle w:val="FootnoteReference"/>
        </w:rPr>
        <w:footnoteReference w:id="91"/>
      </w:r>
    </w:p>
    <w:p w14:paraId="0CA30230" w14:textId="77777777" w:rsidR="00564A38" w:rsidRDefault="00564A38" w:rsidP="00111382">
      <w:r>
        <w:t>For many, the provision of pro bono services exemplifies the essence of a lawyer’s service obligation. It is noticeable, then, that there has previously been no mention of it in legislation or the professional conduct rules. The Uniform Law does include a clause defining what pro bono means, but it creates no obligation, and the circumstances attracting these services predominantly relate to litigation-based matters. The clause provides:</w:t>
      </w:r>
    </w:p>
    <w:p w14:paraId="268D6D20" w14:textId="37050561" w:rsidR="00564A38" w:rsidRDefault="00564A38" w:rsidP="001F2C04">
      <w:pPr>
        <w:pStyle w:val="Quote"/>
        <w:numPr>
          <w:ilvl w:val="3"/>
          <w:numId w:val="4"/>
        </w:numPr>
      </w:pPr>
      <w:r>
        <w:t>Meaning of pro bono basis</w:t>
      </w:r>
      <w:r w:rsidR="00D45FE5">
        <w:br/>
      </w:r>
      <w:r>
        <w:t>For the purposes of this Law, an Australian legal practitioner provides legal services on a pro bono basis where—</w:t>
      </w:r>
    </w:p>
    <w:p w14:paraId="1AA02C42" w14:textId="77777777" w:rsidR="00564A38" w:rsidRDefault="00564A38" w:rsidP="001F2C04">
      <w:pPr>
        <w:pStyle w:val="Quote"/>
        <w:numPr>
          <w:ilvl w:val="4"/>
          <w:numId w:val="4"/>
        </w:numPr>
      </w:pPr>
      <w:r>
        <w:t xml:space="preserve">the practitioner, without fee, gain or reward or at a reduced fee, advises or represents a client in cases where— </w:t>
      </w:r>
    </w:p>
    <w:p w14:paraId="0DCEAC55" w14:textId="77777777" w:rsidR="00564A38" w:rsidRDefault="00564A38" w:rsidP="001F2C04">
      <w:pPr>
        <w:pStyle w:val="Quote"/>
        <w:numPr>
          <w:ilvl w:val="5"/>
          <w:numId w:val="4"/>
        </w:numPr>
      </w:pPr>
      <w:r>
        <w:t>the client would not otherwise have access to legal services; or</w:t>
      </w:r>
    </w:p>
    <w:p w14:paraId="4CB5EFE0" w14:textId="77777777" w:rsidR="00564A38" w:rsidRDefault="00564A38" w:rsidP="001F2C04">
      <w:pPr>
        <w:pStyle w:val="Quote"/>
        <w:numPr>
          <w:ilvl w:val="5"/>
          <w:numId w:val="4"/>
        </w:numPr>
      </w:pPr>
      <w:r>
        <w:t>the client’s case raises a wider issue of public interest; or</w:t>
      </w:r>
    </w:p>
    <w:p w14:paraId="7AC04AA6" w14:textId="77777777" w:rsidR="00564A38" w:rsidRDefault="00564A38" w:rsidP="001F2C04">
      <w:pPr>
        <w:pStyle w:val="Quote"/>
        <w:numPr>
          <w:ilvl w:val="4"/>
          <w:numId w:val="4"/>
        </w:numPr>
      </w:pPr>
      <w:r>
        <w:t>the practitioner is involved in free community legal education or law reform; or</w:t>
      </w:r>
    </w:p>
    <w:p w14:paraId="3DFCC02F" w14:textId="77777777" w:rsidR="00564A38" w:rsidRDefault="00564A38" w:rsidP="001F2C04">
      <w:pPr>
        <w:pStyle w:val="Quote"/>
        <w:numPr>
          <w:ilvl w:val="4"/>
          <w:numId w:val="4"/>
        </w:numPr>
      </w:pPr>
      <w:r>
        <w:t>the practitioner is involved in the giving of free legal advice or representation to charitable and community organisations.</w:t>
      </w:r>
      <w:r>
        <w:rPr>
          <w:rStyle w:val="FootnoteReference"/>
        </w:rPr>
        <w:footnoteReference w:id="92"/>
      </w:r>
    </w:p>
    <w:p w14:paraId="2465AAE9" w14:textId="77777777" w:rsidR="00564A38" w:rsidRDefault="00564A38" w:rsidP="00111382">
      <w:r>
        <w:t>The Australian Pro Bono Centre takes a more aspirational view, suggesting that all lawyers contribute at least 35 hours per year to pro bono work, on a voluntary basis.</w:t>
      </w:r>
      <w:r>
        <w:rPr>
          <w:rStyle w:val="FootnoteReference"/>
        </w:rPr>
        <w:footnoteReference w:id="93"/>
      </w:r>
      <w:r>
        <w:t xml:space="preserve"> In addition, the Centre has created opportunities for law school students to participate in pro bono work.</w:t>
      </w:r>
      <w:r>
        <w:rPr>
          <w:rStyle w:val="FootnoteReference"/>
        </w:rPr>
        <w:footnoteReference w:id="94"/>
      </w:r>
      <w:r>
        <w:t xml:space="preserve"> The Centre defines ‘pro bono’ and lists a set of activities that come within the meaning of the term, but, interestingly, it also lists activities that do not fall within the definition of ‘pro bono’. This appears to suggest that some lawyers wish to be aligned with pro bono work, but at the same time do it for strategic reasons.</w:t>
      </w:r>
    </w:p>
    <w:p w14:paraId="6B5A6C55" w14:textId="77777777" w:rsidR="00564A38" w:rsidRDefault="00564A38" w:rsidP="00903297">
      <w:pPr>
        <w:pStyle w:val="Quote"/>
      </w:pPr>
      <w:r>
        <w:t>The following is NOT regarded as pro bono work for the purposes of this statement:</w:t>
      </w:r>
    </w:p>
    <w:p w14:paraId="06FAE1DB" w14:textId="77777777" w:rsidR="00564A38" w:rsidRDefault="00564A38" w:rsidP="001F2C04">
      <w:pPr>
        <w:pStyle w:val="Quote"/>
        <w:numPr>
          <w:ilvl w:val="3"/>
          <w:numId w:val="5"/>
        </w:numPr>
      </w:pPr>
      <w:r>
        <w:t>giving legal assistance to any person for free or at a reduced fee without reference to whether he/she can afford to pay for that legal assistance or whether his/her case raises an issue of public interest</w:t>
      </w:r>
    </w:p>
    <w:p w14:paraId="61B75477" w14:textId="77777777" w:rsidR="00564A38" w:rsidRDefault="00564A38" w:rsidP="001F2C04">
      <w:pPr>
        <w:pStyle w:val="Quote"/>
        <w:numPr>
          <w:ilvl w:val="3"/>
          <w:numId w:val="5"/>
        </w:numPr>
      </w:pPr>
      <w:r>
        <w:t>free first consultations with clients who are otherwise billed at a firm’s normal rates</w:t>
      </w:r>
    </w:p>
    <w:p w14:paraId="51304520" w14:textId="77777777" w:rsidR="00564A38" w:rsidRDefault="00564A38" w:rsidP="001F2C04">
      <w:pPr>
        <w:pStyle w:val="Quote"/>
        <w:numPr>
          <w:ilvl w:val="3"/>
          <w:numId w:val="5"/>
        </w:numPr>
      </w:pPr>
      <w:r>
        <w:t>legal assistance provided under a grant of legal assistance from Legal Aid</w:t>
      </w:r>
    </w:p>
    <w:p w14:paraId="43D8CC0B" w14:textId="77777777" w:rsidR="00564A38" w:rsidRDefault="00564A38" w:rsidP="001F2C04">
      <w:pPr>
        <w:pStyle w:val="Quote"/>
        <w:numPr>
          <w:ilvl w:val="3"/>
          <w:numId w:val="5"/>
        </w:numPr>
      </w:pPr>
      <w:r>
        <w:t>contingency fee arrangements or other speculative work which is undertaken with a commercial expectation of a fee</w:t>
      </w:r>
    </w:p>
    <w:p w14:paraId="6F189FA7" w14:textId="77777777" w:rsidR="00564A38" w:rsidRDefault="00564A38" w:rsidP="001F2C04">
      <w:pPr>
        <w:pStyle w:val="Quote"/>
        <w:numPr>
          <w:ilvl w:val="3"/>
          <w:numId w:val="5"/>
        </w:numPr>
      </w:pPr>
      <w:r>
        <w:t>the sponsorship of cultural and sporting events, work undertaken for business development and other marketing opportunities or</w:t>
      </w:r>
    </w:p>
    <w:p w14:paraId="1EB1CBD2" w14:textId="77777777" w:rsidR="00564A38" w:rsidRDefault="00564A38" w:rsidP="001F2C04">
      <w:pPr>
        <w:pStyle w:val="Quote"/>
        <w:numPr>
          <w:ilvl w:val="3"/>
          <w:numId w:val="5"/>
        </w:numPr>
      </w:pPr>
      <w:r>
        <w:t>time spent by lawyers sitting on the board of a community organisation (including a community legal organisation) or a charity.</w:t>
      </w:r>
      <w:r>
        <w:rPr>
          <w:rStyle w:val="FootnoteReference"/>
        </w:rPr>
        <w:footnoteReference w:id="95"/>
      </w:r>
    </w:p>
    <w:p w14:paraId="25E4FE66" w14:textId="77777777" w:rsidR="00564A38" w:rsidRDefault="00564A38" w:rsidP="00111382">
      <w:r>
        <w:t xml:space="preserve">This tendency—for some lawyers to participate in ‘pro bono activities’ as a means of achieving market (and marketing) advantages—has been acknowledged by a number of writers. Rhode, for instance, is highly critical of the fact that, despite pro bono work, access to justice has not been achieved. She examines access to justice in </w:t>
      </w:r>
      <w:r>
        <w:lastRenderedPageBreak/>
        <w:t>the United States, noting that ‘equal justice under law’ is ‘a principle widely embraced and routinely violated’.</w:t>
      </w:r>
      <w:r>
        <w:rPr>
          <w:rStyle w:val="FootnoteReference"/>
        </w:rPr>
        <w:footnoteReference w:id="96"/>
      </w:r>
      <w:r>
        <w:t xml:space="preserve"> She examines the limits to realisation of this principle, which include resource limitations, statutory restrictions, and inadequacies in pro se (self-represented) assistance, pro bono services and legal education. A 2005 study undertaken in Queensland made similar findings.</w:t>
      </w:r>
      <w:r>
        <w:rPr>
          <w:rStyle w:val="FootnoteReference"/>
        </w:rPr>
        <w:footnoteReference w:id="97"/>
      </w:r>
      <w:r>
        <w:t xml:space="preserve"> For instance, the director of the pro bono services department of a large law firm said that one of the reasons that his firm initiated the program was to promote ‘staff motivation, staff retention, and staff recruitment … morale!’.</w:t>
      </w:r>
      <w:r>
        <w:rPr>
          <w:rStyle w:val="FootnoteReference"/>
        </w:rPr>
        <w:footnoteReference w:id="98"/>
      </w:r>
      <w:r>
        <w:t xml:space="preserve"> He said that his firm recognised that young lawyers believe they can make a difference and so:</w:t>
      </w:r>
    </w:p>
    <w:p w14:paraId="5D0050FD" w14:textId="77777777" w:rsidR="00564A38" w:rsidRDefault="00564A38" w:rsidP="00903297">
      <w:pPr>
        <w:pStyle w:val="Quote"/>
      </w:pPr>
      <w:r>
        <w:t>what we’re trying to do ... is to try not to smother that and crush that too quickly ... a place like [firm’s name] can tend to do that when you get specialised and you’re just doing corporate stuff or whatever, unless you’ve got a programme structured like this where you know there are opportunities to do other stuff—to go to the homeless person’s legal clinic or whatever. It can be a bit disheartening and can crush that feeling of being in a profession and being able to make a difference in the community ...</w:t>
      </w:r>
      <w:r>
        <w:rPr>
          <w:rStyle w:val="FootnoteReference"/>
        </w:rPr>
        <w:footnoteReference w:id="99"/>
      </w:r>
    </w:p>
    <w:p w14:paraId="702FF41E" w14:textId="77777777" w:rsidR="00564A38" w:rsidRDefault="00564A38" w:rsidP="00111382">
      <w:r>
        <w:t>Rhode also argues that ‘pro bono has never been only about what is good for the public; it has also been about what is good for lawyers’.</w:t>
      </w:r>
      <w:r>
        <w:rPr>
          <w:rStyle w:val="FootnoteReference"/>
        </w:rPr>
        <w:footnoteReference w:id="100"/>
      </w:r>
      <w:r>
        <w:t xml:space="preserve"> More specifically she notes that some law firms allow junior lawyers to act for non-paying clients to gain ‘training, litigation experience, client contact, intellectual challenge, and responsibility far beyond what is available in their other work’.</w:t>
      </w:r>
      <w:r>
        <w:rPr>
          <w:rStyle w:val="FootnoteReference"/>
        </w:rPr>
        <w:footnoteReference w:id="101"/>
      </w:r>
      <w:r>
        <w:t xml:space="preserve"> She also notes that firms see pro bono work as a means to recruit and retain staff and as an overall ‘morale booster’, and quotes an interviewee as saying: ‘Everyone feels that they touched a life … No office picnics or parties can give you that.’</w:t>
      </w:r>
      <w:r>
        <w:rPr>
          <w:rStyle w:val="FootnoteReference"/>
        </w:rPr>
        <w:footnoteReference w:id="102"/>
      </w:r>
    </w:p>
    <w:p w14:paraId="7AB5068D" w14:textId="77777777" w:rsidR="00564A38" w:rsidRDefault="00564A38" w:rsidP="00111382">
      <w:r>
        <w:t>However, the reality is that lawyers who wish to pursue the goal of citizen lawyer may very well find themselves having to do so outside of their workplace, or at least move to a workplace that is more aligned to their view of lawyering. Yet as at August 2018, the American Bar Association Model Rules of Professional Conduct include r 6.1, ‘Voluntary pro bono public service’, which provides that ‘[e]​very lawyer has a professional responsibility to provide legal services to those unable to pay. A lawyer should aspire to render at least (50) hours of pro bono public legal services per year’. Comment [11] associated with r 6.1 states that ‘[l]aw firms should act reasonably to enable and encourage all lawyers in the firm to provide pro bono legal services called for by this Rule’. Further, in order to emphasise that the pro bono service is ‘voluntary’, comment [12] explicitly provides that pro bono services are ‘not intended to be enforced through disciplinary process’.</w:t>
      </w:r>
    </w:p>
    <w:p w14:paraId="0DC93F8B" w14:textId="77777777" w:rsidR="00564A38" w:rsidRDefault="00564A38" w:rsidP="00111382">
      <w:r>
        <w:t>A further criticism of the current understanding of pro bono is the disjuncture between public and private interests it entails.</w:t>
      </w:r>
      <w:r>
        <w:rPr>
          <w:rStyle w:val="FootnoteReference"/>
        </w:rPr>
        <w:footnoteReference w:id="103"/>
      </w:r>
      <w:r>
        <w:t xml:space="preserve"> Rhode,</w:t>
      </w:r>
      <w:r>
        <w:rPr>
          <w:rStyle w:val="FootnoteReference"/>
        </w:rPr>
        <w:footnoteReference w:id="104"/>
      </w:r>
      <w:r>
        <w:t xml:space="preserve"> for instance, argues against the complacency of the legal profession’s approach to pro bono work, particularly given that it has done little to remedy the problem of access to justice in the United States. She notes that the ethical motives for pro bono are often eclipsed by the business motives. She argues for a more strategic and thoughtful approach that puts the ‘publico’ back into pro bono. She advocates for reform measures: ‘for expanded rights to counsel and nonlawyer assistance, increased pro bono services, greater </w:t>
      </w:r>
      <w:r>
        <w:lastRenderedPageBreak/>
        <w:t>involvement of law schools, and more effective political and funding strategies’.</w:t>
      </w:r>
      <w:r>
        <w:rPr>
          <w:rStyle w:val="FootnoteReference"/>
        </w:rPr>
        <w:footnoteReference w:id="105"/>
      </w:r>
      <w:r>
        <w:t xml:space="preserve"> She also argues for more systemic handling of the issue.</w:t>
      </w:r>
      <w:r>
        <w:rPr>
          <w:rStyle w:val="FootnoteReference"/>
        </w:rPr>
        <w:footnoteReference w:id="106"/>
      </w:r>
      <w:r>
        <w:t xml:space="preserve"> Rhode would probably agree with the recommendations of the Australian National Pro Bono Centre, which urge all levels of the legal community to be responsible for pro bono activities.</w:t>
      </w:r>
    </w:p>
    <w:p w14:paraId="7C9775C2" w14:textId="77777777" w:rsidR="00564A38" w:rsidRDefault="00564A38" w:rsidP="00111382">
      <w:r>
        <w:t>At the same time, regardless of the difficulties surrounding lawyer voluntary participation, there are those who warn against making pro bono services mandatory or enforcing them through disciplinary action. For instance, Ballman</w:t>
      </w:r>
      <w:r>
        <w:rPr>
          <w:rStyle w:val="FootnoteReference"/>
        </w:rPr>
        <w:footnoteReference w:id="107"/>
      </w:r>
      <w:r>
        <w:t xml:space="preserve"> argues that a mandatory system would amount to involuntary servitude. If incentives are needed, Strossen suggests that there are benefits for lawyers who proactively serve the public. For instance, she maintains that those who do ‘pro bono public work, do well and do good’; that is, they reduce the public’s negative attitude of lawyers, and build a lawyer’s ‘self-esteem and professional satisfaction’.</w:t>
      </w:r>
      <w:r>
        <w:rPr>
          <w:rStyle w:val="FootnoteReference"/>
        </w:rPr>
        <w:footnoteReference w:id="108"/>
      </w:r>
    </w:p>
    <w:p w14:paraId="598D9181" w14:textId="77777777" w:rsidR="00564A38" w:rsidRDefault="00564A38" w:rsidP="00111382">
      <w:r>
        <w:t>Although there are questions around how pro bono should be delivered it is pleasing to see that the 9th Biennial Pro Bono Survey demonstrates a broad desire within the large law firms to be involved in provide pro bono services as a way of ensuring access to justice for all Australians.</w:t>
      </w:r>
      <w:r>
        <w:rPr>
          <w:rStyle w:val="FootnoteReference"/>
        </w:rPr>
        <w:footnoteReference w:id="109"/>
      </w:r>
      <w:r>
        <w:t xml:space="preserve"> The following is the report’s summary of pro bono hours and engagement:</w:t>
      </w:r>
    </w:p>
    <w:p w14:paraId="2713EFC9" w14:textId="77777777" w:rsidR="00564A38" w:rsidRDefault="00564A38" w:rsidP="00903297">
      <w:pPr>
        <w:pStyle w:val="Quote"/>
      </w:pPr>
      <w:r>
        <w:t>In 2024, Australian large law firms provided more pro bono legal services than ever before. The 48 respondent firms performed 704,888 pro bono hours, a significant increase from the 564,531 hours reported in 2022. On average, 62% of firm lawyers were involved in pro bono, undertaking an average of 41.9 hours per lawyer per year, up from 36.2 hours in 2022. For the first time, a majority of respondent firms exceeded the National Pro Bono Target of 35 hours per lawyer per year.</w:t>
      </w:r>
      <w:r>
        <w:rPr>
          <w:rStyle w:val="FootnoteReference"/>
        </w:rPr>
        <w:footnoteReference w:id="110"/>
      </w:r>
    </w:p>
    <w:p w14:paraId="42E2B767" w14:textId="77777777" w:rsidR="00564A38" w:rsidRDefault="00564A38" w:rsidP="006741AB">
      <w:pPr>
        <w:pStyle w:val="Heading3"/>
      </w:pPr>
      <w:bookmarkStart w:id="35" w:name="h-2690051-5"/>
      <w:bookmarkStart w:id="36" w:name="_Toc237348073"/>
      <w:bookmarkStart w:id="37" w:name="f-2690051-5"/>
      <w:bookmarkEnd w:id="34"/>
      <w:r>
        <w:t>Financial arrangements</w:t>
      </w:r>
      <w:bookmarkEnd w:id="35"/>
      <w:bookmarkEnd w:id="36"/>
    </w:p>
    <w:p w14:paraId="0EA2CBE7" w14:textId="77777777" w:rsidR="00564A38" w:rsidRDefault="00564A38" w:rsidP="00111382">
      <w:r>
        <w:t>There are a range of initiatives that could be categorised as playing a role in promoting access to legal services, such as legal fee arrangements, litigation funding schemes, insurance schemes, and tax-deduction possibilities.</w:t>
      </w:r>
    </w:p>
    <w:p w14:paraId="16751C76" w14:textId="77777777" w:rsidR="00564A38" w:rsidRDefault="00564A38" w:rsidP="00111382">
      <w:r>
        <w:t>According to s 179 of the Uniform Law, clients have the right to negotiate the costs associated with their matter, subject to certain requirements set out in s 180, and s 184 declares that these are treated as contracts. For example, ss 181 and 182 provide for delayed billing of clients: under s 181, a client only pays the lawyer’s fee after a successful outcome; and under s 182 the client pays a fee upon a successful outcome plus an uplift fee—that is, a further percentage of the legal costs. Section 183 mentions that contingency fees—where fees are only paid when the matter is successful and those fees are calculated as a percentage of the damages awarded—are prohibited.</w:t>
      </w:r>
    </w:p>
    <w:p w14:paraId="25D18F8B" w14:textId="77777777" w:rsidR="00564A38" w:rsidRDefault="00564A38" w:rsidP="00111382">
      <w:r>
        <w:t>Litigation funding is an arrangement between litigants and a third-party organisation. As Attrill notes:</w:t>
      </w:r>
    </w:p>
    <w:p w14:paraId="737C9592" w14:textId="77777777" w:rsidR="00564A38" w:rsidRDefault="00564A38" w:rsidP="00903297">
      <w:pPr>
        <w:pStyle w:val="Quote"/>
      </w:pPr>
      <w:r>
        <w:lastRenderedPageBreak/>
        <w:t>Litigation funding involves a specialist commercial funder agreeing to meet some or all of the costs and liabilities of a piece of litigation in return for a share of any proceeds from that litigation and reimbursement of its costs.</w:t>
      </w:r>
      <w:r>
        <w:rPr>
          <w:rStyle w:val="FootnoteReference"/>
        </w:rPr>
        <w:footnoteReference w:id="111"/>
      </w:r>
    </w:p>
    <w:p w14:paraId="0D82E639" w14:textId="77777777" w:rsidR="00564A38" w:rsidRDefault="00564A38" w:rsidP="00111382">
      <w:r>
        <w:t>Litigation funding is mainly provided in the areas of insolvency, class actions and commercial litigation. As the Standing Committee of Attorneys-General recorded in a discussion paper in 2006,</w:t>
      </w:r>
      <w:r>
        <w:rPr>
          <w:rStyle w:val="FootnoteReference"/>
        </w:rPr>
        <w:footnoteReference w:id="112"/>
      </w:r>
      <w:r>
        <w:t xml:space="preserve"> these arrangements have withstood 20 court challenges. In addition, these arrangements have received the support of the ALRC, ‘provided such schemes are carefully controlled to protect consumers and the administration of justice’.</w:t>
      </w:r>
      <w:r>
        <w:rPr>
          <w:rStyle w:val="FootnoteReference"/>
        </w:rPr>
        <w:footnoteReference w:id="113"/>
      </w:r>
    </w:p>
    <w:p w14:paraId="71C6C6A3" w14:textId="77777777" w:rsidR="00564A38" w:rsidRDefault="00564A38" w:rsidP="00111382">
      <w:r>
        <w:t>Another option available for litigants is a legal expenses insurance scheme, under which litigants pay for a policy to cover their fees for legal services. There has been limited use of these schemes in Australia, mainly in family law matters.</w:t>
      </w:r>
      <w:r>
        <w:rPr>
          <w:rStyle w:val="FootnoteReference"/>
        </w:rPr>
        <w:footnoteReference w:id="114"/>
      </w:r>
    </w:p>
    <w:p w14:paraId="71BF4250" w14:textId="77777777" w:rsidR="00564A38" w:rsidRDefault="00564A38" w:rsidP="00111382">
      <w:r>
        <w:t>A further, limited possibility for relief from litigation expenses is available for those whose matters relate to their business activities. In such cases, litigants may be able to claim a tax deduction. This option is not available to individuals whose legal issues relate to domestic matters and do not concern assessable income.</w:t>
      </w:r>
      <w:r>
        <w:rPr>
          <w:rStyle w:val="FootnoteReference"/>
        </w:rPr>
        <w:footnoteReference w:id="115"/>
      </w:r>
    </w:p>
    <w:p w14:paraId="515FF4DE" w14:textId="77777777" w:rsidR="00564A38" w:rsidRDefault="00564A38" w:rsidP="00111382">
      <w:r>
        <w:t>Litigation funding as it relates to class actions has been the subject of an investigation by the ALRC, and its final report was published in December 2018. The ALRC was charged generally to consider ‘whether and to what extent class action proceedings and third-party litigation funders should be subject to Commonwealth regulation’,</w:t>
      </w:r>
      <w:r>
        <w:rPr>
          <w:rStyle w:val="FootnoteReference"/>
        </w:rPr>
        <w:footnoteReference w:id="116"/>
      </w:r>
      <w:r>
        <w:t xml:space="preserve"> but more specifically for our purposes ‘whether there is adequate regulation of conflicts of interest between litigation funder and plaintiffs and between lawyer and litigation funder, including in the relationship between a litigation funder and a legal practice’.</w:t>
      </w:r>
      <w:r>
        <w:rPr>
          <w:rStyle w:val="FootnoteReference"/>
        </w:rPr>
        <w:footnoteReference w:id="117"/>
      </w:r>
      <w:r>
        <w:t xml:space="preserve"> In response to the conflicts issue, the ALRC recommended that ‘[t]he Australian Solicitors’ Conduct Rules should be amended to prohibit solicitors and law firms from having financial and other interests in a third-party litigation funder that is funding the same matter in which the solicitor or law firm is acting’.</w:t>
      </w:r>
      <w:r>
        <w:rPr>
          <w:rStyle w:val="FootnoteReference"/>
        </w:rPr>
        <w:footnoteReference w:id="118"/>
      </w:r>
      <w:r>
        <w:t xml:space="preserve"> At the time of writing this has not been included in the ASCR.</w:t>
      </w:r>
    </w:p>
    <w:p w14:paraId="6941C196" w14:textId="77777777" w:rsidR="00564A38" w:rsidRDefault="00564A38" w:rsidP="006741AB">
      <w:pPr>
        <w:pStyle w:val="Heading3"/>
      </w:pPr>
      <w:bookmarkStart w:id="38" w:name="h-2690051-6"/>
      <w:bookmarkStart w:id="39" w:name="_Toc237348074"/>
      <w:bookmarkStart w:id="40" w:name="f-2690051-6"/>
      <w:bookmarkEnd w:id="37"/>
      <w:r>
        <w:t>Alternative dispute resolution</w:t>
      </w:r>
      <w:bookmarkEnd w:id="38"/>
      <w:bookmarkEnd w:id="39"/>
    </w:p>
    <w:p w14:paraId="1AAC88A3" w14:textId="77777777" w:rsidR="00564A38" w:rsidRDefault="00564A38" w:rsidP="00111382">
      <w:r>
        <w:t>Discussions about access to justice have traditionally characterised the issue as access to the courts or the availability of legal assistance.</w:t>
      </w:r>
      <w:r>
        <w:rPr>
          <w:rStyle w:val="FootnoteReference"/>
        </w:rPr>
        <w:footnoteReference w:id="119"/>
      </w:r>
      <w:r>
        <w:t xml:space="preserve"> Yet, as acknowledged by a 2009 report by the Access to Justice Taskforce, ‘[c]ourts are not the primary means by which people resolve their disputes’.</w:t>
      </w:r>
      <w:r>
        <w:rPr>
          <w:rStyle w:val="FootnoteReference"/>
        </w:rPr>
        <w:footnoteReference w:id="120"/>
      </w:r>
      <w:r>
        <w:t xml:space="preserve"> Accordingly, the report recommends that a range of mechanisms be used to improve access to justice, including information, advice and support, and the use of alternative dispute resolution (ADR). In effect, the report highlights the need for all </w:t>
      </w:r>
      <w:r>
        <w:lastRenderedPageBreak/>
        <w:t>advice givers to take a broad view of their role and consider more carefully what might be the most appropriate avenue that will lead to a resolution. The report observes that: ‘Justice initiatives should reduce the net complexity of the justice system. For example, initiatives that create or alter rights, or give rise to decisions affecting rights, should include mechanisms to allow people to understand and exercise their rights.’</w:t>
      </w:r>
      <w:r>
        <w:rPr>
          <w:rStyle w:val="FootnoteReference"/>
        </w:rPr>
        <w:footnoteReference w:id="121"/>
      </w:r>
    </w:p>
    <w:p w14:paraId="68029354" w14:textId="77777777" w:rsidR="00564A38" w:rsidRDefault="00564A38" w:rsidP="00111382">
      <w:r>
        <w:t>ADR can be defined as follows:</w:t>
      </w:r>
    </w:p>
    <w:p w14:paraId="45DAED9C" w14:textId="77777777" w:rsidR="00564A38" w:rsidRDefault="00564A38" w:rsidP="00903297">
      <w:pPr>
        <w:pStyle w:val="Quote"/>
      </w:pPr>
      <w:r>
        <w:t>Alternative Dispute Resolution or ADR refers to processes, other than judicial determination, in which an impartial person assists those in a dispute to resolve the issues between them. ADR can also be used to mean ‘assisted’ or ‘appropriate’ dispute resolution. Sometimes it is used to include approaches that enable parties to prevent or manage their own disputes without outside assistance.</w:t>
      </w:r>
      <w:r>
        <w:rPr>
          <w:rStyle w:val="FootnoteReference"/>
        </w:rPr>
        <w:footnoteReference w:id="122"/>
      </w:r>
    </w:p>
    <w:p w14:paraId="7ADA4951" w14:textId="77777777" w:rsidR="00564A38" w:rsidRDefault="00564A38" w:rsidP="00111382">
      <w:r>
        <w:t>While this definition could be interpreted to mean that ADR is separate from court processes, it is in fact now well established that these methods are integrated into state and federal court systems as a means of pursuing resolutions.</w:t>
      </w:r>
      <w:r>
        <w:rPr>
          <w:rStyle w:val="FootnoteReference"/>
        </w:rPr>
        <w:footnoteReference w:id="123"/>
      </w:r>
    </w:p>
    <w:p w14:paraId="233BABDA" w14:textId="77777777" w:rsidR="00564A38" w:rsidRDefault="00564A38" w:rsidP="00111382">
      <w:r>
        <w:t>The integration of ADR into the legal system has, however, raised some issues. For instance, the ALRC Discussion Paper 62 states that ‘“[j]ustice” … is taken to be equated with fair, open dignified, careful and serious processes. A justice system that over-emphasises the need to be affordable, efficient and timely may not succeed in delivering such justice.’</w:t>
      </w:r>
      <w:r>
        <w:rPr>
          <w:rStyle w:val="FootnoteReference"/>
        </w:rPr>
        <w:footnoteReference w:id="124"/>
      </w:r>
      <w:r>
        <w:t xml:space="preserve"> In a similar vein, Sir Gerard Brennan questions whether ‘solutions reached by diversionary procedures may deliver cheaper but also a less satisfying form of justice’.</w:t>
      </w:r>
      <w:r>
        <w:rPr>
          <w:rStyle w:val="FootnoteReference"/>
        </w:rPr>
        <w:footnoteReference w:id="125"/>
      </w:r>
    </w:p>
    <w:p w14:paraId="433C94C0" w14:textId="77777777" w:rsidR="00564A38" w:rsidRDefault="00564A38" w:rsidP="00111382">
      <w:r>
        <w:t>A further set of concerns has been identified by the Law Council of Australia. These include: the ramifications of mandatory referral to ADR; the extent of confidentiality attributed to ADR processes; accreditation of ADR practitioners; immunity of ADR practitioners; ensuring consistency of the quality in the provision of ADR services provided; the extent to which courts and tribunals engage in the provision of ADR services; the provision of ADR services in the broader public interest; and the need for uniformity of approach.</w:t>
      </w:r>
      <w:r>
        <w:rPr>
          <w:rStyle w:val="FootnoteReference"/>
        </w:rPr>
        <w:footnoteReference w:id="126"/>
      </w:r>
    </w:p>
    <w:p w14:paraId="06235954" w14:textId="77777777" w:rsidR="00564A38" w:rsidRDefault="00564A38" w:rsidP="00111382">
      <w:r>
        <w:t>The ALRC Issues Paper 20 acknowledges that a series of reports charged with evaluating ADR programs associated with Australian courts and tribunals has concluded that ‘[w]hile there is no conclusive evidence about the cost and benefits of court related ADR, many studies suggest that there are significant benefits for some types of disputes’.</w:t>
      </w:r>
      <w:r>
        <w:rPr>
          <w:rStyle w:val="FootnoteReference"/>
        </w:rPr>
        <w:footnoteReference w:id="127"/>
      </w:r>
    </w:p>
    <w:p w14:paraId="15269B3F" w14:textId="77777777" w:rsidR="00564A38" w:rsidRDefault="00564A38" w:rsidP="006741AB">
      <w:pPr>
        <w:pStyle w:val="Heading3"/>
      </w:pPr>
      <w:bookmarkStart w:id="41" w:name="h-2690051-7"/>
      <w:bookmarkStart w:id="42" w:name="_Toc237348075"/>
      <w:bookmarkStart w:id="43" w:name="f-2690051-7"/>
      <w:bookmarkEnd w:id="40"/>
      <w:r>
        <w:lastRenderedPageBreak/>
        <w:t>Reforms to legal education</w:t>
      </w:r>
      <w:bookmarkEnd w:id="41"/>
      <w:bookmarkEnd w:id="42"/>
    </w:p>
    <w:p w14:paraId="051E8E6A" w14:textId="77777777" w:rsidR="00564A38" w:rsidRDefault="00564A38" w:rsidP="00111382">
      <w:r>
        <w:t>It has been argued that law schools have some responsibility, along with government and the profession, for contributing to solutions to the crisis in access to justice. Many law school clinics were introduced for the purpose of assisting low-income individuals and communities to access justice.</w:t>
      </w:r>
      <w:r>
        <w:rPr>
          <w:rStyle w:val="FootnoteReference"/>
        </w:rPr>
        <w:footnoteReference w:id="128"/>
      </w:r>
      <w:r>
        <w:t xml:space="preserve"> It is suggested that the interaction between students and clients from low socio-economic backgrounds exposes students to the social and economic injustices often present in society.</w:t>
      </w:r>
      <w:r>
        <w:rPr>
          <w:rStyle w:val="FootnoteReference"/>
        </w:rPr>
        <w:footnoteReference w:id="129"/>
      </w:r>
      <w:r>
        <w:t xml:space="preserve"> While it is important to provide a service to such clients, Alvarez argues that law schools ought to take the further step of challenging the students to consider how the actual issues that preclude the clients accessing justice might be addressed.</w:t>
      </w:r>
      <w:r>
        <w:rPr>
          <w:rStyle w:val="FootnoteReference"/>
        </w:rPr>
        <w:footnoteReference w:id="130"/>
      </w:r>
    </w:p>
    <w:p w14:paraId="004A39C6" w14:textId="77777777" w:rsidR="00564A38" w:rsidRDefault="00564A38" w:rsidP="00111382">
      <w:r>
        <w:t>Rankin argues that, in order to better prepare law students for private practice, law schools should prioritise hands-on training in public service. By public service training, she means engaging students in real work, on real legal problems, with real clients who are of limited means or who would otherwise be underrepresented or unrepresented.</w:t>
      </w:r>
      <w:r>
        <w:rPr>
          <w:rStyle w:val="FootnoteReference"/>
        </w:rPr>
        <w:footnoteReference w:id="131"/>
      </w:r>
      <w:r>
        <w:t xml:space="preserve"> She also notes that experiential learning through pro bono clinics can significantly enhance student employability, a point supported by recent comparative research.</w:t>
      </w:r>
    </w:p>
    <w:p w14:paraId="3A971C6C" w14:textId="77777777" w:rsidR="00564A38" w:rsidRDefault="00564A38" w:rsidP="00111382">
      <w:r>
        <w:t xml:space="preserve">Arguing that public service is the very </w:t>
      </w:r>
      <w:r>
        <w:rPr>
          <w:i/>
        </w:rPr>
        <w:t>raison d’etre</w:t>
      </w:r>
      <w:r>
        <w:t xml:space="preserve"> of the profession,</w:t>
      </w:r>
      <w:r>
        <w:rPr>
          <w:rStyle w:val="FootnoteReference"/>
        </w:rPr>
        <w:footnoteReference w:id="132"/>
      </w:r>
      <w:r>
        <w:t xml:space="preserve"> she claims that such training can help to address the current ‘access to counsel’ crisis; teach students about their moral and professional obligations to provide pro bono service; provide incomparable training in core lawyering skills; and sustain students’ emotional and psychological health by connecting with relevant, meaningful work.</w:t>
      </w:r>
      <w:r>
        <w:rPr>
          <w:rStyle w:val="FootnoteReference"/>
        </w:rPr>
        <w:footnoteReference w:id="133"/>
      </w:r>
      <w:r>
        <w:t xml:space="preserve"> In this regard, it has been suggested that clinical legal education can ‘… empower students to engage directly with community members facing legal challenges, thus bridging the gap between theory and practice’. Moreover, legal education fosters awareness of systemic barriers to justice, encouraging future attorneys to address these issues in their careers. By instilling a commitment to public service, legal education plays a vital role in creating a more just society.</w:t>
      </w:r>
      <w:r>
        <w:rPr>
          <w:rStyle w:val="FootnoteReference"/>
        </w:rPr>
        <w:footnoteReference w:id="134"/>
      </w:r>
    </w:p>
    <w:p w14:paraId="522A3D9E" w14:textId="77777777" w:rsidR="00564A38" w:rsidRDefault="00564A38" w:rsidP="00111382">
      <w:r>
        <w:t>It has also been suggested that the mode of delivery of legal education matters. Online legal education, which was given a boost by the pandemic, can assist in providing greater access to justice:</w:t>
      </w:r>
    </w:p>
    <w:p w14:paraId="398AAB38" w14:textId="77777777" w:rsidR="00564A38" w:rsidRDefault="00564A38" w:rsidP="00903297">
      <w:pPr>
        <w:pStyle w:val="Quote"/>
      </w:pPr>
      <w:r>
        <w:t>it provides flexibility from which innovative educators and students alike can benefit; and can lower some of the costs associated with legal education, facilitating the entry of individuals into the profession who might be interested in working in areas that are relatively less remunerative. End result: more people who need lawyers have a chance of finding lawyers they can afford.</w:t>
      </w:r>
      <w:r>
        <w:rPr>
          <w:rStyle w:val="FootnoteReference"/>
        </w:rPr>
        <w:footnoteReference w:id="135"/>
      </w:r>
    </w:p>
    <w:p w14:paraId="17D74E80" w14:textId="77777777" w:rsidR="00564A38" w:rsidRDefault="00564A38" w:rsidP="006741AB">
      <w:pPr>
        <w:pStyle w:val="Heading3"/>
      </w:pPr>
      <w:bookmarkStart w:id="44" w:name="h-2690051-8"/>
      <w:bookmarkStart w:id="45" w:name="_Toc237348076"/>
      <w:bookmarkStart w:id="46" w:name="f-2690051-8"/>
      <w:bookmarkEnd w:id="43"/>
      <w:r>
        <w:lastRenderedPageBreak/>
        <w:t>Further innovations?</w:t>
      </w:r>
      <w:bookmarkEnd w:id="44"/>
      <w:bookmarkEnd w:id="45"/>
    </w:p>
    <w:p w14:paraId="39EB3F18" w14:textId="77777777" w:rsidR="00564A38" w:rsidRDefault="00564A38" w:rsidP="00111382">
      <w:r>
        <w:t>Along with the orthodox solutions discussed above, the significance of the problem of access to justice has led to calls for more creative and collaborative approaches. These include the greater use of paralegals to reduce the cost of legal assistance; technology</w:t>
      </w:r>
      <w:r>
        <w:rPr>
          <w:rFonts w:ascii="Cambria Math" w:hAnsi="Cambria Math" w:cs="Cambria Math"/>
        </w:rPr>
        <w:t>‑</w:t>
      </w:r>
      <w:r>
        <w:t>driven reforms in judicial and bar regulatory processes; and strategies around public education, funding, collaboration and coordination to make such alternative strategies workable.</w:t>
      </w:r>
    </w:p>
    <w:p w14:paraId="10E05736" w14:textId="77777777" w:rsidR="00564A38" w:rsidRDefault="00564A38" w:rsidP="00111382">
      <w:r>
        <w:t>Given the magnitude of the problem, it seems likely that multiple approaches are necessary. An empirical study comparing strategies to improve access to justice was conducted in the United States by Barendrecht,</w:t>
      </w:r>
      <w:r>
        <w:rPr>
          <w:rStyle w:val="FootnoteReference"/>
        </w:rPr>
        <w:footnoteReference w:id="136"/>
      </w:r>
      <w:r>
        <w:t xml:space="preserve"> who found that a legal information and education strategy should have the highest priority, because such a strategy empowers clients in their conflicts with others and increases the accountability of lawyers and judges. It also found that improving access to (informal) procedures is important (although challenging for policy makers); and that providing civil legal aid on an individual basis is a costly strategy. Further, Barendrecht makes the point that ‘legal aid is less likely to create just outcomes on its own: a judge without a lawyer is more valuable than a lawyer without a judge’.</w:t>
      </w:r>
      <w:r>
        <w:rPr>
          <w:rStyle w:val="FootnoteReference"/>
        </w:rPr>
        <w:footnoteReference w:id="137"/>
      </w:r>
    </w:p>
    <w:p w14:paraId="097E5DC8" w14:textId="77777777" w:rsidR="00564A38" w:rsidRDefault="00564A38" w:rsidP="00111382">
      <w:r>
        <w:t>In Australia, the concern with access to justice is ongoing. A report published by the Productivity Commission commended private funding, access to ADR, and other initiatives already operating and mentioned above. The report also canvassed a broad spectrum of measures beyond those.</w:t>
      </w:r>
      <w:r>
        <w:rPr>
          <w:rStyle w:val="FootnoteReference"/>
        </w:rPr>
        <w:footnoteReference w:id="138"/>
      </w:r>
      <w:r>
        <w:t xml:space="preserve"> For instance, the Commission’s recommendations included consumer education initiatives; more informal and early solutions, such as promoting the services of specialist ombudsmen; and the introduction of regulation to allow unbundling of legal services and the issuing of limited licences—in particular for family law, but in other areas of law that may be considered appropriate as well.</w:t>
      </w:r>
      <w:r>
        <w:rPr>
          <w:rStyle w:val="FootnoteReference"/>
        </w:rPr>
        <w:footnoteReference w:id="139"/>
      </w:r>
    </w:p>
    <w:p w14:paraId="4FE066BF" w14:textId="77777777" w:rsidR="00564A38" w:rsidRDefault="00564A38" w:rsidP="00111382">
      <w:r>
        <w:t>Much faith is increasingly placed on the use of technology to address the issues of access to justice. While much recent discussion focuses on generative AI, advances such as AI-assisted translation services; virtual courts, e- and hybrid courts;</w:t>
      </w:r>
      <w:r>
        <w:rPr>
          <w:rStyle w:val="FootnoteReference"/>
        </w:rPr>
        <w:footnoteReference w:id="140"/>
      </w:r>
      <w:r>
        <w:t xml:space="preserve"> and online dispute resolution platforms</w:t>
      </w:r>
      <w:r>
        <w:rPr>
          <w:rStyle w:val="FootnoteReference"/>
        </w:rPr>
        <w:footnoteReference w:id="141"/>
      </w:r>
      <w:r>
        <w:t xml:space="preserve"> have also been considered as important aspects of closing the access-to-justice gap. Writing as far back as 2014, Brescia </w:t>
      </w:r>
      <w:r>
        <w:rPr>
          <w:i/>
        </w:rPr>
        <w:t>et al</w:t>
      </w:r>
      <w:r>
        <w:t>.</w:t>
      </w:r>
      <w:r>
        <w:rPr>
          <w:rStyle w:val="FootnoteReference"/>
        </w:rPr>
        <w:footnoteReference w:id="142"/>
      </w:r>
      <w:r>
        <w:t xml:space="preserve"> examined the impact of technology on access to justice. Noting that the provision of legal services was becoming increasingly commodified—performed by lawyers and non-lawyers in a way that is more cost-effective than traditional, ‘bespoke’ lawyering</w:t>
      </w:r>
      <w:r>
        <w:rPr>
          <w:rStyle w:val="FootnoteReference"/>
        </w:rPr>
        <w:footnoteReference w:id="143"/>
      </w:r>
      <w:r>
        <w:t xml:space="preserve">—they pointed to the looming digital disruption. They observed that this disruption was </w:t>
      </w:r>
      <w:r>
        <w:lastRenderedPageBreak/>
        <w:t>likely to arise from necessity and from those serving the lower end of the market: sole practitioners, legal services lawyers and ‘low bono’ legal service providers. At this end of the market, there was a desperate need for legal services, but not enough money to pay for them.</w:t>
      </w:r>
      <w:r>
        <w:rPr>
          <w:rStyle w:val="FootnoteReference"/>
        </w:rPr>
        <w:footnoteReference w:id="144"/>
      </w:r>
      <w:r>
        <w:t xml:space="preserve"> They conclude that ‘for the eighty percent of low-income individuals and the fifty percent of moderate-income individuals [in the United States] who face their legal problems without a lawyer, or do not face them at all, this disruption could not come fast enough’.</w:t>
      </w:r>
      <w:r>
        <w:rPr>
          <w:rStyle w:val="FootnoteReference"/>
        </w:rPr>
        <w:footnoteReference w:id="145"/>
      </w:r>
    </w:p>
    <w:p w14:paraId="6ED283DA" w14:textId="77777777" w:rsidR="00564A38" w:rsidRDefault="00564A38" w:rsidP="00111382">
      <w:r>
        <w:t>More recently, a number of writers have explored the promise of AI and new technologies to address the gaps in access to justice.</w:t>
      </w:r>
      <w:r>
        <w:rPr>
          <w:rStyle w:val="FootnoteReference"/>
        </w:rPr>
        <w:footnoteReference w:id="146"/>
      </w:r>
      <w:r>
        <w:t xml:space="preserve"> However, most also recommend caution in the adoption of these technologies, and some warn that technology has the potential to widen, rather than narrow, the access-to-justice gap.</w:t>
      </w:r>
      <w:r>
        <w:rPr>
          <w:rStyle w:val="FootnoteReference"/>
        </w:rPr>
        <w:footnoteReference w:id="147"/>
      </w:r>
      <w:r>
        <w:t xml:space="preserve"> In Australia, the Robodebt scandal reinforces the view that automation without careful design and oversight</w:t>
      </w:r>
      <w:r>
        <w:rPr>
          <w:rStyle w:val="FootnoteReference"/>
        </w:rPr>
        <w:footnoteReference w:id="148"/>
      </w:r>
      <w:r>
        <w:t xml:space="preserve"> can work against the vulnerable.</w:t>
      </w:r>
      <w:r>
        <w:rPr>
          <w:rStyle w:val="FootnoteReference"/>
        </w:rPr>
        <w:footnoteReference w:id="149"/>
      </w:r>
    </w:p>
    <w:p w14:paraId="1D193390" w14:textId="77777777" w:rsidR="00564A38" w:rsidRDefault="00564A38" w:rsidP="00111382">
      <w:r>
        <w:t xml:space="preserve">In 2016, the Australian federal government launched Robodebt, an automated debt recovery scheme. Its purpose was to identify welfare overpayments using income averaging from tax data. However, the system assumed individuals earned income evenly over the year and many debts were wrongly calculated. Further, welfare recipients were assumed to owe the debt unless they could prove otherwise. More than 443,000 people were wrongly issued with debt notices, causing significant distress and contributing to reported cases of suicide. After the scheme was exposed in the </w:t>
      </w:r>
      <w:r>
        <w:rPr>
          <w:i/>
        </w:rPr>
        <w:t>Amato</w:t>
      </w:r>
      <w:r>
        <w:t xml:space="preserve"> case,</w:t>
      </w:r>
      <w:r>
        <w:rPr>
          <w:rStyle w:val="FootnoteReference"/>
        </w:rPr>
        <w:footnoteReference w:id="150"/>
      </w:r>
      <w:r>
        <w:t xml:space="preserve"> a successful class action</w:t>
      </w:r>
      <w:r>
        <w:rPr>
          <w:rStyle w:val="FootnoteReference"/>
        </w:rPr>
        <w:footnoteReference w:id="151"/>
      </w:r>
      <w:r>
        <w:t xml:space="preserve"> against the government resulted in a $1.8 billion settlement and a Royal Commission into the scheme in 2022, which described the scheme as ‘crude and cruel’. In 2023, the government issued a formal apology and accepted the majority of the Commission’s recommendations.</w:t>
      </w:r>
    </w:p>
    <w:p w14:paraId="6ADBEE68" w14:textId="77777777" w:rsidR="00564A38" w:rsidRDefault="00564A38" w:rsidP="00111382">
      <w:r>
        <w:t>While Robodebt itself was not powered by AI in the contemporary sense of machine learning, it was an automated system that mimicked some of the decision-making functions AI might perform. Robodebt thus stands as a cautionary tale in the use of AI to achieve justice, particularly for the vulnerable.</w:t>
      </w:r>
      <w:r>
        <w:rPr>
          <w:rStyle w:val="FootnoteReference"/>
        </w:rPr>
        <w:footnoteReference w:id="152"/>
      </w:r>
    </w:p>
    <w:bookmarkEnd w:id="4"/>
    <w:bookmarkEnd w:id="27"/>
    <w:bookmarkEnd w:id="46"/>
    <w:p w14:paraId="568F6C98" w14:textId="77777777" w:rsidR="00564A38" w:rsidRPr="003F5C7E" w:rsidRDefault="00564A38" w:rsidP="003F5C7E">
      <w:pPr>
        <w:rPr>
          <w:lang w:val="en-AU"/>
        </w:rPr>
      </w:pPr>
    </w:p>
    <w:sectPr w:rsidR="00564A38" w:rsidRPr="003F5C7E" w:rsidSect="002204C6">
      <w:headerReference w:type="even" r:id="rId11"/>
      <w:headerReference w:type="default" r:id="rId12"/>
      <w:footerReference w:type="even" r:id="rId13"/>
      <w:footerReference w:type="default" r:id="rId14"/>
      <w:headerReference w:type="first" r:id="rId15"/>
      <w:footerReference w:type="first" r:id="rId16"/>
      <w:pgSz w:w="11906" w:h="16838" w:code="9"/>
      <w:pgMar w:top="1701" w:right="907" w:bottom="1361" w:left="907"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CD830" w14:textId="77777777" w:rsidR="00B65218" w:rsidRDefault="00B65218" w:rsidP="006131C4">
      <w:pPr>
        <w:spacing w:after="0" w:line="240" w:lineRule="auto"/>
      </w:pPr>
      <w:r>
        <w:separator/>
      </w:r>
    </w:p>
  </w:endnote>
  <w:endnote w:type="continuationSeparator" w:id="0">
    <w:p w14:paraId="1A2413EB" w14:textId="77777777" w:rsidR="00B65218" w:rsidRDefault="00B65218" w:rsidP="006131C4">
      <w:pPr>
        <w:spacing w:after="0" w:line="240" w:lineRule="auto"/>
      </w:pPr>
      <w:r>
        <w:continuationSeparator/>
      </w:r>
    </w:p>
  </w:endnote>
  <w:endnote w:type="continuationNotice" w:id="1">
    <w:p w14:paraId="6CB6EE7F" w14:textId="77777777" w:rsidR="00B65218" w:rsidRDefault="00B652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98E65" w14:textId="77777777" w:rsidR="00FF1B95" w:rsidRDefault="00FF1B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8898B" w14:textId="5F4C2AA3" w:rsidR="00706252" w:rsidRDefault="00706252" w:rsidP="00D869BF">
    <w:pPr>
      <w:pStyle w:val="Footer"/>
    </w:pPr>
    <w:r w:rsidRPr="00D77545">
      <w:t xml:space="preserve">© </w:t>
    </w:r>
    <w:r w:rsidR="00FF1B95">
      <w:t>Paula Baron &amp; Lillian Corbin</w:t>
    </w:r>
    <w:r w:rsidRPr="00D77545">
      <w:t xml:space="preserve"> </w:t>
    </w:r>
    <w:r w:rsidRPr="00216A29">
      <w:t>202</w:t>
    </w:r>
    <w:r>
      <w:t>6</w:t>
    </w:r>
    <w:r w:rsidRPr="00216A29">
      <w:ptab w:relativeTo="margin" w:alignment="right" w:leader="none"/>
    </w:r>
    <w:r w:rsidRPr="00216A29">
      <w:t>Page</w:t>
    </w:r>
    <w:r>
      <w:t xml:space="preserve"> </w:t>
    </w:r>
    <w:r w:rsidRPr="00D77545">
      <w:fldChar w:fldCharType="begin"/>
    </w:r>
    <w:r w:rsidRPr="00D77545">
      <w:instrText xml:space="preserve"> PAGE   \* MERGEFORMAT </w:instrText>
    </w:r>
    <w:r w:rsidRPr="00D77545">
      <w:fldChar w:fldCharType="separate"/>
    </w:r>
    <w:r w:rsidR="000B2BF7">
      <w:rPr>
        <w:noProof/>
      </w:rPr>
      <w:t>54</w:t>
    </w:r>
    <w:r w:rsidRPr="00D77545">
      <w:fldChar w:fldCharType="end"/>
    </w:r>
  </w:p>
  <w:p w14:paraId="55E84F2A" w14:textId="75F3A5DD" w:rsidR="00706252" w:rsidRDefault="00706252" w:rsidP="00BC3B3A">
    <w:pPr>
      <w:pStyle w:val="Footer"/>
    </w:pPr>
    <w:r w:rsidRPr="00BC3B3A">
      <w:t>Permission has been granted for this page to be photocopied within the purchasing institution only. No part of this publication may be reproduced, stored in a retrieval system, transmitted, used for text and data mining, or used for training artificial intelligence.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436A1" w14:textId="5485D9D3" w:rsidR="00706252" w:rsidRDefault="00706252" w:rsidP="00182A4F">
    <w:pPr>
      <w:pStyle w:val="Footer"/>
    </w:pPr>
    <w:r w:rsidRPr="00D77545">
      <w:t xml:space="preserve">© Oxford University Press </w:t>
    </w:r>
    <w:r w:rsidRPr="00216A29">
      <w:t>202</w:t>
    </w:r>
    <w:r>
      <w:t>6</w:t>
    </w:r>
    <w:r w:rsidRPr="00216A29">
      <w:ptab w:relativeTo="margin" w:alignment="right" w:leader="none"/>
    </w:r>
    <w:r w:rsidRPr="00216A29">
      <w:t>Page</w:t>
    </w:r>
    <w:r>
      <w:t xml:space="preserve"> </w:t>
    </w:r>
    <w:r w:rsidRPr="00D77545">
      <w:fldChar w:fldCharType="begin"/>
    </w:r>
    <w:r w:rsidRPr="00D77545">
      <w:instrText xml:space="preserve"> PAGE   \* MERGEFORMAT </w:instrText>
    </w:r>
    <w:r w:rsidRPr="00D77545">
      <w:fldChar w:fldCharType="separate"/>
    </w:r>
    <w:r w:rsidR="000B2BF7">
      <w:rPr>
        <w:noProof/>
      </w:rPr>
      <w:t>1</w:t>
    </w:r>
    <w:r w:rsidRPr="00D77545">
      <w:fldChar w:fldCharType="end"/>
    </w:r>
  </w:p>
  <w:p w14:paraId="4F4CB623" w14:textId="63BEB0AB" w:rsidR="00706252" w:rsidRDefault="00706252" w:rsidP="00BC3B3A">
    <w:pPr>
      <w:pStyle w:val="Footer"/>
    </w:pPr>
    <w:r w:rsidRPr="00BC3B3A">
      <w:t>Permission has been granted for this page to be photocopied within the purchasing institution only. No part of this publication may be reproduced, stored in a retrieval system, transmitted, used for text and data mining, or used for training artificial intelligence.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E8D52" w14:textId="77777777" w:rsidR="00B65218" w:rsidRDefault="00B65218" w:rsidP="006131C4">
      <w:pPr>
        <w:spacing w:after="0" w:line="240" w:lineRule="auto"/>
      </w:pPr>
      <w:r>
        <w:separator/>
      </w:r>
    </w:p>
  </w:footnote>
  <w:footnote w:type="continuationSeparator" w:id="0">
    <w:p w14:paraId="54F84D8D" w14:textId="77777777" w:rsidR="00B65218" w:rsidRDefault="00B65218" w:rsidP="006131C4">
      <w:pPr>
        <w:spacing w:after="0" w:line="240" w:lineRule="auto"/>
      </w:pPr>
      <w:r>
        <w:continuationSeparator/>
      </w:r>
    </w:p>
  </w:footnote>
  <w:footnote w:type="continuationNotice" w:id="1">
    <w:p w14:paraId="7B268A9D" w14:textId="77777777" w:rsidR="00B65218" w:rsidRDefault="00B65218">
      <w:pPr>
        <w:spacing w:after="0" w:line="240" w:lineRule="auto"/>
      </w:pPr>
    </w:p>
  </w:footnote>
  <w:footnote w:id="2">
    <w:p w14:paraId="19EC4EAC" w14:textId="77777777" w:rsidR="00564A38" w:rsidRDefault="00564A38" w:rsidP="00564A38">
      <w:pPr>
        <w:pStyle w:val="FootnoteText"/>
      </w:pPr>
      <w:r>
        <w:rPr>
          <w:rStyle w:val="FootnoteReference"/>
        </w:rPr>
        <w:footnoteRef/>
      </w:r>
      <w:r>
        <w:t xml:space="preserve"> Maurits Barendrecht, ‘Legal Aid, Accessible Courts or Legal Information? Three Access to Justice Strategies Compared’ (2011) </w:t>
      </w:r>
      <w:r>
        <w:rPr>
          <w:i/>
        </w:rPr>
        <w:t>TISCO Working Paper Series on Civil Law and Conflict Resolution Systems</w:t>
      </w:r>
      <w:r>
        <w:t xml:space="preserve"> 4.</w:t>
      </w:r>
    </w:p>
  </w:footnote>
  <w:footnote w:id="3">
    <w:p w14:paraId="1992C938" w14:textId="77777777" w:rsidR="00564A38" w:rsidRDefault="00564A38" w:rsidP="00564A38">
      <w:pPr>
        <w:pStyle w:val="FootnoteText"/>
      </w:pPr>
      <w:r>
        <w:rPr>
          <w:rStyle w:val="FootnoteReference"/>
        </w:rPr>
        <w:footnoteRef/>
      </w:r>
      <w:r>
        <w:t xml:space="preserve"> Ibid 4.</w:t>
      </w:r>
    </w:p>
  </w:footnote>
  <w:footnote w:id="4">
    <w:p w14:paraId="2F3E2DAE" w14:textId="77777777" w:rsidR="00564A38" w:rsidRDefault="00564A38" w:rsidP="00564A38">
      <w:pPr>
        <w:pStyle w:val="FootnoteText"/>
      </w:pPr>
      <w:r>
        <w:rPr>
          <w:rStyle w:val="FootnoteReference"/>
        </w:rPr>
        <w:footnoteRef/>
      </w:r>
      <w:r>
        <w:t xml:space="preserve"> Michael Duffy, Andrew Coleman and Matt Nichol, ‘Mapping Changes in the Access to Civil Justice of Average Australians: An Analysis and Empirical Survey’ (2021) 42 </w:t>
      </w:r>
      <w:r>
        <w:rPr>
          <w:i/>
        </w:rPr>
        <w:t>Adelaide Law Review</w:t>
      </w:r>
      <w:r>
        <w:t xml:space="preserve"> 293, 322.</w:t>
      </w:r>
    </w:p>
  </w:footnote>
  <w:footnote w:id="5">
    <w:p w14:paraId="7F6B38DC" w14:textId="77777777" w:rsidR="00564A38" w:rsidRDefault="00564A38" w:rsidP="00564A38">
      <w:pPr>
        <w:pStyle w:val="FootnoteText"/>
      </w:pPr>
      <w:r>
        <w:rPr>
          <w:rStyle w:val="FootnoteReference"/>
        </w:rPr>
        <w:footnoteRef/>
      </w:r>
      <w:r>
        <w:t xml:space="preserve"> William Davis and Hilda Turku, ‘Access to Justice and Alternative Dispute Resolution’ (2011) </w:t>
      </w:r>
      <w:r>
        <w:rPr>
          <w:i/>
        </w:rPr>
        <w:t>Journal of Dispute Resolution</w:t>
      </w:r>
      <w:r>
        <w:t xml:space="preserve"> 47, 50, make a distinction between access to justice and access to justice systems. In this chapter, ‘access to justice’ is used as an umbrella term to include access to justice systems.</w:t>
      </w:r>
    </w:p>
  </w:footnote>
  <w:footnote w:id="6">
    <w:p w14:paraId="4F714928" w14:textId="77777777" w:rsidR="00564A38" w:rsidRDefault="00564A38" w:rsidP="00564A38">
      <w:pPr>
        <w:pStyle w:val="FootnoteText"/>
      </w:pPr>
      <w:r>
        <w:rPr>
          <w:rStyle w:val="FootnoteReference"/>
        </w:rPr>
        <w:footnoteRef/>
      </w:r>
      <w:r>
        <w:t xml:space="preserve"> Deborah Rhode ‘Access to Justice: Connecting Principles to Practice’ (2003–04) 17 </w:t>
      </w:r>
      <w:r>
        <w:rPr>
          <w:i/>
        </w:rPr>
        <w:t>Georgetown Journal of Legal Ethics</w:t>
      </w:r>
      <w:r>
        <w:t xml:space="preserve"> 369, 374.</w:t>
      </w:r>
    </w:p>
  </w:footnote>
  <w:footnote w:id="7">
    <w:p w14:paraId="48105979" w14:textId="77777777" w:rsidR="00564A38" w:rsidRDefault="00564A38" w:rsidP="00564A38">
      <w:pPr>
        <w:pStyle w:val="FootnoteText"/>
      </w:pPr>
      <w:r>
        <w:rPr>
          <w:rStyle w:val="FootnoteReference"/>
        </w:rPr>
        <w:footnoteRef/>
      </w:r>
      <w:r>
        <w:t xml:space="preserve"> Davis and Turku, above n 70, 47.</w:t>
      </w:r>
    </w:p>
  </w:footnote>
  <w:footnote w:id="8">
    <w:p w14:paraId="36455DE9" w14:textId="77777777" w:rsidR="00564A38" w:rsidRDefault="00564A38" w:rsidP="00564A38">
      <w:pPr>
        <w:pStyle w:val="FootnoteText"/>
      </w:pPr>
      <w:r>
        <w:rPr>
          <w:rStyle w:val="FootnoteReference"/>
        </w:rPr>
        <w:footnoteRef/>
      </w:r>
      <w:r>
        <w:t xml:space="preserve"> James J Spigelman, ‘Seen to Be Done: The Principle of Open Justice’ (2000) 74 </w:t>
      </w:r>
      <w:r>
        <w:rPr>
          <w:i/>
        </w:rPr>
        <w:t>Australian Law Journal</w:t>
      </w:r>
      <w:r>
        <w:t xml:space="preserve"> 290, 292.</w:t>
      </w:r>
    </w:p>
  </w:footnote>
  <w:footnote w:id="9">
    <w:p w14:paraId="1E307D27" w14:textId="77777777" w:rsidR="00564A38" w:rsidRDefault="00564A38" w:rsidP="00564A38">
      <w:pPr>
        <w:pStyle w:val="FootnoteText"/>
      </w:pPr>
      <w:r>
        <w:rPr>
          <w:rStyle w:val="FootnoteReference"/>
        </w:rPr>
        <w:footnoteRef/>
      </w:r>
      <w:r>
        <w:t xml:space="preserve"> Karen A Lash, Pauline Gee and Laurie Zelon, ‘Equal Access to Civil Justice: Pursuing Solutions Beyond the Legal Profession’ (2015) 17(1) </w:t>
      </w:r>
      <w:r>
        <w:rPr>
          <w:i/>
        </w:rPr>
        <w:t>Yale Law &amp; Policy Review</w:t>
      </w:r>
      <w:r>
        <w:t xml:space="preserve"> 489, 489.</w:t>
      </w:r>
    </w:p>
  </w:footnote>
  <w:footnote w:id="10">
    <w:p w14:paraId="453DFBE9" w14:textId="77777777" w:rsidR="00564A38" w:rsidRDefault="00564A38" w:rsidP="00564A38">
      <w:pPr>
        <w:pStyle w:val="FootnoteText"/>
      </w:pPr>
      <w:r>
        <w:rPr>
          <w:rStyle w:val="FootnoteReference"/>
        </w:rPr>
        <w:footnoteRef/>
      </w:r>
      <w:r>
        <w:t xml:space="preserve"> John Eekelaar, ‘Access to Justice’ (2018) 40(1) </w:t>
      </w:r>
      <w:r>
        <w:rPr>
          <w:i/>
        </w:rPr>
        <w:t>Journal of Social Welfare and Family Law</w:t>
      </w:r>
      <w:r>
        <w:t xml:space="preserve"> 101, 101.</w:t>
      </w:r>
    </w:p>
  </w:footnote>
  <w:footnote w:id="11">
    <w:p w14:paraId="75F60311" w14:textId="77777777" w:rsidR="00564A38" w:rsidRDefault="00564A38" w:rsidP="00564A38">
      <w:pPr>
        <w:pStyle w:val="FootnoteText"/>
      </w:pPr>
      <w:r>
        <w:rPr>
          <w:rStyle w:val="FootnoteReference"/>
        </w:rPr>
        <w:footnoteRef/>
      </w:r>
      <w:r>
        <w:t xml:space="preserve"> Andrew Pilliar, ‘Filling the Normative Hole at the Centre of Access to Justice: Toward a Person-Centred Conception’ (2022) 55 </w:t>
      </w:r>
      <w:r>
        <w:rPr>
          <w:i/>
        </w:rPr>
        <w:t>UBC Law Review</w:t>
      </w:r>
      <w:r>
        <w:t xml:space="preserve"> 149, 150. Martha Minow makes a similar point, when she writes that ‘access to civil justice is not an issue high on political agendas or even in the consciousness of people who are not directly affected’: ‘Access to Justice’ (2022) 2 </w:t>
      </w:r>
      <w:r>
        <w:rPr>
          <w:i/>
        </w:rPr>
        <w:t>American Journal of Law and Equality</w:t>
      </w:r>
      <w:r>
        <w:t xml:space="preserve"> 293, 301.</w:t>
      </w:r>
    </w:p>
  </w:footnote>
  <w:footnote w:id="12">
    <w:p w14:paraId="79E092D1" w14:textId="77777777" w:rsidR="00564A38" w:rsidRDefault="00564A38" w:rsidP="00564A38">
      <w:pPr>
        <w:pStyle w:val="FootnoteText"/>
      </w:pPr>
      <w:r>
        <w:rPr>
          <w:rStyle w:val="FootnoteReference"/>
        </w:rPr>
        <w:footnoteRef/>
      </w:r>
      <w:r>
        <w:t xml:space="preserve"> Genn has recently argued that access to justice is a public health issue. See Hazel Genn, ‘When Law Is Good for Your Health: Mitigating the Social Determinants of Health Through Access to Justice’ (2019) 72(1) </w:t>
      </w:r>
      <w:r>
        <w:rPr>
          <w:i/>
        </w:rPr>
        <w:t>Current Legal Problems</w:t>
      </w:r>
      <w:r>
        <w:t xml:space="preserve"> 159.</w:t>
      </w:r>
    </w:p>
  </w:footnote>
  <w:footnote w:id="13">
    <w:p w14:paraId="376D4EA4" w14:textId="77777777" w:rsidR="00564A38" w:rsidRDefault="00564A38" w:rsidP="00564A38">
      <w:pPr>
        <w:pStyle w:val="FootnoteText"/>
      </w:pPr>
      <w:r>
        <w:rPr>
          <w:rStyle w:val="FootnoteReference"/>
        </w:rPr>
        <w:footnoteRef/>
      </w:r>
      <w:r>
        <w:t xml:space="preserve"> Martha Minow, ‘Access to Justice’ (2022) 2 </w:t>
      </w:r>
      <w:r>
        <w:rPr>
          <w:i/>
        </w:rPr>
        <w:t>American Journal of Law and Equality</w:t>
      </w:r>
      <w:r>
        <w:t xml:space="preserve"> 293, 295.</w:t>
      </w:r>
    </w:p>
  </w:footnote>
  <w:footnote w:id="14">
    <w:p w14:paraId="776EC703" w14:textId="77777777" w:rsidR="00564A38" w:rsidRDefault="00564A38" w:rsidP="00564A38">
      <w:pPr>
        <w:pStyle w:val="FootnoteText"/>
      </w:pPr>
      <w:r>
        <w:rPr>
          <w:rStyle w:val="FootnoteReference"/>
        </w:rPr>
        <w:footnoteRef/>
      </w:r>
      <w:r>
        <w:t xml:space="preserve"> In the United States, r 6.1 of the American Bar Association’s</w:t>
      </w:r>
      <w:r>
        <w:rPr>
          <w:i/>
        </w:rPr>
        <w:t xml:space="preserve"> Model Rules of Professional Conduct</w:t>
      </w:r>
      <w:r>
        <w:t xml:space="preserve"> (2004) requires each member of the legal profession to provide at least 50 hours of ‘pro bono publico’ legal services per year, a substantial amount of which should be provided without cost. In addition, among other things, the rule requires lawyers to participate in activities for improving the law, the legal system or the legal profession.</w:t>
      </w:r>
    </w:p>
  </w:footnote>
  <w:footnote w:id="15">
    <w:p w14:paraId="6FD5AB55" w14:textId="77777777" w:rsidR="00564A38" w:rsidRDefault="00564A38" w:rsidP="00564A38">
      <w:pPr>
        <w:pStyle w:val="FootnoteText"/>
      </w:pPr>
      <w:r>
        <w:rPr>
          <w:rStyle w:val="FootnoteReference"/>
        </w:rPr>
        <w:footnoteRef/>
      </w:r>
      <w:r>
        <w:t xml:space="preserve"> Rhode, above n 71, 372.</w:t>
      </w:r>
    </w:p>
  </w:footnote>
  <w:footnote w:id="16">
    <w:p w14:paraId="731AD5C9" w14:textId="77777777" w:rsidR="00564A38" w:rsidRDefault="00564A38" w:rsidP="00564A38">
      <w:pPr>
        <w:pStyle w:val="FootnoteText"/>
      </w:pPr>
      <w:r>
        <w:rPr>
          <w:rStyle w:val="FootnoteReference"/>
        </w:rPr>
        <w:footnoteRef/>
      </w:r>
      <w:r>
        <w:t xml:space="preserve"> Deborah L Rhode, Kevin Eaton and Anna Porto, ‘Access to Justice Through Limited Legal Assistance’ (2018) 16 </w:t>
      </w:r>
      <w:r>
        <w:rPr>
          <w:i/>
        </w:rPr>
        <w:t>Northwestern University Journal of International Human Rights</w:t>
      </w:r>
      <w:r>
        <w:t xml:space="preserve"> 1, 1.</w:t>
      </w:r>
    </w:p>
  </w:footnote>
  <w:footnote w:id="17">
    <w:p w14:paraId="67886E3D" w14:textId="77777777" w:rsidR="00564A38" w:rsidRDefault="00564A38" w:rsidP="00564A38">
      <w:pPr>
        <w:pStyle w:val="FootnoteText"/>
      </w:pPr>
      <w:r>
        <w:rPr>
          <w:rStyle w:val="FootnoteReference"/>
        </w:rPr>
        <w:footnoteRef/>
      </w:r>
      <w:r>
        <w:t xml:space="preserve"> Ibid 2.</w:t>
      </w:r>
    </w:p>
  </w:footnote>
  <w:footnote w:id="18">
    <w:p w14:paraId="77F9FB7D" w14:textId="77777777" w:rsidR="00564A38" w:rsidRDefault="00564A38" w:rsidP="00564A38">
      <w:pPr>
        <w:pStyle w:val="FootnoteText"/>
      </w:pPr>
      <w:r>
        <w:rPr>
          <w:rStyle w:val="FootnoteReference"/>
        </w:rPr>
        <w:footnoteRef/>
      </w:r>
      <w:r>
        <w:t xml:space="preserve"> Law and Justice Foundation of New South Wales studies, https://www.lawfoundation.net.au/report/background/EDAFEA4BBC46BFFBCA257060007D13E8.html</w:t>
      </w:r>
    </w:p>
  </w:footnote>
  <w:footnote w:id="19">
    <w:p w14:paraId="4C31E8BD" w14:textId="77777777" w:rsidR="00564A38" w:rsidRDefault="00564A38" w:rsidP="00564A38">
      <w:pPr>
        <w:pStyle w:val="FootnoteText"/>
      </w:pPr>
      <w:r>
        <w:rPr>
          <w:rStyle w:val="FootnoteReference"/>
        </w:rPr>
        <w:footnoteRef/>
      </w:r>
      <w:r>
        <w:t xml:space="preserve"> Law Council of Australia, </w:t>
      </w:r>
      <w:r>
        <w:rPr>
          <w:i/>
        </w:rPr>
        <w:t xml:space="preserve">The Justice Project </w:t>
      </w:r>
      <w:r>
        <w:t>(Final Report, August 2018) https://lawcouncil.au/files/web-pdf/Justice%20Project/Final%20Report/Justice%20Project%20_%20Final%20Report%20in%20full.pdf</w:t>
      </w:r>
    </w:p>
  </w:footnote>
  <w:footnote w:id="20">
    <w:p w14:paraId="31BA7E17" w14:textId="77777777" w:rsidR="00564A38" w:rsidRDefault="00564A38" w:rsidP="00564A38">
      <w:pPr>
        <w:pStyle w:val="FootnoteText"/>
      </w:pPr>
      <w:r>
        <w:rPr>
          <w:rStyle w:val="FootnoteReference"/>
        </w:rPr>
        <w:footnoteRef/>
      </w:r>
      <w:r>
        <w:t xml:space="preserve"> Ibid 7.</w:t>
      </w:r>
    </w:p>
  </w:footnote>
  <w:footnote w:id="21">
    <w:p w14:paraId="5A84139E" w14:textId="77777777" w:rsidR="00564A38" w:rsidRDefault="00564A38" w:rsidP="00564A38">
      <w:pPr>
        <w:pStyle w:val="FootnoteText"/>
      </w:pPr>
      <w:r>
        <w:rPr>
          <w:rStyle w:val="FootnoteReference"/>
        </w:rPr>
        <w:footnoteRef/>
      </w:r>
      <w:r>
        <w:t xml:space="preserve"> Ibid 37.</w:t>
      </w:r>
    </w:p>
  </w:footnote>
  <w:footnote w:id="22">
    <w:p w14:paraId="17F17762" w14:textId="77777777" w:rsidR="00564A38" w:rsidRDefault="00564A38" w:rsidP="00564A38">
      <w:pPr>
        <w:pStyle w:val="FootnoteText"/>
      </w:pPr>
      <w:r>
        <w:rPr>
          <w:rStyle w:val="FootnoteReference"/>
        </w:rPr>
        <w:footnoteRef/>
      </w:r>
      <w:r>
        <w:t xml:space="preserve"> William Shakespeare, </w:t>
      </w:r>
      <w:r>
        <w:rPr>
          <w:i/>
        </w:rPr>
        <w:t>Henry VI, Part 2</w:t>
      </w:r>
      <w:r>
        <w:t>, Act IV, scene 2, 73.</w:t>
      </w:r>
    </w:p>
  </w:footnote>
  <w:footnote w:id="23">
    <w:p w14:paraId="257D9C0E" w14:textId="77777777" w:rsidR="00564A38" w:rsidRDefault="00564A38" w:rsidP="00564A38">
      <w:pPr>
        <w:pStyle w:val="FootnoteText"/>
      </w:pPr>
      <w:r>
        <w:rPr>
          <w:rStyle w:val="FootnoteReference"/>
        </w:rPr>
        <w:footnoteRef/>
      </w:r>
      <w:r>
        <w:t xml:space="preserve"> Julian Burnside, ‘Access to Justice’ (Paper presented at the Inaugural Access to Justice and Pro Bono Conference 2006, Melbourne, 10–11 August 2006) https://www.probonocentre.org.au/wp-content/uploads/2015/11/Burnside.pdf</w:t>
      </w:r>
    </w:p>
  </w:footnote>
  <w:footnote w:id="24">
    <w:p w14:paraId="5ED89A6D" w14:textId="77777777" w:rsidR="00564A38" w:rsidRDefault="00564A38" w:rsidP="00564A38">
      <w:pPr>
        <w:pStyle w:val="FootnoteText"/>
      </w:pPr>
      <w:r>
        <w:rPr>
          <w:rStyle w:val="FootnoteReference"/>
        </w:rPr>
        <w:footnoteRef/>
      </w:r>
      <w:r>
        <w:t xml:space="preserve"> Robert Abbey and Andy Boon, ‘The Provision of Free Legal Services by Solicitors: A Review of the Report of the Law Society’s Pro Bono Working Party’ (1995) 2 </w:t>
      </w:r>
      <w:r>
        <w:rPr>
          <w:i/>
        </w:rPr>
        <w:t>International Journal of the Legal Profession</w:t>
      </w:r>
      <w:r>
        <w:t xml:space="preserve"> 261, 277.</w:t>
      </w:r>
    </w:p>
  </w:footnote>
  <w:footnote w:id="25">
    <w:p w14:paraId="36A94388" w14:textId="77777777" w:rsidR="00564A38" w:rsidRDefault="00564A38" w:rsidP="00564A38">
      <w:pPr>
        <w:pStyle w:val="FootnoteText"/>
      </w:pPr>
      <w:r>
        <w:rPr>
          <w:rStyle w:val="FootnoteReference"/>
        </w:rPr>
        <w:footnoteRef/>
      </w:r>
      <w:r>
        <w:t xml:space="preserve"> Rebecca Sharpless, ‘More Than One Lane Wide: Against Hierarchies of Helping in Progressive Legal Advocacy’ (2012) 19 </w:t>
      </w:r>
      <w:r>
        <w:rPr>
          <w:i/>
        </w:rPr>
        <w:t>Clinical Law Review</w:t>
      </w:r>
      <w:r>
        <w:t xml:space="preserve"> 347, 349.</w:t>
      </w:r>
    </w:p>
  </w:footnote>
  <w:footnote w:id="26">
    <w:p w14:paraId="16907C85" w14:textId="77777777" w:rsidR="00564A38" w:rsidRDefault="00564A38" w:rsidP="00564A38">
      <w:pPr>
        <w:pStyle w:val="FootnoteText"/>
      </w:pPr>
      <w:r>
        <w:rPr>
          <w:rStyle w:val="FootnoteReference"/>
        </w:rPr>
        <w:footnoteRef/>
      </w:r>
      <w:r>
        <w:t xml:space="preserve"> Gillian K Hadfield, ‘The Cost of Law: Promoting Access to Justice Through the (Un)Corporate Practice of Law’ (2014) 38 </w:t>
      </w:r>
      <w:r>
        <w:rPr>
          <w:i/>
        </w:rPr>
        <w:t>International Review of Law and Economics</w:t>
      </w:r>
      <w:r>
        <w:t xml:space="preserve"> 43, 61.</w:t>
      </w:r>
    </w:p>
  </w:footnote>
  <w:footnote w:id="27">
    <w:p w14:paraId="4005B210" w14:textId="77777777" w:rsidR="00564A38" w:rsidRDefault="00564A38" w:rsidP="00564A38">
      <w:pPr>
        <w:pStyle w:val="FootnoteText"/>
      </w:pPr>
      <w:r>
        <w:rPr>
          <w:rStyle w:val="FootnoteReference"/>
        </w:rPr>
        <w:footnoteRef/>
      </w:r>
      <w:r>
        <w:t xml:space="preserve"> Lisa H Nicholson, ‘Access to Justice Requires Access to Attorneys: Restrictions on the Practice of Law Serve a Societal Purpose’ (2013) 82 </w:t>
      </w:r>
      <w:r>
        <w:rPr>
          <w:i/>
        </w:rPr>
        <w:t>Fordham Law Review</w:t>
      </w:r>
      <w:r>
        <w:t xml:space="preserve"> 2761.</w:t>
      </w:r>
    </w:p>
  </w:footnote>
  <w:footnote w:id="28">
    <w:p w14:paraId="358CEF0C" w14:textId="77777777" w:rsidR="00564A38" w:rsidRDefault="00564A38" w:rsidP="00564A38">
      <w:pPr>
        <w:pStyle w:val="FootnoteText"/>
      </w:pPr>
      <w:r>
        <w:rPr>
          <w:rStyle w:val="FootnoteReference"/>
        </w:rPr>
        <w:footnoteRef/>
      </w:r>
      <w:r>
        <w:t xml:space="preserve"> Helen Respass, ‘Bridging the Access to Justice Gap with Legal Pro Bono’, </w:t>
      </w:r>
      <w:r>
        <w:rPr>
          <w:i/>
        </w:rPr>
        <w:t xml:space="preserve">Thomas Reuters </w:t>
      </w:r>
      <w:r>
        <w:t>(19 October 2022) https://www.thomsonreuters.com/en-us/posts/our-purpose/bridging-the-access-to-justice-gap-with-legal-pro-bono</w:t>
      </w:r>
    </w:p>
  </w:footnote>
  <w:footnote w:id="29">
    <w:p w14:paraId="7ABB7406" w14:textId="77777777" w:rsidR="00564A38" w:rsidRDefault="00564A38" w:rsidP="00564A38">
      <w:pPr>
        <w:pStyle w:val="FootnoteText"/>
      </w:pPr>
      <w:r>
        <w:rPr>
          <w:rStyle w:val="FootnoteReference"/>
        </w:rPr>
        <w:footnoteRef/>
      </w:r>
      <w:r>
        <w:t xml:space="preserve"> Law Council of Australia, Submission No 96 to the Productivity Commission, Inquiry into Access to Justice Arrangements (13 November 2013) 27–28, citing Justice Ronald Sackville, ‘Access to Justice: Assumptions and Reality Checks’ (Keynote address to the Law and Justice Foundation of New South Wales, Access to Justice Workshop, Parliament of New South Wales, 10 July 2002).</w:t>
      </w:r>
    </w:p>
  </w:footnote>
  <w:footnote w:id="30">
    <w:p w14:paraId="045F1420" w14:textId="77777777" w:rsidR="00564A38" w:rsidRDefault="00564A38" w:rsidP="00564A38">
      <w:pPr>
        <w:pStyle w:val="FootnoteText"/>
      </w:pPr>
      <w:r>
        <w:rPr>
          <w:rStyle w:val="FootnoteReference"/>
        </w:rPr>
        <w:footnoteRef/>
      </w:r>
      <w:r>
        <w:t xml:space="preserve"> The Justice Project, above n 84, 48.</w:t>
      </w:r>
    </w:p>
  </w:footnote>
  <w:footnote w:id="31">
    <w:p w14:paraId="4E93D289" w14:textId="77777777" w:rsidR="00564A38" w:rsidRDefault="00564A38" w:rsidP="00564A38">
      <w:pPr>
        <w:pStyle w:val="FootnoteText"/>
      </w:pPr>
      <w:r>
        <w:rPr>
          <w:rStyle w:val="FootnoteReference"/>
        </w:rPr>
        <w:footnoteRef/>
      </w:r>
      <w:r>
        <w:t xml:space="preserve"> Simon Rice, ‘Access to a Lawyer in Rural Australia: Thoughts on the Evidence we Need’ (2011) 16(1) </w:t>
      </w:r>
      <w:r>
        <w:rPr>
          <w:i/>
        </w:rPr>
        <w:t>Deakin Law Review</w:t>
      </w:r>
      <w:r>
        <w:t xml:space="preserve"> 13, 17–18.</w:t>
      </w:r>
    </w:p>
  </w:footnote>
  <w:footnote w:id="32">
    <w:p w14:paraId="1800B37B" w14:textId="77777777" w:rsidR="00564A38" w:rsidRDefault="00564A38" w:rsidP="00564A38">
      <w:pPr>
        <w:pStyle w:val="FootnoteText"/>
      </w:pPr>
      <w:r>
        <w:rPr>
          <w:rStyle w:val="FootnoteReference"/>
        </w:rPr>
        <w:footnoteRef/>
      </w:r>
      <w:r>
        <w:t xml:space="preserve"> Louis Schetzer, Joanna Mullins and Roberto Buonamano, ‘Understanding Access to Justice and Legal Needs: Background Paper’, </w:t>
      </w:r>
      <w:r>
        <w:rPr>
          <w:i/>
        </w:rPr>
        <w:t>Law and Justice Foundation of New South Wales</w:t>
      </w:r>
      <w:r>
        <w:t xml:space="preserve"> (August 2002) https://www.lawfoundation.net.au/report/background/1906CB985474B16DCA257060007D1405.html</w:t>
      </w:r>
    </w:p>
  </w:footnote>
  <w:footnote w:id="33">
    <w:p w14:paraId="6DF223C3" w14:textId="77777777" w:rsidR="00564A38" w:rsidRDefault="00564A38" w:rsidP="00564A38">
      <w:pPr>
        <w:pStyle w:val="FootnoteText"/>
      </w:pPr>
      <w:r>
        <w:rPr>
          <w:rStyle w:val="FootnoteReference"/>
        </w:rPr>
        <w:footnoteRef/>
      </w:r>
      <w:r>
        <w:t xml:space="preserve"> Access to Justice Advisory Committee, </w:t>
      </w:r>
      <w:r>
        <w:rPr>
          <w:i/>
        </w:rPr>
        <w:t>Access to Justice: An Action Plan</w:t>
      </w:r>
      <w:r>
        <w:t xml:space="preserve"> (AGPS, 1994) (‘Sackville Report’), cited in Schetzer, Mullins and Buonamano, ibid, 7.</w:t>
      </w:r>
    </w:p>
  </w:footnote>
  <w:footnote w:id="34">
    <w:p w14:paraId="7D52E4E0" w14:textId="77777777" w:rsidR="00564A38" w:rsidRDefault="00564A38" w:rsidP="00564A38">
      <w:pPr>
        <w:pStyle w:val="FootnoteText"/>
      </w:pPr>
      <w:r>
        <w:rPr>
          <w:rStyle w:val="FootnoteReference"/>
        </w:rPr>
        <w:footnoteRef/>
      </w:r>
      <w:r>
        <w:t xml:space="preserve"> Schetzer, Mullins and Buonamano, </w:t>
      </w:r>
      <w:r>
        <w:rPr>
          <w:i/>
        </w:rPr>
        <w:t>Access to Justice &amp; Legal Needs</w:t>
      </w:r>
      <w:r>
        <w:t xml:space="preserve"> (Background Paper, Law and Justice Foundation of NSW) 65.</w:t>
      </w:r>
    </w:p>
  </w:footnote>
  <w:footnote w:id="35">
    <w:p w14:paraId="70235B16" w14:textId="77777777" w:rsidR="00564A38" w:rsidRDefault="00564A38" w:rsidP="00564A38">
      <w:pPr>
        <w:pStyle w:val="FootnoteText"/>
      </w:pPr>
      <w:r>
        <w:rPr>
          <w:rStyle w:val="FootnoteReference"/>
        </w:rPr>
        <w:footnoteRef/>
      </w:r>
      <w:r>
        <w:t xml:space="preserve"> Ibid 11.</w:t>
      </w:r>
    </w:p>
  </w:footnote>
  <w:footnote w:id="36">
    <w:p w14:paraId="176A429F" w14:textId="77777777" w:rsidR="00564A38" w:rsidRDefault="00564A38" w:rsidP="00564A38">
      <w:pPr>
        <w:pStyle w:val="FootnoteText"/>
      </w:pPr>
      <w:r>
        <w:rPr>
          <w:rStyle w:val="FootnoteReference"/>
        </w:rPr>
        <w:footnoteRef/>
      </w:r>
      <w:r>
        <w:t xml:space="preserve"> Sabrineh Ardalan, ‘Access to Justice for Asylum Seekers: Developing an Effective Model of Holistic Representation’ (2015) 48(4) </w:t>
      </w:r>
      <w:r>
        <w:rPr>
          <w:i/>
        </w:rPr>
        <w:t>University of Michigan Journal of Law</w:t>
      </w:r>
      <w:r>
        <w:t xml:space="preserve"> 1001.</w:t>
      </w:r>
      <w:r>
        <w:rPr>
          <w:b/>
        </w:rPr>
        <w:t xml:space="preserve"> </w:t>
      </w:r>
    </w:p>
  </w:footnote>
  <w:footnote w:id="37">
    <w:p w14:paraId="628A8954" w14:textId="77777777" w:rsidR="00564A38" w:rsidRDefault="00564A38" w:rsidP="00564A38">
      <w:pPr>
        <w:pStyle w:val="FootnoteText"/>
      </w:pPr>
      <w:r>
        <w:rPr>
          <w:rStyle w:val="FootnoteReference"/>
        </w:rPr>
        <w:footnoteRef/>
      </w:r>
      <w:r>
        <w:t xml:space="preserve"> Law Council of Australia, ‘Inquiry into Access to Justice’ (Submission to the Senate Standing Committee on Legal and Constitutional Affairs Inquiry into Access to Justice, 30 April 2009) 6.</w:t>
      </w:r>
    </w:p>
  </w:footnote>
  <w:footnote w:id="38">
    <w:p w14:paraId="77C344DD" w14:textId="77777777" w:rsidR="00564A38" w:rsidRDefault="00564A38" w:rsidP="00564A38">
      <w:pPr>
        <w:pStyle w:val="FootnoteText"/>
      </w:pPr>
      <w:r>
        <w:rPr>
          <w:rStyle w:val="FootnoteReference"/>
        </w:rPr>
        <w:footnoteRef/>
      </w:r>
      <w:r>
        <w:t xml:space="preserve"> For example, s 31.20(3) of the </w:t>
      </w:r>
      <w:r>
        <w:rPr>
          <w:i/>
        </w:rPr>
        <w:t>Uniform Civil Procedure Rules 2005</w:t>
      </w:r>
      <w:r>
        <w:t xml:space="preserve"> (NSW).</w:t>
      </w:r>
    </w:p>
  </w:footnote>
  <w:footnote w:id="39">
    <w:p w14:paraId="1935BAF6" w14:textId="77777777" w:rsidR="00564A38" w:rsidRDefault="00564A38" w:rsidP="00564A38">
      <w:pPr>
        <w:pStyle w:val="FootnoteText"/>
      </w:pPr>
      <w:r>
        <w:rPr>
          <w:rStyle w:val="FootnoteReference"/>
        </w:rPr>
        <w:footnoteRef/>
      </w:r>
      <w:r>
        <w:t xml:space="preserve"> </w:t>
      </w:r>
      <w:r>
        <w:rPr>
          <w:i/>
        </w:rPr>
        <w:t>Civil Procedure Act 2005</w:t>
      </w:r>
      <w:r>
        <w:t xml:space="preserve"> (NSW) s 60.</w:t>
      </w:r>
    </w:p>
  </w:footnote>
  <w:footnote w:id="40">
    <w:p w14:paraId="3D523FC4" w14:textId="77777777" w:rsidR="00564A38" w:rsidRDefault="00564A38" w:rsidP="00564A38">
      <w:pPr>
        <w:pStyle w:val="FootnoteText"/>
      </w:pPr>
      <w:r>
        <w:rPr>
          <w:rStyle w:val="FootnoteReference"/>
        </w:rPr>
        <w:footnoteRef/>
      </w:r>
      <w:r>
        <w:t xml:space="preserve"> Richard Susskind, </w:t>
      </w:r>
      <w:r>
        <w:rPr>
          <w:i/>
        </w:rPr>
        <w:t>Tomorrow’s Lawyers: An Introduction to Your Future</w:t>
      </w:r>
      <w:r>
        <w:t xml:space="preserve"> (Oxford University Press, 2013) 5.</w:t>
      </w:r>
    </w:p>
  </w:footnote>
  <w:footnote w:id="41">
    <w:p w14:paraId="17651839" w14:textId="77777777" w:rsidR="00564A38" w:rsidRDefault="00564A38" w:rsidP="00564A38">
      <w:pPr>
        <w:pStyle w:val="FootnoteText"/>
      </w:pPr>
      <w:r>
        <w:rPr>
          <w:rStyle w:val="FootnoteReference"/>
        </w:rPr>
        <w:footnoteRef/>
      </w:r>
      <w:r>
        <w:t xml:space="preserve"> Ibid 4. See Chapter 3, Truth and Honesty, for a discussion of billing practices.</w:t>
      </w:r>
    </w:p>
  </w:footnote>
  <w:footnote w:id="42">
    <w:p w14:paraId="1C5F0A44" w14:textId="77777777" w:rsidR="00564A38" w:rsidRDefault="00564A38" w:rsidP="00564A38">
      <w:pPr>
        <w:pStyle w:val="FootnoteText"/>
      </w:pPr>
      <w:r>
        <w:rPr>
          <w:rStyle w:val="FootnoteReference"/>
        </w:rPr>
        <w:footnoteRef/>
      </w:r>
      <w:r>
        <w:t xml:space="preserve"> Gillian K Hadfield, ‘The Price of Law: How the Market for Lawyers Distorts the Justice System’ (1999) 157 </w:t>
      </w:r>
      <w:r>
        <w:rPr>
          <w:i/>
        </w:rPr>
        <w:t>Columbia Law School Working Papers</w:t>
      </w:r>
      <w:r>
        <w:t xml:space="preserve"> 3, 3.</w:t>
      </w:r>
    </w:p>
  </w:footnote>
  <w:footnote w:id="43">
    <w:p w14:paraId="05199817" w14:textId="77777777" w:rsidR="00564A38" w:rsidRDefault="00564A38" w:rsidP="00564A38">
      <w:pPr>
        <w:pStyle w:val="FootnoteText"/>
      </w:pPr>
      <w:r>
        <w:rPr>
          <w:rStyle w:val="FootnoteReference"/>
        </w:rPr>
        <w:footnoteRef/>
      </w:r>
      <w:r>
        <w:t xml:space="preserve"> Mukhammad Ali Turdialiev, ‘Legal Frameworks in the Era of Social Diversity: Advancing Sustainable Justice Through Cultural Competency and Accessibility’ In </w:t>
      </w:r>
      <w:r>
        <w:rPr>
          <w:i/>
        </w:rPr>
        <w:t>1st International Conference on Social Environment Diversity (ICOSEND 2024)</w:t>
      </w:r>
      <w:r>
        <w:t xml:space="preserve"> (Atlantis Press, 2025) 770–780.</w:t>
      </w:r>
    </w:p>
  </w:footnote>
  <w:footnote w:id="44">
    <w:p w14:paraId="41EC6579" w14:textId="77777777" w:rsidR="00564A38" w:rsidRDefault="00564A38" w:rsidP="00564A38">
      <w:pPr>
        <w:pStyle w:val="FootnoteText"/>
      </w:pPr>
      <w:r>
        <w:rPr>
          <w:rStyle w:val="FootnoteReference"/>
        </w:rPr>
        <w:footnoteRef/>
      </w:r>
      <w:r>
        <w:t xml:space="preserve"> The Justice Project, above n 84, 23.</w:t>
      </w:r>
    </w:p>
  </w:footnote>
  <w:footnote w:id="45">
    <w:p w14:paraId="24FDB8DD" w14:textId="77777777" w:rsidR="00564A38" w:rsidRDefault="00564A38" w:rsidP="00564A38">
      <w:pPr>
        <w:pStyle w:val="FootnoteText"/>
      </w:pPr>
      <w:r>
        <w:rPr>
          <w:rStyle w:val="FootnoteReference"/>
        </w:rPr>
        <w:footnoteRef/>
      </w:r>
      <w:r>
        <w:t xml:space="preserve"> Samantha Dunn, ‘Court Interpreters Need Support to Improve Access to Justice for Non-English Speakers’, </w:t>
      </w:r>
      <w:r>
        <w:rPr>
          <w:i/>
        </w:rPr>
        <w:t>UNSW Sydney Newsroom</w:t>
      </w:r>
      <w:r>
        <w:t xml:space="preserve"> (22 August 2023) https://www.unsw.edu.au/newsroom/news/2023/08/court-interpreters-need-support-to-improve-access-to-justice-for#:~:text=A%20lack%20of%20certified%20interpreters%20and%20understanding%20of,on%20the%2022%20Aug%202023%20by%20Samantha%20Dunn</w:t>
      </w:r>
    </w:p>
  </w:footnote>
  <w:footnote w:id="46">
    <w:p w14:paraId="34A9AAF6" w14:textId="77777777" w:rsidR="00564A38" w:rsidRDefault="00564A38" w:rsidP="00564A38">
      <w:pPr>
        <w:pStyle w:val="FootnoteText"/>
      </w:pPr>
      <w:r>
        <w:rPr>
          <w:rStyle w:val="FootnoteReference"/>
        </w:rPr>
        <w:footnoteRef/>
      </w:r>
      <w:r>
        <w:t xml:space="preserve"> Ruth McCausland and Eileen Baldry, ‘Who Does Australia Lock Up?: The Social Determinants of Justice’ (2023) 12(3) </w:t>
      </w:r>
      <w:r>
        <w:rPr>
          <w:i/>
        </w:rPr>
        <w:t>International Journal for Crime, Justice and Social Democracy</w:t>
      </w:r>
      <w:r>
        <w:t xml:space="preserve"> 37–53.</w:t>
      </w:r>
    </w:p>
  </w:footnote>
  <w:footnote w:id="47">
    <w:p w14:paraId="6C106D71" w14:textId="77777777" w:rsidR="00564A38" w:rsidRDefault="00564A38" w:rsidP="00564A38">
      <w:pPr>
        <w:pStyle w:val="FootnoteText"/>
      </w:pPr>
      <w:r>
        <w:rPr>
          <w:rStyle w:val="FootnoteReference"/>
        </w:rPr>
        <w:footnoteRef/>
      </w:r>
      <w:r>
        <w:t xml:space="preserve"> Law Council of Australia, above n 102, 25.</w:t>
      </w:r>
    </w:p>
  </w:footnote>
  <w:footnote w:id="48">
    <w:p w14:paraId="4D436C3B" w14:textId="77777777" w:rsidR="00564A38" w:rsidRDefault="00564A38" w:rsidP="00564A38">
      <w:pPr>
        <w:pStyle w:val="FootnoteText"/>
      </w:pPr>
      <w:r>
        <w:rPr>
          <w:rStyle w:val="FootnoteReference"/>
        </w:rPr>
        <w:footnoteRef/>
      </w:r>
      <w:r>
        <w:t xml:space="preserve"> See further the discussion of cultural competence in the section on relational competence in Chapter 7.</w:t>
      </w:r>
    </w:p>
  </w:footnote>
  <w:footnote w:id="49">
    <w:p w14:paraId="2E9BE7BB" w14:textId="77777777" w:rsidR="00564A38" w:rsidRDefault="00564A38" w:rsidP="00564A38">
      <w:pPr>
        <w:pStyle w:val="FootnoteText"/>
      </w:pPr>
      <w:r>
        <w:rPr>
          <w:rStyle w:val="FootnoteReference"/>
        </w:rPr>
        <w:footnoteRef/>
      </w:r>
      <w:r>
        <w:t xml:space="preserve"> The Justice Project, above n 84, 21.</w:t>
      </w:r>
    </w:p>
  </w:footnote>
  <w:footnote w:id="50">
    <w:p w14:paraId="2E15B1AC" w14:textId="77777777" w:rsidR="00564A38" w:rsidRDefault="00564A38" w:rsidP="00564A38">
      <w:pPr>
        <w:pStyle w:val="FootnoteText"/>
      </w:pPr>
      <w:r>
        <w:rPr>
          <w:rStyle w:val="FootnoteReference"/>
        </w:rPr>
        <w:footnoteRef/>
      </w:r>
      <w:r>
        <w:t xml:space="preserve"> Australian Government Department of Education and Training, </w:t>
      </w:r>
      <w:r>
        <w:rPr>
          <w:i/>
        </w:rPr>
        <w:t>Indigenous Cultural Competency for Legal Academics Program</w:t>
      </w:r>
      <w:r>
        <w:t xml:space="preserve"> (Final Report, 2019) https://ltr.edu.au/resources/ID14-3906_Burns_FinalReport_2019.pdf</w:t>
      </w:r>
    </w:p>
  </w:footnote>
  <w:footnote w:id="51">
    <w:p w14:paraId="114DEAEE" w14:textId="77777777" w:rsidR="00564A38" w:rsidRDefault="00564A38" w:rsidP="00564A38">
      <w:pPr>
        <w:pStyle w:val="FootnoteText"/>
      </w:pPr>
      <w:r>
        <w:rPr>
          <w:rStyle w:val="FootnoteReference"/>
        </w:rPr>
        <w:footnoteRef/>
      </w:r>
      <w:r>
        <w:t xml:space="preserve"> Ibid 23.</w:t>
      </w:r>
    </w:p>
  </w:footnote>
  <w:footnote w:id="52">
    <w:p w14:paraId="753A5EF6" w14:textId="77777777" w:rsidR="00564A38" w:rsidRDefault="00564A38" w:rsidP="00564A38">
      <w:pPr>
        <w:pStyle w:val="FootnoteText"/>
      </w:pPr>
      <w:r>
        <w:rPr>
          <w:rStyle w:val="FootnoteReference"/>
        </w:rPr>
        <w:footnoteRef/>
      </w:r>
      <w:r>
        <w:t xml:space="preserve"> Louise FitzRoy, ‘Regional Lawyer Shortage Could Jeopardise Access to Justice Says Law Council’, </w:t>
      </w:r>
      <w:r>
        <w:rPr>
          <w:i/>
        </w:rPr>
        <w:t>ABC News</w:t>
      </w:r>
      <w:r>
        <w:t xml:space="preserve"> (5 November 2015) https://www.abc.net.au/news/rural/2015-11-05/rural-and-regional-lawyer-shortage-threatens-access-to-justice/6915136</w:t>
      </w:r>
    </w:p>
  </w:footnote>
  <w:footnote w:id="53">
    <w:p w14:paraId="5B59ED8A" w14:textId="77777777" w:rsidR="00564A38" w:rsidRDefault="00564A38" w:rsidP="00564A38">
      <w:pPr>
        <w:pStyle w:val="FootnoteText"/>
      </w:pPr>
      <w:r>
        <w:rPr>
          <w:rStyle w:val="FootnoteReference"/>
        </w:rPr>
        <w:footnoteRef/>
      </w:r>
      <w:r>
        <w:t xml:space="preserve"> Law Council of Australia, ‘Financial Incentives to Bring Lawyers to the Bush’ (13 December 2023) https://lawcouncil.au/media/media-releases/financial-incentives-to-bring-lawyers-to-the-bush</w:t>
      </w:r>
    </w:p>
  </w:footnote>
  <w:footnote w:id="54">
    <w:p w14:paraId="23FAAFCF" w14:textId="77777777" w:rsidR="00564A38" w:rsidRDefault="00564A38" w:rsidP="00564A38">
      <w:pPr>
        <w:pStyle w:val="FootnoteText"/>
      </w:pPr>
      <w:r>
        <w:rPr>
          <w:rStyle w:val="FootnoteReference"/>
        </w:rPr>
        <w:footnoteRef/>
      </w:r>
      <w:r>
        <w:t xml:space="preserve"> Urbis, </w:t>
      </w:r>
      <w:r>
        <w:rPr>
          <w:i/>
        </w:rPr>
        <w:t>2024 National Profile of Solicitors</w:t>
      </w:r>
      <w:r>
        <w:t xml:space="preserve"> (13 June 2025) 3</w:t>
      </w:r>
    </w:p>
  </w:footnote>
  <w:footnote w:id="55">
    <w:p w14:paraId="63376885" w14:textId="77777777" w:rsidR="00564A38" w:rsidRDefault="00564A38" w:rsidP="00564A38">
      <w:pPr>
        <w:pStyle w:val="FootnoteText"/>
      </w:pPr>
      <w:r>
        <w:rPr>
          <w:rStyle w:val="FootnoteReference"/>
        </w:rPr>
        <w:footnoteRef/>
      </w:r>
      <w:r>
        <w:t xml:space="preserve"> TNS Social Science Research, </w:t>
      </w:r>
      <w:r>
        <w:rPr>
          <w:i/>
        </w:rPr>
        <w:t>Study of the Participation of Private Legal Profession Practitioners in the Provision of Legal Aid Services in Australia</w:t>
      </w:r>
      <w:r>
        <w:t xml:space="preserve"> (December 2006) 38, cited in Law Council of Australia, above n 102, 7.</w:t>
      </w:r>
    </w:p>
  </w:footnote>
  <w:footnote w:id="56">
    <w:p w14:paraId="5FB1ABBA" w14:textId="77777777" w:rsidR="00564A38" w:rsidRDefault="00564A38" w:rsidP="00564A38">
      <w:pPr>
        <w:pStyle w:val="FootnoteText"/>
      </w:pPr>
      <w:r>
        <w:rPr>
          <w:rStyle w:val="FootnoteReference"/>
        </w:rPr>
        <w:footnoteRef/>
      </w:r>
      <w:r>
        <w:t xml:space="preserve"> Trish Mundy, </w:t>
      </w:r>
      <w:r>
        <w:rPr>
          <w:i/>
        </w:rPr>
        <w:t>Recruitment and Retention of Lawyers in Rural, Regional and Remote NSW: A Literature Review</w:t>
      </w:r>
      <w:r>
        <w:t xml:space="preserve"> (Northern Rivers Community Legal Centre, July 2008) 9. See also Morry Bailes, President, Law Council of Australia, ‘Access to Justice in RRR Australia’ (Speech delivered at the Symposium of Constitutional Law, Malaysia, 20 January 2018) https://lawcouncil.au/publicassets/eb72ea82-48fb-e711-93fb-005056be13b5/Access%20to%20justice%20in%20RRR%20Australia.pdf. See also Tamara Walsh, '“This Could Be Me”: Law Students’ Experiences of a Rural, Regional, Remote (RRR) Clinical Program’ (2025) 35(1) </w:t>
      </w:r>
      <w:r>
        <w:rPr>
          <w:i/>
        </w:rPr>
        <w:t>Legal Education Review</w:t>
      </w:r>
      <w:r>
        <w:t xml:space="preserve"> 75–91.</w:t>
      </w:r>
      <w:r>
        <w:rPr>
          <w:b/>
        </w:rPr>
        <w:t xml:space="preserve"> </w:t>
      </w:r>
    </w:p>
  </w:footnote>
  <w:footnote w:id="57">
    <w:p w14:paraId="3E15F09D" w14:textId="77777777" w:rsidR="00564A38" w:rsidRDefault="00564A38" w:rsidP="00564A38">
      <w:pPr>
        <w:pStyle w:val="FootnoteText"/>
      </w:pPr>
      <w:r>
        <w:rPr>
          <w:rStyle w:val="FootnoteReference"/>
        </w:rPr>
        <w:footnoteRef/>
      </w:r>
      <w:r>
        <w:t xml:space="preserve"> The Justice Project, above n 84, 29.</w:t>
      </w:r>
    </w:p>
  </w:footnote>
  <w:footnote w:id="58">
    <w:p w14:paraId="6ABC7C0B" w14:textId="77777777" w:rsidR="00564A38" w:rsidRDefault="00564A38" w:rsidP="00564A38">
      <w:pPr>
        <w:pStyle w:val="FootnoteText"/>
      </w:pPr>
      <w:r>
        <w:rPr>
          <w:rStyle w:val="FootnoteReference"/>
        </w:rPr>
        <w:footnoteRef/>
      </w:r>
      <w:r>
        <w:t xml:space="preserve"> Ibid.</w:t>
      </w:r>
    </w:p>
  </w:footnote>
  <w:footnote w:id="59">
    <w:p w14:paraId="5BEF9700" w14:textId="77777777" w:rsidR="00564A38" w:rsidRDefault="00564A38" w:rsidP="00564A38">
      <w:pPr>
        <w:pStyle w:val="FootnoteText"/>
      </w:pPr>
      <w:r>
        <w:rPr>
          <w:rStyle w:val="FootnoteReference"/>
        </w:rPr>
        <w:footnoteRef/>
      </w:r>
      <w:r>
        <w:t xml:space="preserve"> A Kennedy </w:t>
      </w:r>
      <w:r>
        <w:rPr>
          <w:i/>
        </w:rPr>
        <w:t>et al</w:t>
      </w:r>
      <w:r>
        <w:t xml:space="preserve">., </w:t>
      </w:r>
      <w:r>
        <w:rPr>
          <w:i/>
        </w:rPr>
        <w:t>Rethinking Law Curriculum: Developing Strategies to Prepare Law Graduates for Practice in Rural and Regional Australia</w:t>
      </w:r>
      <w:r>
        <w:t xml:space="preserve"> (Office of Teaching and Learning, 2011).</w:t>
      </w:r>
    </w:p>
  </w:footnote>
  <w:footnote w:id="60">
    <w:p w14:paraId="1180AF26" w14:textId="77777777" w:rsidR="00564A38" w:rsidRDefault="00564A38" w:rsidP="00564A38">
      <w:pPr>
        <w:pStyle w:val="FootnoteText"/>
      </w:pPr>
      <w:r>
        <w:rPr>
          <w:rStyle w:val="FootnoteReference"/>
        </w:rPr>
        <w:footnoteRef/>
      </w:r>
      <w:r>
        <w:t xml:space="preserve"> A Kennedy </w:t>
      </w:r>
      <w:r>
        <w:rPr>
          <w:i/>
        </w:rPr>
        <w:t>et al</w:t>
      </w:r>
      <w:r>
        <w:t xml:space="preserve">., ‘Educating Law Students for Rural and Regional Practice: Embedding Place Based Perspectives in Law Curricula’ (2014) 24(1) </w:t>
      </w:r>
      <w:r>
        <w:rPr>
          <w:i/>
        </w:rPr>
        <w:t>Legal Education Review</w:t>
      </w:r>
      <w:r>
        <w:t xml:space="preserve"> 6, 8, referring to ibid.</w:t>
      </w:r>
      <w:r>
        <w:rPr>
          <w:b/>
        </w:rPr>
        <w:t> </w:t>
      </w:r>
    </w:p>
  </w:footnote>
  <w:footnote w:id="61">
    <w:p w14:paraId="10CBF79C" w14:textId="77777777" w:rsidR="00564A38" w:rsidRDefault="00564A38" w:rsidP="00564A38">
      <w:pPr>
        <w:pStyle w:val="FootnoteText"/>
      </w:pPr>
      <w:r>
        <w:rPr>
          <w:rStyle w:val="FootnoteReference"/>
        </w:rPr>
        <w:footnoteRef/>
      </w:r>
      <w:r>
        <w:t xml:space="preserve"> Ibid 18.</w:t>
      </w:r>
    </w:p>
  </w:footnote>
  <w:footnote w:id="62">
    <w:p w14:paraId="7BE6D4FD" w14:textId="77777777" w:rsidR="00564A38" w:rsidRDefault="00564A38" w:rsidP="00564A38">
      <w:pPr>
        <w:pStyle w:val="FootnoteText"/>
      </w:pPr>
      <w:r>
        <w:rPr>
          <w:rStyle w:val="FootnoteReference"/>
        </w:rPr>
        <w:footnoteRef/>
      </w:r>
      <w:r>
        <w:t xml:space="preserve"> See also Albiston, Cummings and Abel, above n 15, 223.</w:t>
      </w:r>
    </w:p>
  </w:footnote>
  <w:footnote w:id="63">
    <w:p w14:paraId="6185EC63" w14:textId="77777777" w:rsidR="00564A38" w:rsidRDefault="00564A38" w:rsidP="00564A38">
      <w:pPr>
        <w:pStyle w:val="FootnoteText"/>
      </w:pPr>
      <w:r>
        <w:rPr>
          <w:rStyle w:val="FootnoteReference"/>
        </w:rPr>
        <w:footnoteRef/>
      </w:r>
      <w:r>
        <w:t xml:space="preserve"> Hazel Genn, ‘What is Civil Justice For? Reform, ADR and Access to Justice’ (2012) 24 </w:t>
      </w:r>
      <w:r>
        <w:rPr>
          <w:i/>
        </w:rPr>
        <w:t>Yale Journal of Law and Humanities</w:t>
      </w:r>
      <w:r>
        <w:t xml:space="preserve"> 397, 397.</w:t>
      </w:r>
    </w:p>
  </w:footnote>
  <w:footnote w:id="64">
    <w:p w14:paraId="69CA832E" w14:textId="77777777" w:rsidR="00564A38" w:rsidRDefault="00564A38" w:rsidP="00564A38">
      <w:pPr>
        <w:pStyle w:val="FootnoteText"/>
      </w:pPr>
      <w:r>
        <w:rPr>
          <w:rStyle w:val="FootnoteReference"/>
        </w:rPr>
        <w:footnoteRef/>
      </w:r>
      <w:r>
        <w:t xml:space="preserve"> Law Council of Australia, above n 94, 11.</w:t>
      </w:r>
    </w:p>
  </w:footnote>
  <w:footnote w:id="65">
    <w:p w14:paraId="19176729" w14:textId="77777777" w:rsidR="00564A38" w:rsidRDefault="00564A38" w:rsidP="00564A38">
      <w:pPr>
        <w:pStyle w:val="FootnoteText"/>
      </w:pPr>
      <w:r>
        <w:rPr>
          <w:rStyle w:val="FootnoteReference"/>
        </w:rPr>
        <w:footnoteRef/>
      </w:r>
      <w:r>
        <w:t xml:space="preserve"> Different tests are applied across the different Australian jurisdictions.</w:t>
      </w:r>
    </w:p>
  </w:footnote>
  <w:footnote w:id="66">
    <w:p w14:paraId="31DD5581" w14:textId="77777777" w:rsidR="00564A38" w:rsidRDefault="00564A38" w:rsidP="00564A38">
      <w:pPr>
        <w:pStyle w:val="FootnoteText"/>
      </w:pPr>
      <w:r>
        <w:rPr>
          <w:rStyle w:val="FootnoteReference"/>
        </w:rPr>
        <w:footnoteRef/>
      </w:r>
      <w:r>
        <w:t xml:space="preserve"> Legal Aid New South Wales, ‘Apply for Legal Aid’, https://www.legalaid.nsw.gov.au/ways-to-get-help/apply-for-legal-aid</w:t>
      </w:r>
    </w:p>
  </w:footnote>
  <w:footnote w:id="67">
    <w:p w14:paraId="132605E4" w14:textId="77777777" w:rsidR="00564A38" w:rsidRDefault="00564A38" w:rsidP="00564A38">
      <w:pPr>
        <w:pStyle w:val="FootnoteText"/>
      </w:pPr>
      <w:r>
        <w:rPr>
          <w:rStyle w:val="FootnoteReference"/>
        </w:rPr>
        <w:footnoteRef/>
      </w:r>
      <w:r>
        <w:t xml:space="preserve"> Burnside, above n 88, 3.</w:t>
      </w:r>
    </w:p>
  </w:footnote>
  <w:footnote w:id="68">
    <w:p w14:paraId="34BCAF01" w14:textId="77777777" w:rsidR="00564A38" w:rsidRDefault="00564A38" w:rsidP="00564A38">
      <w:pPr>
        <w:pStyle w:val="FootnoteText"/>
      </w:pPr>
      <w:r>
        <w:rPr>
          <w:rStyle w:val="FootnoteReference"/>
        </w:rPr>
        <w:footnoteRef/>
      </w:r>
      <w:r>
        <w:t xml:space="preserve"> Ysaiah Ross, </w:t>
      </w:r>
      <w:r>
        <w:rPr>
          <w:i/>
        </w:rPr>
        <w:t>Ethics in Law: Lawyers’ Responsibility and Accountability in Australia</w:t>
      </w:r>
      <w:r>
        <w:t xml:space="preserve"> (LexisNexis Butterworths, 5th ed, 2010) 246.</w:t>
      </w:r>
    </w:p>
  </w:footnote>
  <w:footnote w:id="69">
    <w:p w14:paraId="45929586" w14:textId="77777777" w:rsidR="00564A38" w:rsidRDefault="00564A38" w:rsidP="00564A38">
      <w:pPr>
        <w:pStyle w:val="FootnoteText"/>
      </w:pPr>
      <w:r>
        <w:rPr>
          <w:rStyle w:val="FootnoteReference"/>
        </w:rPr>
        <w:footnoteRef/>
      </w:r>
      <w:r>
        <w:t xml:space="preserve"> [1999] VSC 281.</w:t>
      </w:r>
    </w:p>
  </w:footnote>
  <w:footnote w:id="70">
    <w:p w14:paraId="237F1F8E" w14:textId="77777777" w:rsidR="00564A38" w:rsidRDefault="00564A38" w:rsidP="00564A38">
      <w:pPr>
        <w:pStyle w:val="FootnoteText"/>
      </w:pPr>
      <w:r>
        <w:rPr>
          <w:rStyle w:val="FootnoteReference"/>
        </w:rPr>
        <w:footnoteRef/>
      </w:r>
      <w:r>
        <w:t xml:space="preserve"> Ibid [3]‌.</w:t>
      </w:r>
    </w:p>
  </w:footnote>
  <w:footnote w:id="71">
    <w:p w14:paraId="5EEA5750" w14:textId="77777777" w:rsidR="00564A38" w:rsidRDefault="00564A38" w:rsidP="00564A38">
      <w:pPr>
        <w:pStyle w:val="FootnoteText"/>
      </w:pPr>
      <w:r>
        <w:rPr>
          <w:rStyle w:val="FootnoteReference"/>
        </w:rPr>
        <w:footnoteRef/>
      </w:r>
      <w:r>
        <w:t xml:space="preserve"> Ibid [10].</w:t>
      </w:r>
    </w:p>
  </w:footnote>
  <w:footnote w:id="72">
    <w:p w14:paraId="5F2471E6" w14:textId="77777777" w:rsidR="00564A38" w:rsidRDefault="00564A38" w:rsidP="00564A38">
      <w:pPr>
        <w:pStyle w:val="FootnoteText"/>
      </w:pPr>
      <w:r>
        <w:rPr>
          <w:rStyle w:val="FootnoteReference"/>
        </w:rPr>
        <w:footnoteRef/>
      </w:r>
      <w:r>
        <w:t xml:space="preserve"> Chief Justice Murray Gleeson, ‘The State of the Judicature’ (Paper presented to the Australian Legal Convention, Canberra, 10 October 1999).</w:t>
      </w:r>
    </w:p>
  </w:footnote>
  <w:footnote w:id="73">
    <w:p w14:paraId="14327C98" w14:textId="77777777" w:rsidR="00564A38" w:rsidRDefault="00564A38" w:rsidP="00564A38">
      <w:pPr>
        <w:pStyle w:val="FootnoteText"/>
      </w:pPr>
      <w:r>
        <w:rPr>
          <w:rStyle w:val="FootnoteReference"/>
        </w:rPr>
        <w:footnoteRef/>
      </w:r>
      <w:r>
        <w:t xml:space="preserve"> National Association of Community Legal Centres (NACLC), ‘Community Legal Centres’, https://clcs.org.au/about-us</w:t>
      </w:r>
    </w:p>
  </w:footnote>
  <w:footnote w:id="74">
    <w:p w14:paraId="6FE2863E" w14:textId="77777777" w:rsidR="00564A38" w:rsidRDefault="00564A38" w:rsidP="00564A38">
      <w:pPr>
        <w:pStyle w:val="FootnoteText"/>
      </w:pPr>
      <w:r>
        <w:rPr>
          <w:rStyle w:val="FootnoteReference"/>
        </w:rPr>
        <w:footnoteRef/>
      </w:r>
      <w:r>
        <w:t xml:space="preserve"> Attorney-General’s Department, </w:t>
      </w:r>
      <w:r>
        <w:rPr>
          <w:i/>
        </w:rPr>
        <w:t>Review of the Commonwealth Community Legal Services Program</w:t>
      </w:r>
      <w:r>
        <w:t xml:space="preserve"> (March 2008) ch 7, https://www.aph.gov.au/Parliamentary_Business/Committees/Senate/Legal_and_Constitutional_Affairs/Completed_inquiries/2008-10/access_to_justice/report/c07</w:t>
      </w:r>
    </w:p>
  </w:footnote>
  <w:footnote w:id="75">
    <w:p w14:paraId="6044ED1C" w14:textId="77777777" w:rsidR="00564A38" w:rsidRDefault="00564A38" w:rsidP="00564A38">
      <w:pPr>
        <w:pStyle w:val="FootnoteText"/>
      </w:pPr>
      <w:r>
        <w:rPr>
          <w:rStyle w:val="FootnoteReference"/>
        </w:rPr>
        <w:footnoteRef/>
      </w:r>
      <w:r>
        <w:t xml:space="preserve"> NACLC, above n 138.</w:t>
      </w:r>
    </w:p>
  </w:footnote>
  <w:footnote w:id="76">
    <w:p w14:paraId="4F493D49" w14:textId="77777777" w:rsidR="00564A38" w:rsidRDefault="00564A38" w:rsidP="00564A38">
      <w:pPr>
        <w:pStyle w:val="FootnoteText"/>
      </w:pPr>
      <w:r>
        <w:rPr>
          <w:rStyle w:val="FootnoteReference"/>
        </w:rPr>
        <w:footnoteRef/>
      </w:r>
      <w:r>
        <w:t xml:space="preserve"> Law Council of Australia, above n 94, 25.</w:t>
      </w:r>
    </w:p>
  </w:footnote>
  <w:footnote w:id="77">
    <w:p w14:paraId="47C10BDC" w14:textId="77777777" w:rsidR="00564A38" w:rsidRDefault="00564A38" w:rsidP="00564A38">
      <w:pPr>
        <w:pStyle w:val="FootnoteText"/>
      </w:pPr>
      <w:r>
        <w:rPr>
          <w:rStyle w:val="FootnoteReference"/>
        </w:rPr>
        <w:footnoteRef/>
      </w:r>
      <w:r>
        <w:t xml:space="preserve"> Penny Timms, ‘Legal Aid Matters: Lack of Government Funding “Destroying Lives”, Law Council Says’, </w:t>
      </w:r>
      <w:r>
        <w:rPr>
          <w:i/>
        </w:rPr>
        <w:t>ABC News</w:t>
      </w:r>
      <w:r>
        <w:t xml:space="preserve"> (16 May 2016) http://www.abc.net.au/news/2016-05-16/law-council-of-australia-launches-legal-aid-matters-campaign/7417094</w:t>
      </w:r>
    </w:p>
  </w:footnote>
  <w:footnote w:id="78">
    <w:p w14:paraId="53F0D7CE" w14:textId="77777777" w:rsidR="00564A38" w:rsidRDefault="00564A38" w:rsidP="00564A38">
      <w:pPr>
        <w:pStyle w:val="FootnoteText"/>
      </w:pPr>
      <w:r>
        <w:rPr>
          <w:rStyle w:val="FootnoteReference"/>
        </w:rPr>
        <w:footnoteRef/>
      </w:r>
      <w:r>
        <w:t xml:space="preserve"> Law Council of Australia, </w:t>
      </w:r>
      <w:r>
        <w:rPr>
          <w:i/>
        </w:rPr>
        <w:t>2018–19 Pre-Budget Submission</w:t>
      </w:r>
      <w:r>
        <w:t>, The Treasury (31 January 2018) 8 https://www.lawcouncil.asn.au/docs/c79a9bfe-e306-e811-93fb-005056be13b5/3395%20-%20Pre-Budget%202018-19.pdf</w:t>
      </w:r>
    </w:p>
  </w:footnote>
  <w:footnote w:id="79">
    <w:p w14:paraId="5993CE5B" w14:textId="77777777" w:rsidR="00564A38" w:rsidRDefault="00564A38" w:rsidP="00564A38">
      <w:pPr>
        <w:pStyle w:val="FootnoteText"/>
      </w:pPr>
      <w:r>
        <w:rPr>
          <w:rStyle w:val="FootnoteReference"/>
        </w:rPr>
        <w:footnoteRef/>
      </w:r>
      <w:r>
        <w:t xml:space="preserve"> Commonwealth Government, ‘Budget Increase Provides Funding Certainty for Legal Assistance Services’ (Media Release, 2 April 2019) https://www.attorneygeneral.gov.au/Media/Pages/Budget-increase-provides-funding-certainty-for-legal-assistance-services-2-4-2019.aspx</w:t>
      </w:r>
    </w:p>
  </w:footnote>
  <w:footnote w:id="80">
    <w:p w14:paraId="16604EB4" w14:textId="77777777" w:rsidR="00564A38" w:rsidRDefault="00564A38" w:rsidP="00564A38">
      <w:pPr>
        <w:pStyle w:val="FootnoteText"/>
      </w:pPr>
      <w:r>
        <w:rPr>
          <w:rStyle w:val="FootnoteReference"/>
        </w:rPr>
        <w:footnoteRef/>
      </w:r>
      <w:r>
        <w:t xml:space="preserve"> Law Council of Australia, ‘$20m Funding Increase, Single National Legal Assistance Mechanism Do Little to Address Huge “Justice Deficit”’ (Media Release, 2 April 2019) https://www.lawcouncil.asn.au/media/media-releases/20m-funding-increase-single-national-legal-assistance-mechanism-do-little-to-address-huge-justice-deficit</w:t>
      </w:r>
    </w:p>
  </w:footnote>
  <w:footnote w:id="81">
    <w:p w14:paraId="07B81A79" w14:textId="77777777" w:rsidR="00564A38" w:rsidRDefault="00564A38" w:rsidP="00564A38">
      <w:pPr>
        <w:pStyle w:val="FootnoteText"/>
      </w:pPr>
      <w:r>
        <w:rPr>
          <w:rStyle w:val="FootnoteReference"/>
        </w:rPr>
        <w:footnoteRef/>
      </w:r>
      <w:r>
        <w:t xml:space="preserve"> Ibid.</w:t>
      </w:r>
    </w:p>
  </w:footnote>
  <w:footnote w:id="82">
    <w:p w14:paraId="3CDC4795" w14:textId="77777777" w:rsidR="00564A38" w:rsidRDefault="00564A38" w:rsidP="00564A38">
      <w:pPr>
        <w:pStyle w:val="FootnoteText"/>
      </w:pPr>
      <w:r>
        <w:rPr>
          <w:rStyle w:val="FootnoteReference"/>
        </w:rPr>
        <w:footnoteRef/>
      </w:r>
      <w:r>
        <w:t xml:space="preserve"> The Justice Project, above n 84, 17.</w:t>
      </w:r>
    </w:p>
  </w:footnote>
  <w:footnote w:id="83">
    <w:p w14:paraId="69B2FEBC" w14:textId="77777777" w:rsidR="00564A38" w:rsidRDefault="00564A38" w:rsidP="00564A38">
      <w:pPr>
        <w:pStyle w:val="FootnoteText"/>
      </w:pPr>
      <w:r>
        <w:rPr>
          <w:rStyle w:val="FootnoteReference"/>
        </w:rPr>
        <w:footnoteRef/>
      </w:r>
      <w:r>
        <w:t xml:space="preserve"> Georgia Roberts, ‘Legal Service Funding Can’t Meet Australia’s Needs, Independent Review Finds’, </w:t>
      </w:r>
      <w:r>
        <w:rPr>
          <w:i/>
        </w:rPr>
        <w:t>ABC News Service</w:t>
      </w:r>
      <w:r>
        <w:t xml:space="preserve"> (29 May 2024) https://www.abc.net.au/news/2024-05-29/review-of-legal-services/103903398</w:t>
      </w:r>
    </w:p>
  </w:footnote>
  <w:footnote w:id="84">
    <w:p w14:paraId="12E369D0" w14:textId="77777777" w:rsidR="00564A38" w:rsidRDefault="00564A38" w:rsidP="00564A38">
      <w:pPr>
        <w:pStyle w:val="FootnoteText"/>
      </w:pPr>
      <w:r>
        <w:rPr>
          <w:rStyle w:val="FootnoteReference"/>
        </w:rPr>
        <w:footnoteRef/>
      </w:r>
      <w:r>
        <w:t xml:space="preserve"> Law Council of Australia, ‘Government Funding Needed to Avert Legal Aid Crisis’ (Media Release, 27 February 2025) https://lawcouncil.au/publicassets/657e2f79-41f5-ef11-94b1-005056be13b5/2025%2002%2027%20-%20MR%20-%20Government%20funding%20needed%20to%20avert%20legal%20aid%20crisis.pdf. For discussion of the impact of austerity policies, the COVID-19 pandemic and technological change on the delivery of legal aid in the United Kingdom, see Jessica Mant, Daniel Newman and Emma Cooke, ‘Lived Realities of Legal Aid: Austerity, the Pandemic and Beyond’ (2024) </w:t>
      </w:r>
      <w:r>
        <w:rPr>
          <w:i/>
        </w:rPr>
        <w:t>International Journal of the Legal Profession</w:t>
      </w:r>
      <w:r>
        <w:t xml:space="preserve"> 1–22</w:t>
      </w:r>
    </w:p>
  </w:footnote>
  <w:footnote w:id="85">
    <w:p w14:paraId="395EF92D" w14:textId="77777777" w:rsidR="00564A38" w:rsidRDefault="00564A38" w:rsidP="00564A38">
      <w:pPr>
        <w:pStyle w:val="FootnoteText"/>
      </w:pPr>
      <w:r>
        <w:rPr>
          <w:rStyle w:val="FootnoteReference"/>
        </w:rPr>
        <w:footnoteRef/>
      </w:r>
      <w:r>
        <w:t xml:space="preserve"> Australian Pro Bono Centre, ‘What Is Pro Bono?’, http://probonocentre.org.au/information-on-pro-bono/definition</w:t>
      </w:r>
      <w:r>
        <w:rPr>
          <w:b/>
        </w:rPr>
        <w:t xml:space="preserve"> </w:t>
      </w:r>
    </w:p>
  </w:footnote>
  <w:footnote w:id="86">
    <w:p w14:paraId="0B89F80F" w14:textId="77777777" w:rsidR="00564A38" w:rsidRDefault="00564A38" w:rsidP="00564A38">
      <w:pPr>
        <w:pStyle w:val="FootnoteText"/>
      </w:pPr>
      <w:r>
        <w:rPr>
          <w:rStyle w:val="FootnoteReference"/>
        </w:rPr>
        <w:footnoteRef/>
      </w:r>
      <w:r>
        <w:t xml:space="preserve"> Burnside, above n 88, 3.</w:t>
      </w:r>
    </w:p>
  </w:footnote>
  <w:footnote w:id="87">
    <w:p w14:paraId="46FE2094" w14:textId="77777777" w:rsidR="00564A38" w:rsidRDefault="00564A38" w:rsidP="00564A38">
      <w:pPr>
        <w:pStyle w:val="FootnoteText"/>
      </w:pPr>
      <w:r>
        <w:rPr>
          <w:rStyle w:val="FootnoteReference"/>
        </w:rPr>
        <w:footnoteRef/>
      </w:r>
      <w:r>
        <w:t xml:space="preserve"> Ibid 3.</w:t>
      </w:r>
    </w:p>
  </w:footnote>
  <w:footnote w:id="88">
    <w:p w14:paraId="1E34B266" w14:textId="77777777" w:rsidR="00564A38" w:rsidRDefault="00564A38" w:rsidP="00564A38">
      <w:pPr>
        <w:pStyle w:val="FootnoteText"/>
      </w:pPr>
      <w:r>
        <w:rPr>
          <w:rStyle w:val="FootnoteReference"/>
        </w:rPr>
        <w:footnoteRef/>
      </w:r>
      <w:r>
        <w:t xml:space="preserve"> Australian Law Reform Commission, </w:t>
      </w:r>
      <w:r>
        <w:rPr>
          <w:i/>
        </w:rPr>
        <w:t>Review of the Federal Civil Justice System</w:t>
      </w:r>
      <w:r>
        <w:t xml:space="preserve"> (Discussion Paper 62, 1999) [6.39]–[6.46], Proposal 6.3 https://www.austlii.edu.au/au/other/lawreform/ALRCDP/1999/62.pdf</w:t>
      </w:r>
    </w:p>
  </w:footnote>
  <w:footnote w:id="89">
    <w:p w14:paraId="66ACA45B" w14:textId="77777777" w:rsidR="00564A38" w:rsidRDefault="00564A38" w:rsidP="00564A38">
      <w:pPr>
        <w:pStyle w:val="FootnoteText"/>
      </w:pPr>
      <w:r>
        <w:rPr>
          <w:rStyle w:val="FootnoteReference"/>
        </w:rPr>
        <w:footnoteRef/>
      </w:r>
      <w:r>
        <w:t xml:space="preserve"> Australian Law Reform Commission, </w:t>
      </w:r>
      <w:r>
        <w:rPr>
          <w:i/>
        </w:rPr>
        <w:t>Managing Justice: A Review of the Federal Civil Justice System</w:t>
      </w:r>
      <w:r>
        <w:t xml:space="preserve"> (Report 89, 1999) https://www.alrc.gov.au/publication/managing-justice-a-review-of-the-federal-civil-justice-system-alrc-report-89</w:t>
      </w:r>
    </w:p>
  </w:footnote>
  <w:footnote w:id="90">
    <w:p w14:paraId="082A24D5" w14:textId="77777777" w:rsidR="00564A38" w:rsidRDefault="00564A38" w:rsidP="00564A38">
      <w:pPr>
        <w:pStyle w:val="FootnoteText"/>
      </w:pPr>
      <w:r>
        <w:rPr>
          <w:rStyle w:val="FootnoteReference"/>
        </w:rPr>
        <w:footnoteRef/>
      </w:r>
      <w:r>
        <w:t xml:space="preserve"> Ibid 309.</w:t>
      </w:r>
    </w:p>
  </w:footnote>
  <w:footnote w:id="91">
    <w:p w14:paraId="53D3B6D3" w14:textId="77777777" w:rsidR="00564A38" w:rsidRDefault="00564A38" w:rsidP="00564A38">
      <w:pPr>
        <w:pStyle w:val="FootnoteText"/>
      </w:pPr>
      <w:r>
        <w:rPr>
          <w:rStyle w:val="FootnoteReference"/>
        </w:rPr>
        <w:footnoteRef/>
      </w:r>
      <w:r>
        <w:t xml:space="preserve"> Ibid 310.</w:t>
      </w:r>
    </w:p>
  </w:footnote>
  <w:footnote w:id="92">
    <w:p w14:paraId="7C19A65F" w14:textId="77777777" w:rsidR="00564A38" w:rsidRDefault="00564A38" w:rsidP="00564A38">
      <w:pPr>
        <w:pStyle w:val="FootnoteText"/>
      </w:pPr>
      <w:r>
        <w:rPr>
          <w:rStyle w:val="FootnoteReference"/>
        </w:rPr>
        <w:footnoteRef/>
      </w:r>
      <w:r>
        <w:t xml:space="preserve"> See the Appendix of this book, Comparative Table 1, Lawyer legislation, for equivalent provisions in the various jurisdictions.</w:t>
      </w:r>
    </w:p>
  </w:footnote>
  <w:footnote w:id="93">
    <w:p w14:paraId="7F109606" w14:textId="77777777" w:rsidR="00564A38" w:rsidRDefault="00564A38" w:rsidP="00564A38">
      <w:pPr>
        <w:pStyle w:val="FootnoteText"/>
      </w:pPr>
      <w:r>
        <w:rPr>
          <w:rStyle w:val="FootnoteReference"/>
        </w:rPr>
        <w:footnoteRef/>
      </w:r>
      <w:r>
        <w:t xml:space="preserve"> Australian Pro Bono Centre, ‘National Pro Bono Target’, https://www.probonocentre.org.au/provide-pro-bono/target</w:t>
      </w:r>
    </w:p>
  </w:footnote>
  <w:footnote w:id="94">
    <w:p w14:paraId="3A586CC6" w14:textId="77777777" w:rsidR="00564A38" w:rsidRDefault="00564A38" w:rsidP="00564A38">
      <w:pPr>
        <w:pStyle w:val="FootnoteText"/>
      </w:pPr>
      <w:r>
        <w:rPr>
          <w:rStyle w:val="FootnoteReference"/>
        </w:rPr>
        <w:footnoteRef/>
      </w:r>
      <w:r>
        <w:t xml:space="preserve"> Australian Pro Bono Centre, ‘Models for Student Involvement in Pro Bono’, http://www.probonocentre.org.au/provide-pro-bono/law-student-2/university</w:t>
      </w:r>
    </w:p>
  </w:footnote>
  <w:footnote w:id="95">
    <w:p w14:paraId="6D51C6DD" w14:textId="77777777" w:rsidR="00564A38" w:rsidRDefault="00564A38" w:rsidP="00564A38">
      <w:pPr>
        <w:pStyle w:val="FootnoteText"/>
      </w:pPr>
      <w:r>
        <w:rPr>
          <w:rStyle w:val="FootnoteReference"/>
        </w:rPr>
        <w:footnoteRef/>
      </w:r>
      <w:r>
        <w:t xml:space="preserve"> Australian Pro Bono Centre, ‘What is Pro Bono?’, http://probonocentre.org.au/information-on-pro-bono/definition. Also note the ‘Guidance Notes on Reporting “Pro Bono Legal Services”’ provided by the Centre: https://www.probonocentre.org.au/provide-pro-bono/target/guidance-notes</w:t>
      </w:r>
    </w:p>
  </w:footnote>
  <w:footnote w:id="96">
    <w:p w14:paraId="7546EB71" w14:textId="77777777" w:rsidR="00564A38" w:rsidRDefault="00564A38" w:rsidP="00564A38">
      <w:pPr>
        <w:pStyle w:val="FootnoteText"/>
      </w:pPr>
      <w:r>
        <w:rPr>
          <w:rStyle w:val="FootnoteReference"/>
        </w:rPr>
        <w:footnoteRef/>
      </w:r>
      <w:r>
        <w:t xml:space="preserve"> Deborah L Rhode, ‘Whatever Happened to Access to Justice?’ (2009) 42 </w:t>
      </w:r>
      <w:r>
        <w:rPr>
          <w:i/>
        </w:rPr>
        <w:t>Loyola of Los Angeles Law Review</w:t>
      </w:r>
      <w:r>
        <w:t xml:space="preserve"> 869, 870.</w:t>
      </w:r>
    </w:p>
  </w:footnote>
  <w:footnote w:id="97">
    <w:p w14:paraId="3CC34244" w14:textId="77777777" w:rsidR="00564A38" w:rsidRDefault="00564A38" w:rsidP="00564A38">
      <w:pPr>
        <w:pStyle w:val="FootnoteText"/>
      </w:pPr>
      <w:r>
        <w:rPr>
          <w:rStyle w:val="FootnoteReference"/>
        </w:rPr>
        <w:footnoteRef/>
      </w:r>
      <w:r>
        <w:t xml:space="preserve"> Lillian Corbin, ‘How “Firm” are Lawyers’ Perceptions of Professionalism?’ (2005) 8(2) </w:t>
      </w:r>
      <w:r>
        <w:rPr>
          <w:i/>
        </w:rPr>
        <w:t>Legal Ethics</w:t>
      </w:r>
      <w:r>
        <w:t xml:space="preserve"> 239.</w:t>
      </w:r>
    </w:p>
  </w:footnote>
  <w:footnote w:id="98">
    <w:p w14:paraId="29D1FA0E" w14:textId="77777777" w:rsidR="00564A38" w:rsidRDefault="00564A38" w:rsidP="00564A38">
      <w:pPr>
        <w:pStyle w:val="FootnoteText"/>
      </w:pPr>
      <w:r>
        <w:rPr>
          <w:rStyle w:val="FootnoteReference"/>
        </w:rPr>
        <w:footnoteRef/>
      </w:r>
      <w:r>
        <w:t xml:space="preserve"> Ibid 255.</w:t>
      </w:r>
    </w:p>
  </w:footnote>
  <w:footnote w:id="99">
    <w:p w14:paraId="7772AC45" w14:textId="77777777" w:rsidR="00564A38" w:rsidRDefault="00564A38" w:rsidP="00564A38">
      <w:pPr>
        <w:pStyle w:val="FootnoteText"/>
      </w:pPr>
      <w:r>
        <w:rPr>
          <w:rStyle w:val="FootnoteReference"/>
        </w:rPr>
        <w:footnoteRef/>
      </w:r>
      <w:r>
        <w:t xml:space="preserve"> Ibid.</w:t>
      </w:r>
    </w:p>
  </w:footnote>
  <w:footnote w:id="100">
    <w:p w14:paraId="0547D452" w14:textId="77777777" w:rsidR="00564A38" w:rsidRDefault="00564A38" w:rsidP="00564A38">
      <w:pPr>
        <w:pStyle w:val="FootnoteText"/>
      </w:pPr>
      <w:r>
        <w:rPr>
          <w:rStyle w:val="FootnoteReference"/>
        </w:rPr>
        <w:footnoteRef/>
      </w:r>
      <w:r>
        <w:t xml:space="preserve"> Deborah L Rhode, ‘Rethinking the Public in Lawyers’ Public Service: Pro Bono, Strategic Philanthropy, and the Bottom Line’ (2009) 77 </w:t>
      </w:r>
      <w:r>
        <w:rPr>
          <w:i/>
        </w:rPr>
        <w:t>Fordham Law Review</w:t>
      </w:r>
      <w:r>
        <w:t>, 1435, 1435.</w:t>
      </w:r>
    </w:p>
  </w:footnote>
  <w:footnote w:id="101">
    <w:p w14:paraId="2FA90E01" w14:textId="77777777" w:rsidR="00564A38" w:rsidRDefault="00564A38" w:rsidP="00564A38">
      <w:pPr>
        <w:pStyle w:val="FootnoteText"/>
      </w:pPr>
      <w:r>
        <w:rPr>
          <w:rStyle w:val="FootnoteReference"/>
        </w:rPr>
        <w:footnoteRef/>
      </w:r>
      <w:r>
        <w:t xml:space="preserve"> Ibid.</w:t>
      </w:r>
    </w:p>
  </w:footnote>
  <w:footnote w:id="102">
    <w:p w14:paraId="038B0965" w14:textId="77777777" w:rsidR="00564A38" w:rsidRDefault="00564A38" w:rsidP="00564A38">
      <w:pPr>
        <w:pStyle w:val="FootnoteText"/>
      </w:pPr>
      <w:r>
        <w:rPr>
          <w:rStyle w:val="FootnoteReference"/>
        </w:rPr>
        <w:footnoteRef/>
      </w:r>
      <w:r>
        <w:t xml:space="preserve"> Ibid. For an interesting empirical study comparing voluntary pro bono work with pro bono work remunerated by the lawyer’s firm, see Fiona Kay and Robert Granfield, ‘When Altruism Is Remunerated: Understanding the Bases of Voluntary Public Service Among Lawyers’ (2022) 56(1) </w:t>
      </w:r>
      <w:r>
        <w:rPr>
          <w:i/>
        </w:rPr>
        <w:t>Law &amp; Society Review</w:t>
      </w:r>
      <w:r>
        <w:t xml:space="preserve"> 78–100.</w:t>
      </w:r>
    </w:p>
  </w:footnote>
  <w:footnote w:id="103">
    <w:p w14:paraId="07F410AE" w14:textId="77777777" w:rsidR="00564A38" w:rsidRDefault="00564A38" w:rsidP="00564A38">
      <w:pPr>
        <w:pStyle w:val="FootnoteText"/>
      </w:pPr>
      <w:r>
        <w:rPr>
          <w:rStyle w:val="FootnoteReference"/>
        </w:rPr>
        <w:footnoteRef/>
      </w:r>
      <w:r>
        <w:t xml:space="preserve"> Ibid 1436.</w:t>
      </w:r>
    </w:p>
  </w:footnote>
  <w:footnote w:id="104">
    <w:p w14:paraId="3930A466" w14:textId="77777777" w:rsidR="00564A38" w:rsidRDefault="00564A38" w:rsidP="00564A38">
      <w:pPr>
        <w:pStyle w:val="FootnoteText"/>
      </w:pPr>
      <w:r>
        <w:rPr>
          <w:rStyle w:val="FootnoteReference"/>
        </w:rPr>
        <w:footnoteRef/>
      </w:r>
      <w:r>
        <w:t xml:space="preserve"> Ibid.</w:t>
      </w:r>
    </w:p>
  </w:footnote>
  <w:footnote w:id="105">
    <w:p w14:paraId="1A1FB7F2" w14:textId="77777777" w:rsidR="00564A38" w:rsidRDefault="00564A38" w:rsidP="00564A38">
      <w:pPr>
        <w:pStyle w:val="FootnoteText"/>
      </w:pPr>
      <w:r>
        <w:rPr>
          <w:rStyle w:val="FootnoteReference"/>
        </w:rPr>
        <w:footnoteRef/>
      </w:r>
      <w:r>
        <w:t xml:space="preserve"> Ibid.</w:t>
      </w:r>
    </w:p>
  </w:footnote>
  <w:footnote w:id="106">
    <w:p w14:paraId="4DE07F0D" w14:textId="77777777" w:rsidR="00564A38" w:rsidRDefault="00564A38" w:rsidP="00564A38">
      <w:pPr>
        <w:pStyle w:val="FootnoteText"/>
      </w:pPr>
      <w:r>
        <w:rPr>
          <w:rStyle w:val="FootnoteReference"/>
        </w:rPr>
        <w:footnoteRef/>
      </w:r>
      <w:r>
        <w:t xml:space="preserve"> Ibid 1441.</w:t>
      </w:r>
    </w:p>
  </w:footnote>
  <w:footnote w:id="107">
    <w:p w14:paraId="38770225" w14:textId="77777777" w:rsidR="00564A38" w:rsidRDefault="00564A38" w:rsidP="00564A38">
      <w:pPr>
        <w:pStyle w:val="FootnoteText"/>
      </w:pPr>
      <w:r>
        <w:rPr>
          <w:rStyle w:val="FootnoteReference"/>
        </w:rPr>
        <w:footnoteRef/>
      </w:r>
      <w:r>
        <w:t xml:space="preserve"> B George Ballman, Jnr, ‘Amended Rule 6.1: Another Move Towards Mandatory Pro Bono? Is That What We Want?’ (1994) 7 </w:t>
      </w:r>
      <w:r>
        <w:rPr>
          <w:i/>
        </w:rPr>
        <w:t>Georgetown Journal of Legal Ethics</w:t>
      </w:r>
      <w:r>
        <w:t xml:space="preserve"> 1139, cited in Irma S Russell, ‘The Lawyer As Public Citizen: Meeting the Pro Bono Challenge’ (2003–04) 72(2) </w:t>
      </w:r>
      <w:r>
        <w:rPr>
          <w:i/>
        </w:rPr>
        <w:t>UMKC Law Review</w:t>
      </w:r>
      <w:r>
        <w:t xml:space="preserve"> 439, 441.</w:t>
      </w:r>
    </w:p>
  </w:footnote>
  <w:footnote w:id="108">
    <w:p w14:paraId="489A18E9" w14:textId="77777777" w:rsidR="00564A38" w:rsidRDefault="00564A38" w:rsidP="00564A38">
      <w:pPr>
        <w:pStyle w:val="FootnoteText"/>
      </w:pPr>
      <w:r>
        <w:rPr>
          <w:rStyle w:val="FootnoteReference"/>
        </w:rPr>
        <w:footnoteRef/>
      </w:r>
      <w:r>
        <w:t xml:space="preserve"> Nadine Strossen, ‘Pro Bono Legal Work: For the Good of Not Only the Public, But Also the Lawyer and the Legal Profession’ (1993) 91(8) </w:t>
      </w:r>
      <w:r>
        <w:rPr>
          <w:i/>
        </w:rPr>
        <w:t>Michigan Law Review</w:t>
      </w:r>
      <w:r>
        <w:t xml:space="preserve"> 2122, 2134 [</w:t>
      </w:r>
      <w:r>
        <w:rPr>
          <w:i/>
        </w:rPr>
        <w:t>original emphasis</w:t>
      </w:r>
      <w:r>
        <w:t>].</w:t>
      </w:r>
    </w:p>
  </w:footnote>
  <w:footnote w:id="109">
    <w:p w14:paraId="5ABA89D2" w14:textId="77777777" w:rsidR="00564A38" w:rsidRDefault="00564A38" w:rsidP="00564A38">
      <w:pPr>
        <w:pStyle w:val="FootnoteText"/>
      </w:pPr>
      <w:r>
        <w:rPr>
          <w:rStyle w:val="FootnoteReference"/>
        </w:rPr>
        <w:footnoteRef/>
      </w:r>
      <w:r>
        <w:t xml:space="preserve"> Australian Pro Bono Centre, ‘9th Biennial Pro Bono Survey: Australian Large Law Firms’ (February 2025) https://www.probonocentre.org.au/wp-content/uploads/2025/02/Report-on-9th-Biennial-Pro-Bono-Survey.pdf</w:t>
      </w:r>
    </w:p>
  </w:footnote>
  <w:footnote w:id="110">
    <w:p w14:paraId="41461BB3" w14:textId="77777777" w:rsidR="00564A38" w:rsidRDefault="00564A38" w:rsidP="00564A38">
      <w:pPr>
        <w:pStyle w:val="FootnoteText"/>
      </w:pPr>
      <w:r>
        <w:rPr>
          <w:rStyle w:val="FootnoteReference"/>
        </w:rPr>
        <w:footnoteRef/>
      </w:r>
      <w:r>
        <w:t xml:space="preserve"> Ibid 9.</w:t>
      </w:r>
    </w:p>
  </w:footnote>
  <w:footnote w:id="111">
    <w:p w14:paraId="39A176C6" w14:textId="77777777" w:rsidR="00564A38" w:rsidRDefault="00564A38" w:rsidP="00564A38">
      <w:pPr>
        <w:pStyle w:val="FootnoteText"/>
      </w:pPr>
      <w:r>
        <w:rPr>
          <w:rStyle w:val="FootnoteReference"/>
        </w:rPr>
        <w:footnoteRef/>
      </w:r>
      <w:r>
        <w:t xml:space="preserve"> Wayne Attrill, ‘Ethical Issues in Litigation Funding’, Claims Funding International plc, 12 November 2008, 1.</w:t>
      </w:r>
    </w:p>
  </w:footnote>
  <w:footnote w:id="112">
    <w:p w14:paraId="02564E1E" w14:textId="77777777" w:rsidR="00564A38" w:rsidRDefault="00564A38" w:rsidP="00564A38">
      <w:pPr>
        <w:pStyle w:val="FootnoteText"/>
      </w:pPr>
      <w:r>
        <w:rPr>
          <w:rStyle w:val="FootnoteReference"/>
        </w:rPr>
        <w:footnoteRef/>
      </w:r>
      <w:r>
        <w:t xml:space="preserve"> Laurie Glanfild, </w:t>
      </w:r>
      <w:r>
        <w:rPr>
          <w:i/>
        </w:rPr>
        <w:t>Litigation Funding in Australia</w:t>
      </w:r>
      <w:r>
        <w:t>, Discussion Paper of the Standing Committee of Attorneys-General (May 2006).</w:t>
      </w:r>
    </w:p>
  </w:footnote>
  <w:footnote w:id="113">
    <w:p w14:paraId="43FF939D" w14:textId="77777777" w:rsidR="00564A38" w:rsidRDefault="00564A38" w:rsidP="00564A38">
      <w:pPr>
        <w:pStyle w:val="FootnoteText"/>
      </w:pPr>
      <w:r>
        <w:rPr>
          <w:rStyle w:val="FootnoteReference"/>
        </w:rPr>
        <w:footnoteRef/>
      </w:r>
      <w:r>
        <w:t xml:space="preserve"> Australian Law Reform Commission, </w:t>
      </w:r>
      <w:r>
        <w:rPr>
          <w:i/>
        </w:rPr>
        <w:t>Managing Justice: A Review of the Federal Civil Justice System</w:t>
      </w:r>
      <w:r>
        <w:t>, Report 89 (1999) [5.26].</w:t>
      </w:r>
    </w:p>
  </w:footnote>
  <w:footnote w:id="114">
    <w:p w14:paraId="3ECEC927" w14:textId="77777777" w:rsidR="00564A38" w:rsidRDefault="00564A38" w:rsidP="00564A38">
      <w:pPr>
        <w:pStyle w:val="FootnoteText"/>
      </w:pPr>
      <w:r>
        <w:rPr>
          <w:rStyle w:val="FootnoteReference"/>
        </w:rPr>
        <w:footnoteRef/>
      </w:r>
      <w:r>
        <w:t xml:space="preserve"> Ibid [5.28].</w:t>
      </w:r>
    </w:p>
  </w:footnote>
  <w:footnote w:id="115">
    <w:p w14:paraId="1E07A2DB" w14:textId="77777777" w:rsidR="00564A38" w:rsidRDefault="00564A38" w:rsidP="00564A38">
      <w:pPr>
        <w:pStyle w:val="FootnoteText"/>
      </w:pPr>
      <w:r>
        <w:rPr>
          <w:rStyle w:val="FootnoteReference"/>
        </w:rPr>
        <w:footnoteRef/>
      </w:r>
      <w:r>
        <w:t xml:space="preserve"> Australian Law Reform Commission, </w:t>
      </w:r>
      <w:r>
        <w:rPr>
          <w:i/>
        </w:rPr>
        <w:t>Managing Justice: A Review of the Federal Civil Justice System</w:t>
      </w:r>
      <w:r>
        <w:t>, Report 89 (1999) [5.34].</w:t>
      </w:r>
    </w:p>
  </w:footnote>
  <w:footnote w:id="116">
    <w:p w14:paraId="25FF5C30" w14:textId="77777777" w:rsidR="00564A38" w:rsidRDefault="00564A38" w:rsidP="00564A38">
      <w:pPr>
        <w:pStyle w:val="FootnoteText"/>
      </w:pPr>
      <w:r>
        <w:rPr>
          <w:rStyle w:val="FootnoteReference"/>
        </w:rPr>
        <w:footnoteRef/>
      </w:r>
      <w:r>
        <w:t xml:space="preserve"> Australian Law Reform Commission, </w:t>
      </w:r>
      <w:r>
        <w:rPr>
          <w:i/>
        </w:rPr>
        <w:t>Integrity, Fairness and Efficiency—An Inquiry into Class Action Proceedings and Third-Party Litigation Funders</w:t>
      </w:r>
      <w:r>
        <w:t>, ALRC Report 134 (December 2018) 15 https://www.alrc.gov.au/wp-content/uploads/2019/08/alrc_report_134_webaccess_2.pdf</w:t>
      </w:r>
    </w:p>
  </w:footnote>
  <w:footnote w:id="117">
    <w:p w14:paraId="508072DB" w14:textId="77777777" w:rsidR="00564A38" w:rsidRDefault="00564A38" w:rsidP="00564A38">
      <w:pPr>
        <w:pStyle w:val="FootnoteText"/>
      </w:pPr>
      <w:r>
        <w:rPr>
          <w:rStyle w:val="FootnoteReference"/>
        </w:rPr>
        <w:footnoteRef/>
      </w:r>
      <w:r>
        <w:t xml:space="preserve"> Ibid 15</w:t>
      </w:r>
    </w:p>
  </w:footnote>
  <w:footnote w:id="118">
    <w:p w14:paraId="6AC31818" w14:textId="77777777" w:rsidR="00564A38" w:rsidRDefault="00564A38" w:rsidP="00564A38">
      <w:pPr>
        <w:pStyle w:val="FootnoteText"/>
      </w:pPr>
      <w:r>
        <w:rPr>
          <w:rStyle w:val="FootnoteReference"/>
        </w:rPr>
        <w:footnoteRef/>
      </w:r>
      <w:r>
        <w:t xml:space="preserve"> Ibid 11, Recommendation 21.</w:t>
      </w:r>
    </w:p>
  </w:footnote>
  <w:footnote w:id="119">
    <w:p w14:paraId="59803712" w14:textId="77777777" w:rsidR="00564A38" w:rsidRDefault="00564A38" w:rsidP="00564A38">
      <w:pPr>
        <w:pStyle w:val="FootnoteText"/>
      </w:pPr>
      <w:r>
        <w:rPr>
          <w:rStyle w:val="FootnoteReference"/>
        </w:rPr>
        <w:footnoteRef/>
      </w:r>
      <w:r>
        <w:t xml:space="preserve"> Access to Justice Taskforce, </w:t>
      </w:r>
      <w:r>
        <w:rPr>
          <w:i/>
        </w:rPr>
        <w:t>A Strategic Framework for Access to Justice in the Federal Civil Justice System: A Guide for Future Action</w:t>
      </w:r>
      <w:r>
        <w:t xml:space="preserve"> (Attorney-General’s Department, September 2009).</w:t>
      </w:r>
    </w:p>
  </w:footnote>
  <w:footnote w:id="120">
    <w:p w14:paraId="26CD8C07" w14:textId="77777777" w:rsidR="00564A38" w:rsidRDefault="00564A38" w:rsidP="00564A38">
      <w:pPr>
        <w:pStyle w:val="FootnoteText"/>
      </w:pPr>
      <w:r>
        <w:rPr>
          <w:rStyle w:val="FootnoteReference"/>
        </w:rPr>
        <w:footnoteRef/>
      </w:r>
      <w:r>
        <w:t xml:space="preserve"> Ibid 3.</w:t>
      </w:r>
    </w:p>
  </w:footnote>
  <w:footnote w:id="121">
    <w:p w14:paraId="36819DE5" w14:textId="77777777" w:rsidR="00564A38" w:rsidRDefault="00564A38" w:rsidP="00564A38">
      <w:pPr>
        <w:pStyle w:val="FootnoteText"/>
      </w:pPr>
      <w:r>
        <w:rPr>
          <w:rStyle w:val="FootnoteReference"/>
        </w:rPr>
        <w:footnoteRef/>
      </w:r>
      <w:r>
        <w:t xml:space="preserve"> Ibid 8. In this regard, it should be noted that both the ASCR and the Bar Rules require their members to make their clients aware of the alternatives to the adjudicative process: ASCR r 7.2 and Bar Rules r 36.</w:t>
      </w:r>
    </w:p>
  </w:footnote>
  <w:footnote w:id="122">
    <w:p w14:paraId="25931A42" w14:textId="77777777" w:rsidR="00564A38" w:rsidRDefault="00564A38" w:rsidP="00564A38">
      <w:pPr>
        <w:pStyle w:val="FootnoteText"/>
      </w:pPr>
      <w:r>
        <w:rPr>
          <w:rStyle w:val="FootnoteReference"/>
        </w:rPr>
        <w:footnoteRef/>
      </w:r>
      <w:r>
        <w:t xml:space="preserve"> ArtsLaw, ‘Alternative Dispute Resolution—Binding and Non-Binding’, https://www.artslaw.com.au/information-sheet/alternative-dispute-resolution-binding-expert-dermination-and-non-binding-e</w:t>
      </w:r>
    </w:p>
  </w:footnote>
  <w:footnote w:id="123">
    <w:p w14:paraId="17631512" w14:textId="77777777" w:rsidR="00564A38" w:rsidRDefault="00564A38" w:rsidP="00564A38">
      <w:pPr>
        <w:pStyle w:val="FootnoteText"/>
      </w:pPr>
      <w:r>
        <w:rPr>
          <w:rStyle w:val="FootnoteReference"/>
        </w:rPr>
        <w:footnoteRef/>
      </w:r>
      <w:r>
        <w:t xml:space="preserve"> See, for instance, Lola Akin Ojelabi and Judith Gutman, ‘Family Dispute Resolution and Access to Justice in Australia’ (2020) 16(2) </w:t>
      </w:r>
      <w:r>
        <w:rPr>
          <w:i/>
        </w:rPr>
        <w:t>International Journal of Law in Context</w:t>
      </w:r>
      <w:r>
        <w:t xml:space="preserve"> 197–215.</w:t>
      </w:r>
    </w:p>
  </w:footnote>
  <w:footnote w:id="124">
    <w:p w14:paraId="4F2C04C4" w14:textId="77777777" w:rsidR="00564A38" w:rsidRDefault="00564A38" w:rsidP="00564A38">
      <w:pPr>
        <w:pStyle w:val="FootnoteText"/>
      </w:pPr>
      <w:r>
        <w:rPr>
          <w:rStyle w:val="FootnoteReference"/>
        </w:rPr>
        <w:footnoteRef/>
      </w:r>
      <w:r>
        <w:t xml:space="preserve"> Australian Law Reform Commission, </w:t>
      </w:r>
      <w:r>
        <w:rPr>
          <w:i/>
        </w:rPr>
        <w:t xml:space="preserve">Review of the Federal Civil Justice System </w:t>
      </w:r>
      <w:r>
        <w:t>(Discussion Paper 62, 1999) [2.3].</w:t>
      </w:r>
    </w:p>
  </w:footnote>
  <w:footnote w:id="125">
    <w:p w14:paraId="66BFBA01" w14:textId="77777777" w:rsidR="00564A38" w:rsidRDefault="00564A38" w:rsidP="00564A38">
      <w:pPr>
        <w:pStyle w:val="FootnoteText"/>
      </w:pPr>
      <w:r>
        <w:rPr>
          <w:rStyle w:val="FootnoteReference"/>
        </w:rPr>
        <w:footnoteRef/>
      </w:r>
      <w:r>
        <w:t xml:space="preserve"> G Brennan, ‘Key Issues in Judicial Administration’ (1996) 6 </w:t>
      </w:r>
      <w:r>
        <w:rPr>
          <w:i/>
        </w:rPr>
        <w:t>Journal of Judicial Administration</w:t>
      </w:r>
      <w:r>
        <w:t xml:space="preserve"> 138, 141–142.</w:t>
      </w:r>
    </w:p>
  </w:footnote>
  <w:footnote w:id="126">
    <w:p w14:paraId="644F9A4B" w14:textId="77777777" w:rsidR="00564A38" w:rsidRDefault="00564A38" w:rsidP="00564A38">
      <w:pPr>
        <w:pStyle w:val="FootnoteText"/>
      </w:pPr>
      <w:r>
        <w:rPr>
          <w:rStyle w:val="FootnoteReference"/>
        </w:rPr>
        <w:footnoteRef/>
      </w:r>
      <w:r>
        <w:t xml:space="preserve"> Law Council of Australia, above n 94, 33.</w:t>
      </w:r>
    </w:p>
  </w:footnote>
  <w:footnote w:id="127">
    <w:p w14:paraId="5CDF1898" w14:textId="77777777" w:rsidR="00564A38" w:rsidRDefault="00564A38" w:rsidP="00564A38">
      <w:pPr>
        <w:pStyle w:val="FootnoteText"/>
      </w:pPr>
      <w:r>
        <w:rPr>
          <w:rStyle w:val="FootnoteReference"/>
        </w:rPr>
        <w:footnoteRef/>
      </w:r>
      <w:r>
        <w:t xml:space="preserve"> Australian Law Reform Commission, </w:t>
      </w:r>
      <w:r>
        <w:rPr>
          <w:i/>
        </w:rPr>
        <w:t>Review of the Adversarial System of Litigation—Rethinking the Federal Civil Litigation System</w:t>
      </w:r>
      <w:r>
        <w:t xml:space="preserve"> (Issues Paper 20, 1997) [9.35]. For an international perspective, see BP Shilpa, ‘A Comparative Analysis of Legal Aid Services in the United Kingdom, United States, and India: Exploring the Role of Alternative Dispute Resolution (ADR) Methods in Enhancing Access to Justice’ (2024) 44(4) </w:t>
      </w:r>
      <w:r>
        <w:rPr>
          <w:i/>
        </w:rPr>
        <w:t>Library of Progress—Library Science, Information Technology &amp; Computer</w:t>
      </w:r>
      <w:r>
        <w:t xml:space="preserve"> https://bpasjournals.com/library-science/index.php/journal/article/view/3751/3475</w:t>
      </w:r>
    </w:p>
  </w:footnote>
  <w:footnote w:id="128">
    <w:p w14:paraId="75BF67E4" w14:textId="77777777" w:rsidR="00564A38" w:rsidRDefault="00564A38" w:rsidP="00564A38">
      <w:pPr>
        <w:pStyle w:val="FootnoteText"/>
      </w:pPr>
      <w:r>
        <w:rPr>
          <w:rStyle w:val="FootnoteReference"/>
        </w:rPr>
        <w:footnoteRef/>
      </w:r>
      <w:r>
        <w:t xml:space="preserve"> Stephen Wizner, ‘The Law School Clinic: Legal Education in the Interests of Justice’ (2002) 70 </w:t>
      </w:r>
      <w:r>
        <w:rPr>
          <w:i/>
        </w:rPr>
        <w:t>Fordham Law Review</w:t>
      </w:r>
      <w:r>
        <w:t xml:space="preserve"> 1929, 1933–1934.</w:t>
      </w:r>
    </w:p>
  </w:footnote>
  <w:footnote w:id="129">
    <w:p w14:paraId="4B018C84" w14:textId="77777777" w:rsidR="00564A38" w:rsidRDefault="00564A38" w:rsidP="00564A38">
      <w:pPr>
        <w:pStyle w:val="FootnoteText"/>
      </w:pPr>
      <w:r>
        <w:rPr>
          <w:rStyle w:val="FootnoteReference"/>
        </w:rPr>
        <w:footnoteRef/>
      </w:r>
      <w:r>
        <w:t xml:space="preserve"> Stephen Wizner, ‘Is Social Justice Still Relevant?’ (2012) 32(2) </w:t>
      </w:r>
      <w:r>
        <w:rPr>
          <w:i/>
        </w:rPr>
        <w:t>Boston College Journal of Law &amp; Social Justice</w:t>
      </w:r>
      <w:r>
        <w:t xml:space="preserve"> 345, 346.</w:t>
      </w:r>
    </w:p>
  </w:footnote>
  <w:footnote w:id="130">
    <w:p w14:paraId="15787301" w14:textId="77777777" w:rsidR="00564A38" w:rsidRDefault="00564A38" w:rsidP="00564A38">
      <w:pPr>
        <w:pStyle w:val="FootnoteText"/>
      </w:pPr>
      <w:r>
        <w:rPr>
          <w:rStyle w:val="FootnoteReference"/>
        </w:rPr>
        <w:footnoteRef/>
      </w:r>
      <w:r>
        <w:t xml:space="preserve"> Alicia Alvarez, ‘Community Development Clinics: What Does Poverty Have to Do with Them?’ (2007) 34 </w:t>
      </w:r>
      <w:r>
        <w:rPr>
          <w:i/>
        </w:rPr>
        <w:t xml:space="preserve">Fordham Urban Law Journal </w:t>
      </w:r>
      <w:r>
        <w:t>1269, 1283.</w:t>
      </w:r>
    </w:p>
  </w:footnote>
  <w:footnote w:id="131">
    <w:p w14:paraId="48E0B90A" w14:textId="77777777" w:rsidR="00564A38" w:rsidRDefault="00564A38" w:rsidP="00564A38">
      <w:pPr>
        <w:pStyle w:val="FootnoteText"/>
      </w:pPr>
      <w:r>
        <w:rPr>
          <w:rStyle w:val="FootnoteReference"/>
        </w:rPr>
        <w:footnoteRef/>
      </w:r>
      <w:r>
        <w:t xml:space="preserve"> Sara K Rankin, ‘The Fully Formed Lawyer: Why Law Schools Should Require Public Service to Better Prepare Students for Private Practice’ (2013) 17(1) </w:t>
      </w:r>
      <w:r>
        <w:rPr>
          <w:i/>
        </w:rPr>
        <w:t>Chapman Law Review</w:t>
      </w:r>
      <w:r>
        <w:t xml:space="preserve"> 17, 19. See also Francina Cantatore, David McQuoid-Mason, Valeska Geldres-Weiss and Juan Carlos Guajardo-Puga, ‘A Comparative Study Into Legal Education and Graduate Employability Skills in Law Students Through Pro Bono Law Clinics’ (2021) 55(3) </w:t>
      </w:r>
      <w:r>
        <w:rPr>
          <w:i/>
        </w:rPr>
        <w:t>The Law Teacher</w:t>
      </w:r>
      <w:r>
        <w:t xml:space="preserve"> 314–336.</w:t>
      </w:r>
      <w:r>
        <w:rPr>
          <w:b/>
        </w:rPr>
        <w:t xml:space="preserve"> </w:t>
      </w:r>
    </w:p>
  </w:footnote>
  <w:footnote w:id="132">
    <w:p w14:paraId="7027A001" w14:textId="77777777" w:rsidR="00564A38" w:rsidRDefault="00564A38" w:rsidP="00564A38">
      <w:pPr>
        <w:pStyle w:val="FootnoteText"/>
      </w:pPr>
      <w:r>
        <w:rPr>
          <w:rStyle w:val="FootnoteReference"/>
        </w:rPr>
        <w:footnoteRef/>
      </w:r>
      <w:r>
        <w:t xml:space="preserve"> Ibid 27.</w:t>
      </w:r>
    </w:p>
  </w:footnote>
  <w:footnote w:id="133">
    <w:p w14:paraId="3B322B5E" w14:textId="77777777" w:rsidR="00564A38" w:rsidRDefault="00564A38" w:rsidP="00564A38">
      <w:pPr>
        <w:pStyle w:val="FootnoteText"/>
      </w:pPr>
      <w:r>
        <w:rPr>
          <w:rStyle w:val="FootnoteReference"/>
        </w:rPr>
        <w:footnoteRef/>
      </w:r>
      <w:r>
        <w:t xml:space="preserve"> Ibid 20.</w:t>
      </w:r>
    </w:p>
  </w:footnote>
  <w:footnote w:id="134">
    <w:p w14:paraId="0EB6894C" w14:textId="77777777" w:rsidR="00564A38" w:rsidRDefault="00564A38" w:rsidP="00564A38">
      <w:pPr>
        <w:pStyle w:val="FootnoteText"/>
      </w:pPr>
      <w:r>
        <w:rPr>
          <w:rStyle w:val="FootnoteReference"/>
        </w:rPr>
        <w:footnoteRef/>
      </w:r>
      <w:r>
        <w:t xml:space="preserve"> Laws Learned, ‘The Profound Impact of Legal Education on Society and Law’ (22 July 2024) https://lawslearned.com/impact-of-legal-education. See also Albiston, Cummings and Abel, above n 15, 223.</w:t>
      </w:r>
      <w:r>
        <w:rPr>
          <w:b/>
        </w:rPr>
        <w:t xml:space="preserve"> </w:t>
      </w:r>
    </w:p>
  </w:footnote>
  <w:footnote w:id="135">
    <w:p w14:paraId="0BBDDB6A" w14:textId="77777777" w:rsidR="00564A38" w:rsidRDefault="00564A38" w:rsidP="00564A38">
      <w:pPr>
        <w:pStyle w:val="FootnoteText"/>
      </w:pPr>
      <w:r>
        <w:rPr>
          <w:rStyle w:val="FootnoteReference"/>
        </w:rPr>
        <w:footnoteRef/>
      </w:r>
      <w:r>
        <w:t xml:space="preserve"> Lael Weinberger, ‘Keep Distance Education for Law Schools: Online Education, the Pandemic, and Access to Justice’ (2021) 53 </w:t>
      </w:r>
      <w:r>
        <w:rPr>
          <w:i/>
        </w:rPr>
        <w:t>Loyola University Chicago Law Journal</w:t>
      </w:r>
      <w:r>
        <w:t xml:space="preserve"> 211, 212.</w:t>
      </w:r>
    </w:p>
  </w:footnote>
  <w:footnote w:id="136">
    <w:p w14:paraId="0D972AD5" w14:textId="77777777" w:rsidR="00564A38" w:rsidRDefault="00564A38" w:rsidP="00564A38">
      <w:pPr>
        <w:pStyle w:val="FootnoteText"/>
      </w:pPr>
      <w:r>
        <w:rPr>
          <w:rStyle w:val="FootnoteReference"/>
        </w:rPr>
        <w:footnoteRef/>
      </w:r>
      <w:r>
        <w:t xml:space="preserve"> Barendrecht, above n 67.</w:t>
      </w:r>
    </w:p>
  </w:footnote>
  <w:footnote w:id="137">
    <w:p w14:paraId="7B52DF21" w14:textId="77777777" w:rsidR="00564A38" w:rsidRDefault="00564A38" w:rsidP="00564A38">
      <w:pPr>
        <w:pStyle w:val="FootnoteText"/>
      </w:pPr>
      <w:r>
        <w:rPr>
          <w:rStyle w:val="FootnoteReference"/>
        </w:rPr>
        <w:footnoteRef/>
      </w:r>
      <w:r>
        <w:t xml:space="preserve"> Ibid 2.</w:t>
      </w:r>
    </w:p>
  </w:footnote>
  <w:footnote w:id="138">
    <w:p w14:paraId="3546E635" w14:textId="77777777" w:rsidR="00564A38" w:rsidRDefault="00564A38" w:rsidP="00564A38">
      <w:pPr>
        <w:pStyle w:val="FootnoteText"/>
      </w:pPr>
      <w:r>
        <w:rPr>
          <w:rStyle w:val="FootnoteReference"/>
        </w:rPr>
        <w:footnoteRef/>
      </w:r>
      <w:r>
        <w:t xml:space="preserve"> Productivity Commission, </w:t>
      </w:r>
      <w:r>
        <w:rPr>
          <w:i/>
        </w:rPr>
        <w:t xml:space="preserve">Access to Justice Arrangements </w:t>
      </w:r>
      <w:r>
        <w:t>(No 72, 5 September 2014) ‘Overview’.</w:t>
      </w:r>
    </w:p>
  </w:footnote>
  <w:footnote w:id="139">
    <w:p w14:paraId="7BFA4469" w14:textId="77777777" w:rsidR="00564A38" w:rsidRDefault="00564A38" w:rsidP="00564A38">
      <w:pPr>
        <w:pStyle w:val="FootnoteText"/>
      </w:pPr>
      <w:r>
        <w:rPr>
          <w:rStyle w:val="FootnoteReference"/>
        </w:rPr>
        <w:footnoteRef/>
      </w:r>
      <w:r>
        <w:t xml:space="preserve"> Ibid 35–40.</w:t>
      </w:r>
    </w:p>
  </w:footnote>
  <w:footnote w:id="140">
    <w:p w14:paraId="4B1F6316" w14:textId="77777777" w:rsidR="00564A38" w:rsidRDefault="00564A38" w:rsidP="00564A38">
      <w:pPr>
        <w:pStyle w:val="FootnoteText"/>
      </w:pPr>
      <w:r>
        <w:rPr>
          <w:rStyle w:val="FootnoteReference"/>
        </w:rPr>
        <w:footnoteRef/>
      </w:r>
      <w:r>
        <w:t xml:space="preserve"> Meredith Rossner, David Tait and Martha McCurdy, ‘Justice Reimagined: Challenges and Opportunities with Implementing Virtual Courts’ (2021) 33(1) </w:t>
      </w:r>
      <w:r>
        <w:rPr>
          <w:i/>
        </w:rPr>
        <w:t>Current Issues in Criminal Justice</w:t>
      </w:r>
      <w:r>
        <w:t xml:space="preserve"> 94–110; James R Williams, ‘Taking a Shot: Access to Justice, Judging and eCourt’ (2021) 59(2) </w:t>
      </w:r>
      <w:r>
        <w:rPr>
          <w:i/>
        </w:rPr>
        <w:t>Family Court Review</w:t>
      </w:r>
      <w:r>
        <w:t xml:space="preserve"> 278–293; A Mentovich, JJ Prescott and O Rabinovich-Einy, ‘Legitimacy and Online Proceedings: Procedural Justice, Access to Justice, and the Role of Income’ (2023) 57(2) </w:t>
      </w:r>
      <w:r>
        <w:rPr>
          <w:i/>
        </w:rPr>
        <w:t>Law &amp; Society Review</w:t>
      </w:r>
      <w:r>
        <w:t xml:space="preserve"> 189–213; Katherine LW Norton, ‘Accessing Justice in Hybrid Courts: Addressing the Needs of Low-Income Litigants in Blended In-person and Virtual Proceedings’ (2022) 30 </w:t>
      </w:r>
      <w:r>
        <w:rPr>
          <w:i/>
        </w:rPr>
        <w:t>Georgetown Journal on Poverty Law &amp; Policy</w:t>
      </w:r>
      <w:r>
        <w:t xml:space="preserve"> 499; Ignacio Oltra Gras, ‘Online Courts: Bridging the Gap Between Access And Justice’ (2021) 10 </w:t>
      </w:r>
      <w:r>
        <w:rPr>
          <w:i/>
        </w:rPr>
        <w:t xml:space="preserve">UCL Journal of Law and Jurisprudence </w:t>
      </w:r>
      <w:r>
        <w:t xml:space="preserve">24. See also the discussion of AI versus human decision-making in Gizem Yalcin, Erlis Themeli, Evert Stamhuis, Stefan Philipsen and Stefano Puntoni, ‘Perceptions of Justice by Algorithms’ (2023) 31(2) </w:t>
      </w:r>
      <w:r>
        <w:rPr>
          <w:i/>
        </w:rPr>
        <w:t>Artificial intelligence and Law</w:t>
      </w:r>
      <w:r>
        <w:t xml:space="preserve"> 269–292.</w:t>
      </w:r>
      <w:r>
        <w:rPr>
          <w:b/>
        </w:rPr>
        <w:t xml:space="preserve"> </w:t>
      </w:r>
    </w:p>
  </w:footnote>
  <w:footnote w:id="141">
    <w:p w14:paraId="0E290F0C" w14:textId="77777777" w:rsidR="00564A38" w:rsidRDefault="00564A38" w:rsidP="00564A38">
      <w:pPr>
        <w:pStyle w:val="FootnoteText"/>
      </w:pPr>
      <w:r>
        <w:rPr>
          <w:rStyle w:val="FootnoteReference"/>
        </w:rPr>
        <w:footnoteRef/>
      </w:r>
      <w:r>
        <w:t xml:space="preserve"> Mukhammad Ali Turdialiev, ‘Legal Frameworks in the Era of Social Diversity: Advancing Sustainable Justice Through Cultural Competency and Accessibility’ in </w:t>
      </w:r>
      <w:r>
        <w:rPr>
          <w:i/>
        </w:rPr>
        <w:t>1st International Conference on Social Environment Diversity (ICOSEND 2024)</w:t>
      </w:r>
      <w:r>
        <w:t xml:space="preserve"> (Atlantis Press, 2025) 770–780. See also Wendy Carlson, ‘Increasing Access to Justice Through Online Dispute Resolution’ 7 </w:t>
      </w:r>
      <w:r>
        <w:rPr>
          <w:i/>
        </w:rPr>
        <w:t>International Journal of Online Dispute Resolution</w:t>
      </w:r>
      <w:r>
        <w:t xml:space="preserve"> 17.</w:t>
      </w:r>
    </w:p>
  </w:footnote>
  <w:footnote w:id="142">
    <w:p w14:paraId="583300D8" w14:textId="77777777" w:rsidR="00564A38" w:rsidRDefault="00564A38" w:rsidP="00564A38">
      <w:pPr>
        <w:pStyle w:val="FootnoteText"/>
      </w:pPr>
      <w:r>
        <w:rPr>
          <w:rStyle w:val="FootnoteReference"/>
        </w:rPr>
        <w:footnoteRef/>
      </w:r>
      <w:r>
        <w:t xml:space="preserve"> Raymond H Brescia </w:t>
      </w:r>
      <w:r>
        <w:rPr>
          <w:i/>
        </w:rPr>
        <w:t>et al</w:t>
      </w:r>
      <w:r>
        <w:t xml:space="preserve">., ‘Embracing Disruption: How Technological Change in the Delivery of Legal Services Can Improve Access to Justice’ (2014) 78 </w:t>
      </w:r>
      <w:r>
        <w:rPr>
          <w:i/>
        </w:rPr>
        <w:t>Albany Law Review</w:t>
      </w:r>
      <w:r>
        <w:t xml:space="preserve"> 553.</w:t>
      </w:r>
    </w:p>
  </w:footnote>
  <w:footnote w:id="143">
    <w:p w14:paraId="37B4553B" w14:textId="77777777" w:rsidR="00564A38" w:rsidRDefault="00564A38" w:rsidP="00564A38">
      <w:pPr>
        <w:pStyle w:val="FootnoteText"/>
      </w:pPr>
      <w:r>
        <w:rPr>
          <w:rStyle w:val="FootnoteReference"/>
        </w:rPr>
        <w:footnoteRef/>
      </w:r>
      <w:r>
        <w:t xml:space="preserve"> Ibid 553.</w:t>
      </w:r>
    </w:p>
  </w:footnote>
  <w:footnote w:id="144">
    <w:p w14:paraId="1C368E74" w14:textId="77777777" w:rsidR="00564A38" w:rsidRDefault="00564A38" w:rsidP="00564A38">
      <w:pPr>
        <w:pStyle w:val="FootnoteText"/>
      </w:pPr>
      <w:r>
        <w:rPr>
          <w:rStyle w:val="FootnoteReference"/>
        </w:rPr>
        <w:footnoteRef/>
      </w:r>
      <w:r>
        <w:t xml:space="preserve"> Ibid 554.</w:t>
      </w:r>
    </w:p>
  </w:footnote>
  <w:footnote w:id="145">
    <w:p w14:paraId="7403BFB2" w14:textId="77777777" w:rsidR="00564A38" w:rsidRDefault="00564A38" w:rsidP="00564A38">
      <w:pPr>
        <w:pStyle w:val="FootnoteText"/>
      </w:pPr>
      <w:r>
        <w:rPr>
          <w:rStyle w:val="FootnoteReference"/>
        </w:rPr>
        <w:footnoteRef/>
      </w:r>
      <w:r>
        <w:t xml:space="preserve"> Ibid 612.</w:t>
      </w:r>
    </w:p>
  </w:footnote>
  <w:footnote w:id="146">
    <w:p w14:paraId="4EDDFB69" w14:textId="77777777" w:rsidR="00564A38" w:rsidRDefault="00564A38" w:rsidP="00564A38">
      <w:pPr>
        <w:pStyle w:val="FootnoteText"/>
      </w:pPr>
      <w:r>
        <w:rPr>
          <w:rStyle w:val="FootnoteReference"/>
        </w:rPr>
        <w:footnoteRef/>
      </w:r>
      <w:r>
        <w:t xml:space="preserve"> Colleen V Chien, Miriam Kim, Akhil Raj and Rohit Rathish, ‘How Generative AI Can Help Address the Access to Justice Gap Through the Courts’ (2024) </w:t>
      </w:r>
      <w:r>
        <w:rPr>
          <w:i/>
        </w:rPr>
        <w:t>Loyola of Los Angeles Law Review</w:t>
      </w:r>
      <w:r>
        <w:t xml:space="preserve"> (forthcoming); Drew Simshaw, ‘Interoperable Legal AI for Access to Justice’ (2024) 134 </w:t>
      </w:r>
      <w:r>
        <w:rPr>
          <w:i/>
        </w:rPr>
        <w:t>Yale Law Journal Forum</w:t>
      </w:r>
      <w:r>
        <w:t xml:space="preserve"> 795; Tania Sourdin, Bin Li and Donna Marie McNamara, ‘Court Innovations and Access to Justice in Times of Crisis’ (2020 9(4) </w:t>
      </w:r>
      <w:r>
        <w:rPr>
          <w:i/>
        </w:rPr>
        <w:t>Health Policy and Technology</w:t>
      </w:r>
      <w:r>
        <w:t xml:space="preserve"> 447–453; Cas Laskowski, Christopher L Griffin Jr and Samuel A Thumma, </w:t>
      </w:r>
      <w:r>
        <w:rPr>
          <w:i/>
        </w:rPr>
        <w:t>Generative Artificial Intelligence and Access to Justice: Possibilities, Concerns, Best Practices, and How to Measure Success</w:t>
      </w:r>
      <w:r>
        <w:t xml:space="preserve"> (NACM Network White Paper, December 1 2023); Delanie Woodlock, Christopher Alexander, Leavides Domingo-Cabarrubias, Christine Zhong, Khoi Cao, Jacqueline Weinberg, Genevieve Grant and Mai Sato, </w:t>
      </w:r>
      <w:r>
        <w:rPr>
          <w:i/>
        </w:rPr>
        <w:t>Legal Tech for Justice: Enhancing Access to Justice in Family Violence Legal Services</w:t>
      </w:r>
      <w:r>
        <w:t xml:space="preserve"> (Australian Centre for Justice Innovation, 2022).</w:t>
      </w:r>
      <w:r>
        <w:rPr>
          <w:b/>
        </w:rPr>
        <w:t xml:space="preserve"> </w:t>
      </w:r>
    </w:p>
  </w:footnote>
  <w:footnote w:id="147">
    <w:p w14:paraId="3502CCC7" w14:textId="77777777" w:rsidR="00564A38" w:rsidRDefault="00564A38" w:rsidP="00564A38">
      <w:pPr>
        <w:pStyle w:val="FootnoteText"/>
      </w:pPr>
      <w:r>
        <w:rPr>
          <w:rStyle w:val="FootnoteReference"/>
        </w:rPr>
        <w:footnoteRef/>
      </w:r>
      <w:r>
        <w:t xml:space="preserve"> See, for instance Drew Simshaw, ‘Access to AI Justice: Avoiding an Inequitable Two‑Tiered System of Legal Services’ (2022) 24 </w:t>
      </w:r>
      <w:r>
        <w:rPr>
          <w:i/>
        </w:rPr>
        <w:t>Yale Journal of Law &amp; Technology</w:t>
      </w:r>
      <w:r>
        <w:t xml:space="preserve"> 150.</w:t>
      </w:r>
    </w:p>
  </w:footnote>
  <w:footnote w:id="148">
    <w:p w14:paraId="4776BBC5" w14:textId="77777777" w:rsidR="00564A38" w:rsidRDefault="00564A38" w:rsidP="00564A38">
      <w:pPr>
        <w:pStyle w:val="FootnoteText"/>
      </w:pPr>
      <w:r>
        <w:rPr>
          <w:rStyle w:val="FootnoteReference"/>
        </w:rPr>
        <w:footnoteRef/>
      </w:r>
      <w:r>
        <w:t xml:space="preserve"> On this point, see Jenni Hakkarainen, ‘Naming Something Collective Does Not Make It So: Algorithmic Discrimination and Access to Justice’ (2021) 10(4) </w:t>
      </w:r>
      <w:r>
        <w:rPr>
          <w:i/>
        </w:rPr>
        <w:t>Internet Policy Review</w:t>
      </w:r>
      <w:r>
        <w:t xml:space="preserve"> 1–24.</w:t>
      </w:r>
    </w:p>
  </w:footnote>
  <w:footnote w:id="149">
    <w:p w14:paraId="310E475D" w14:textId="77777777" w:rsidR="00564A38" w:rsidRDefault="00564A38" w:rsidP="00564A38">
      <w:pPr>
        <w:pStyle w:val="FootnoteText"/>
      </w:pPr>
      <w:r>
        <w:rPr>
          <w:rStyle w:val="FootnoteReference"/>
        </w:rPr>
        <w:footnoteRef/>
      </w:r>
      <w:r>
        <w:t xml:space="preserve"> Caroline Gans-Combe, ‘Automated Justice: Issues, Benefits and Risks in the Use of Artificial Intelligence and Its Algorithms in Access to Justice and Law Enforcement’, in </w:t>
      </w:r>
      <w:r>
        <w:rPr>
          <w:i/>
        </w:rPr>
        <w:t>Ethics, Integrity and Policymaking: The Value of the Case Study</w:t>
      </w:r>
      <w:r>
        <w:t xml:space="preserve"> (Springer, 2022) 175–194.</w:t>
      </w:r>
    </w:p>
  </w:footnote>
  <w:footnote w:id="150">
    <w:p w14:paraId="0BD4899D" w14:textId="77777777" w:rsidR="00564A38" w:rsidRDefault="00564A38" w:rsidP="00564A38">
      <w:pPr>
        <w:pStyle w:val="FootnoteText"/>
      </w:pPr>
      <w:r>
        <w:rPr>
          <w:rStyle w:val="FootnoteReference"/>
        </w:rPr>
        <w:footnoteRef/>
      </w:r>
      <w:r>
        <w:t xml:space="preserve"> </w:t>
      </w:r>
      <w:r>
        <w:rPr>
          <w:i/>
        </w:rPr>
        <w:t>Amato v Commonwealth</w:t>
      </w:r>
      <w:r>
        <w:t xml:space="preserve"> (Federal Court of Australia, VID611/2019, 27 November 2019).</w:t>
      </w:r>
    </w:p>
  </w:footnote>
  <w:footnote w:id="151">
    <w:p w14:paraId="73B002CE" w14:textId="77777777" w:rsidR="00564A38" w:rsidRDefault="00564A38" w:rsidP="00564A38">
      <w:pPr>
        <w:pStyle w:val="FootnoteText"/>
      </w:pPr>
      <w:r>
        <w:rPr>
          <w:rStyle w:val="FootnoteReference"/>
        </w:rPr>
        <w:footnoteRef/>
      </w:r>
      <w:r>
        <w:t xml:space="preserve"> </w:t>
      </w:r>
      <w:r>
        <w:rPr>
          <w:i/>
        </w:rPr>
        <w:t>Katherine Prygodicz &amp; Ors v Commonwealth of Australia (No 2)</w:t>
      </w:r>
      <w:r>
        <w:t xml:space="preserve"> [2021] FCA 634.</w:t>
      </w:r>
    </w:p>
  </w:footnote>
  <w:footnote w:id="152">
    <w:p w14:paraId="42689092" w14:textId="77777777" w:rsidR="00564A38" w:rsidRDefault="00564A38" w:rsidP="00564A38">
      <w:pPr>
        <w:pStyle w:val="FootnoteText"/>
      </w:pPr>
      <w:r>
        <w:rPr>
          <w:rStyle w:val="FootnoteReference"/>
        </w:rPr>
        <w:footnoteRef/>
      </w:r>
      <w:r>
        <w:t xml:space="preserve"> Carolyn McKay and Kristin Macintosh, ‘Digital Vulnerability: People‑in‑Prison, Videoconferencing and the Digital Criminal Justice System’ (2024) 57(3) </w:t>
      </w:r>
      <w:r>
        <w:rPr>
          <w:i/>
        </w:rPr>
        <w:t>Journal of Criminology</w:t>
      </w:r>
      <w:r>
        <w:t xml:space="preserve"> 313–333.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27B78" w14:textId="77777777" w:rsidR="00FF1B95" w:rsidRDefault="00FF1B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C6BCC" w14:textId="5E26FEDF" w:rsidR="00706252" w:rsidRDefault="00706252">
    <w:pPr>
      <w:pStyle w:val="Header"/>
    </w:pPr>
    <w:r>
      <w:rPr>
        <w:noProof/>
        <w:lang w:val="en-IN" w:eastAsia="en-IN"/>
      </w:rPr>
      <w:drawing>
        <wp:inline distT="0" distB="0" distL="0" distR="0" wp14:anchorId="190CA4DB" wp14:editId="6366DF52">
          <wp:extent cx="2170800" cy="770400"/>
          <wp:effectExtent l="0" t="0" r="0" b="0"/>
          <wp:docPr id="1308162278"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19010751" name="image1.png">
                    <a:extLst>
                      <a:ext uri="{C183D7F6-B498-43B3-948B-1728B52AA6E4}">
                        <adec:decorative xmlns:adec="http://schemas.microsoft.com/office/drawing/2017/decorative" val="1"/>
                      </a:ext>
                    </a:extLst>
                  </pic:cNvPr>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2170800" cy="77040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C91EA" w14:textId="77777777" w:rsidR="00FF1B95" w:rsidRDefault="00FF1B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C67CB"/>
    <w:multiLevelType w:val="multilevel"/>
    <w:tmpl w:val="979488B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FBB774F"/>
    <w:multiLevelType w:val="multilevel"/>
    <w:tmpl w:val="FD486BF2"/>
    <w:styleLink w:val="NumberedList"/>
    <w:lvl w:ilvl="0">
      <w:start w:val="1"/>
      <w:numFmt w:val="decimal"/>
      <w:pStyle w:val="ListNumber"/>
      <w:lvlText w:val="%1"/>
      <w:lvlJc w:val="left"/>
      <w:pPr>
        <w:ind w:left="360" w:hanging="360"/>
      </w:pPr>
    </w:lvl>
    <w:lvl w:ilvl="1">
      <w:start w:val="1"/>
      <w:numFmt w:val="lowerLetter"/>
      <w:pStyle w:val="ListNumber2"/>
      <w:lvlText w:val="(%2)"/>
      <w:lvlJc w:val="left"/>
      <w:pPr>
        <w:ind w:left="720" w:hanging="360"/>
      </w:pPr>
    </w:lvl>
    <w:lvl w:ilvl="2">
      <w:start w:val="1"/>
      <w:numFmt w:val="lowerRoman"/>
      <w:pStyle w:val="ListNumber3"/>
      <w:lvlText w:val="(%3)"/>
      <w:lvlJc w:val="left"/>
      <w:pPr>
        <w:ind w:left="1080" w:hanging="360"/>
      </w:pPr>
    </w:lvl>
    <w:lvl w:ilvl="3">
      <w:start w:val="1"/>
      <w:numFmt w:val="upperRoman"/>
      <w:pStyle w:val="ListNumber4"/>
      <w:lvlText w:val="(%4)"/>
      <w:lvlJc w:val="left"/>
      <w:pPr>
        <w:ind w:left="1440" w:hanging="360"/>
      </w:pPr>
    </w:lvl>
    <w:lvl w:ilvl="4">
      <w:start w:val="1"/>
      <w:numFmt w:val="upperLetter"/>
      <w:pStyle w:val="ListNumber5"/>
      <w:lvlText w:val="(%5)"/>
      <w:lvlJc w:val="left"/>
      <w:pPr>
        <w:ind w:left="1800" w:hanging="360"/>
      </w:pPr>
    </w:lvl>
    <w:lvl w:ilvl="5">
      <w:start w:val="1"/>
      <w:numFmt w:val="lowerLetter"/>
      <w:pStyle w:val="ListNumber6"/>
      <w:lvlText w:val="%6"/>
      <w:lvlJc w:val="left"/>
      <w:pPr>
        <w:ind w:left="2160" w:hanging="360"/>
      </w:pPr>
    </w:lvl>
    <w:lvl w:ilvl="6">
      <w:start w:val="1"/>
      <w:numFmt w:val="lowerRoman"/>
      <w:pStyle w:val="ListNumber7"/>
      <w:lvlText w:val="%7"/>
      <w:lvlJc w:val="left"/>
      <w:pPr>
        <w:ind w:left="2520" w:hanging="360"/>
      </w:pPr>
    </w:lvl>
    <w:lvl w:ilvl="7">
      <w:start w:val="1"/>
      <w:numFmt w:val="upperRoman"/>
      <w:pStyle w:val="ListNumber8"/>
      <w:lvlText w:val="%8"/>
      <w:lvlJc w:val="left"/>
      <w:pPr>
        <w:ind w:left="2880" w:hanging="360"/>
      </w:pPr>
    </w:lvl>
    <w:lvl w:ilvl="8">
      <w:start w:val="1"/>
      <w:numFmt w:val="upperLetter"/>
      <w:pStyle w:val="ListNumber9"/>
      <w:lvlText w:val="%9"/>
      <w:lvlJc w:val="left"/>
      <w:pPr>
        <w:ind w:left="3240" w:hanging="360"/>
      </w:pPr>
    </w:lvl>
  </w:abstractNum>
  <w:abstractNum w:abstractNumId="2" w15:restartNumberingAfterBreak="0">
    <w:nsid w:val="25F14E9F"/>
    <w:multiLevelType w:val="multilevel"/>
    <w:tmpl w:val="74AA05AE"/>
    <w:styleLink w:val="BulletedList"/>
    <w:lvl w:ilvl="0">
      <w:start w:val="1"/>
      <w:numFmt w:val="bullet"/>
      <w:pStyle w:val="ListBullet"/>
      <w:lvlText w:val=""/>
      <w:lvlJc w:val="left"/>
      <w:pPr>
        <w:ind w:left="360" w:hanging="360"/>
      </w:pPr>
      <w:rPr>
        <w:rFonts w:ascii="Symbol" w:hAnsi="Symbol" w:hint="default"/>
        <w:color w:val="auto"/>
      </w:rPr>
    </w:lvl>
    <w:lvl w:ilvl="1">
      <w:start w:val="1"/>
      <w:numFmt w:val="bullet"/>
      <w:pStyle w:val="ListBullet2"/>
      <w:lvlText w:val=""/>
      <w:lvlJc w:val="left"/>
      <w:pPr>
        <w:ind w:left="720" w:hanging="360"/>
      </w:pPr>
      <w:rPr>
        <w:rFonts w:ascii="Wingdings" w:hAnsi="Wingdings" w:hint="default"/>
        <w:color w:val="auto"/>
      </w:rPr>
    </w:lvl>
    <w:lvl w:ilvl="2">
      <w:start w:val="1"/>
      <w:numFmt w:val="bullet"/>
      <w:pStyle w:val="ListBullet3"/>
      <w:lvlText w:val=""/>
      <w:lvlJc w:val="left"/>
      <w:pPr>
        <w:ind w:left="1080" w:hanging="360"/>
      </w:pPr>
      <w:rPr>
        <w:rFonts w:ascii="Wingdings" w:hAnsi="Wingdings" w:hint="default"/>
        <w:color w:val="auto"/>
      </w:rPr>
    </w:lvl>
    <w:lvl w:ilvl="3">
      <w:start w:val="1"/>
      <w:numFmt w:val="bullet"/>
      <w:pStyle w:val="ListBullet4"/>
      <w:lvlText w:val=""/>
      <w:lvlJc w:val="left"/>
      <w:pPr>
        <w:ind w:left="1440" w:hanging="360"/>
      </w:pPr>
      <w:rPr>
        <w:rFonts w:ascii="Symbol" w:hAnsi="Symbol" w:hint="default"/>
        <w:color w:val="auto"/>
      </w:rPr>
    </w:lvl>
    <w:lvl w:ilvl="4">
      <w:start w:val="1"/>
      <w:numFmt w:val="bullet"/>
      <w:pStyle w:val="ListBullet5"/>
      <w:lvlText w:val=""/>
      <w:lvlJc w:val="left"/>
      <w:pPr>
        <w:ind w:left="1800" w:hanging="360"/>
      </w:pPr>
      <w:rPr>
        <w:rFonts w:ascii="Wingdings" w:hAnsi="Wingdings" w:hint="default"/>
        <w:color w:val="auto"/>
      </w:rPr>
    </w:lvl>
    <w:lvl w:ilvl="5">
      <w:start w:val="1"/>
      <w:numFmt w:val="bullet"/>
      <w:pStyle w:val="ListBullet6"/>
      <w:lvlText w:val=""/>
      <w:lvlJc w:val="left"/>
      <w:pPr>
        <w:ind w:left="2160" w:hanging="360"/>
      </w:pPr>
      <w:rPr>
        <w:rFonts w:ascii="Wingdings" w:hAnsi="Wingdings" w:hint="default"/>
        <w:color w:val="auto"/>
      </w:rPr>
    </w:lvl>
    <w:lvl w:ilvl="6">
      <w:start w:val="1"/>
      <w:numFmt w:val="bullet"/>
      <w:pStyle w:val="ListBullet7"/>
      <w:lvlText w:val=""/>
      <w:lvlJc w:val="left"/>
      <w:pPr>
        <w:ind w:left="2520" w:hanging="360"/>
      </w:pPr>
      <w:rPr>
        <w:rFonts w:ascii="Symbol" w:hAnsi="Symbol" w:hint="default"/>
        <w:color w:val="auto"/>
      </w:rPr>
    </w:lvl>
    <w:lvl w:ilvl="7">
      <w:start w:val="1"/>
      <w:numFmt w:val="bullet"/>
      <w:pStyle w:val="ListBullet8"/>
      <w:lvlText w:val=""/>
      <w:lvlJc w:val="left"/>
      <w:pPr>
        <w:ind w:left="2880" w:hanging="360"/>
      </w:pPr>
      <w:rPr>
        <w:rFonts w:ascii="Wingdings" w:hAnsi="Wingdings" w:hint="default"/>
        <w:color w:val="auto"/>
      </w:rPr>
    </w:lvl>
    <w:lvl w:ilvl="8">
      <w:start w:val="1"/>
      <w:numFmt w:val="bullet"/>
      <w:pStyle w:val="ListBullet9"/>
      <w:lvlText w:val=""/>
      <w:lvlJc w:val="left"/>
      <w:pPr>
        <w:ind w:left="3240" w:hanging="360"/>
      </w:pPr>
      <w:rPr>
        <w:rFonts w:ascii="Wingdings" w:hAnsi="Wingdings" w:hint="default"/>
        <w:color w:val="auto"/>
      </w:rPr>
    </w:lvl>
  </w:abstractNum>
  <w:abstractNum w:abstractNumId="3" w15:restartNumberingAfterBreak="0">
    <w:nsid w:val="41BE53F2"/>
    <w:multiLevelType w:val="hybridMultilevel"/>
    <w:tmpl w:val="49F0D93C"/>
    <w:lvl w:ilvl="0" w:tplc="0C090001">
      <w:start w:val="1"/>
      <w:numFmt w:val="bullet"/>
      <w:lvlText w:val=""/>
      <w:lvlJc w:val="left"/>
      <w:pPr>
        <w:ind w:left="1582" w:hanging="360"/>
      </w:pPr>
      <w:rPr>
        <w:rFonts w:ascii="Symbol" w:hAnsi="Symbol" w:hint="default"/>
      </w:rPr>
    </w:lvl>
    <w:lvl w:ilvl="1" w:tplc="0C090003" w:tentative="1">
      <w:start w:val="1"/>
      <w:numFmt w:val="bullet"/>
      <w:lvlText w:val="o"/>
      <w:lvlJc w:val="left"/>
      <w:pPr>
        <w:ind w:left="2302" w:hanging="360"/>
      </w:pPr>
      <w:rPr>
        <w:rFonts w:ascii="Courier New" w:hAnsi="Courier New" w:cs="Courier New" w:hint="default"/>
      </w:rPr>
    </w:lvl>
    <w:lvl w:ilvl="2" w:tplc="0C090005" w:tentative="1">
      <w:start w:val="1"/>
      <w:numFmt w:val="bullet"/>
      <w:lvlText w:val=""/>
      <w:lvlJc w:val="left"/>
      <w:pPr>
        <w:ind w:left="3022" w:hanging="360"/>
      </w:pPr>
      <w:rPr>
        <w:rFonts w:ascii="Wingdings" w:hAnsi="Wingdings" w:hint="default"/>
      </w:rPr>
    </w:lvl>
    <w:lvl w:ilvl="3" w:tplc="0C090001" w:tentative="1">
      <w:start w:val="1"/>
      <w:numFmt w:val="bullet"/>
      <w:lvlText w:val=""/>
      <w:lvlJc w:val="left"/>
      <w:pPr>
        <w:ind w:left="3742" w:hanging="360"/>
      </w:pPr>
      <w:rPr>
        <w:rFonts w:ascii="Symbol" w:hAnsi="Symbol" w:hint="default"/>
      </w:rPr>
    </w:lvl>
    <w:lvl w:ilvl="4" w:tplc="0C090003" w:tentative="1">
      <w:start w:val="1"/>
      <w:numFmt w:val="bullet"/>
      <w:lvlText w:val="o"/>
      <w:lvlJc w:val="left"/>
      <w:pPr>
        <w:ind w:left="4462" w:hanging="360"/>
      </w:pPr>
      <w:rPr>
        <w:rFonts w:ascii="Courier New" w:hAnsi="Courier New" w:cs="Courier New" w:hint="default"/>
      </w:rPr>
    </w:lvl>
    <w:lvl w:ilvl="5" w:tplc="0C090005" w:tentative="1">
      <w:start w:val="1"/>
      <w:numFmt w:val="bullet"/>
      <w:lvlText w:val=""/>
      <w:lvlJc w:val="left"/>
      <w:pPr>
        <w:ind w:left="5182" w:hanging="360"/>
      </w:pPr>
      <w:rPr>
        <w:rFonts w:ascii="Wingdings" w:hAnsi="Wingdings" w:hint="default"/>
      </w:rPr>
    </w:lvl>
    <w:lvl w:ilvl="6" w:tplc="0C090001" w:tentative="1">
      <w:start w:val="1"/>
      <w:numFmt w:val="bullet"/>
      <w:lvlText w:val=""/>
      <w:lvlJc w:val="left"/>
      <w:pPr>
        <w:ind w:left="5902" w:hanging="360"/>
      </w:pPr>
      <w:rPr>
        <w:rFonts w:ascii="Symbol" w:hAnsi="Symbol" w:hint="default"/>
      </w:rPr>
    </w:lvl>
    <w:lvl w:ilvl="7" w:tplc="0C090003" w:tentative="1">
      <w:start w:val="1"/>
      <w:numFmt w:val="bullet"/>
      <w:lvlText w:val="o"/>
      <w:lvlJc w:val="left"/>
      <w:pPr>
        <w:ind w:left="6622" w:hanging="360"/>
      </w:pPr>
      <w:rPr>
        <w:rFonts w:ascii="Courier New" w:hAnsi="Courier New" w:cs="Courier New" w:hint="default"/>
      </w:rPr>
    </w:lvl>
    <w:lvl w:ilvl="8" w:tplc="0C090005" w:tentative="1">
      <w:start w:val="1"/>
      <w:numFmt w:val="bullet"/>
      <w:lvlText w:val=""/>
      <w:lvlJc w:val="left"/>
      <w:pPr>
        <w:ind w:left="7342" w:hanging="360"/>
      </w:pPr>
      <w:rPr>
        <w:rFonts w:ascii="Wingdings" w:hAnsi="Wingdings" w:hint="default"/>
      </w:rPr>
    </w:lvl>
  </w:abstractNum>
  <w:abstractNum w:abstractNumId="4" w15:restartNumberingAfterBreak="0">
    <w:nsid w:val="42446D1C"/>
    <w:multiLevelType w:val="hybridMultilevel"/>
    <w:tmpl w:val="3C4ECAE2"/>
    <w:lvl w:ilvl="0" w:tplc="0C090001">
      <w:start w:val="1"/>
      <w:numFmt w:val="bullet"/>
      <w:lvlText w:val=""/>
      <w:lvlJc w:val="left"/>
      <w:pPr>
        <w:ind w:left="1582" w:hanging="360"/>
      </w:pPr>
      <w:rPr>
        <w:rFonts w:ascii="Symbol" w:hAnsi="Symbol" w:hint="default"/>
      </w:rPr>
    </w:lvl>
    <w:lvl w:ilvl="1" w:tplc="0C090003" w:tentative="1">
      <w:start w:val="1"/>
      <w:numFmt w:val="bullet"/>
      <w:lvlText w:val="o"/>
      <w:lvlJc w:val="left"/>
      <w:pPr>
        <w:ind w:left="2302" w:hanging="360"/>
      </w:pPr>
      <w:rPr>
        <w:rFonts w:ascii="Courier New" w:hAnsi="Courier New" w:cs="Courier New" w:hint="default"/>
      </w:rPr>
    </w:lvl>
    <w:lvl w:ilvl="2" w:tplc="0C090005" w:tentative="1">
      <w:start w:val="1"/>
      <w:numFmt w:val="bullet"/>
      <w:lvlText w:val=""/>
      <w:lvlJc w:val="left"/>
      <w:pPr>
        <w:ind w:left="3022" w:hanging="360"/>
      </w:pPr>
      <w:rPr>
        <w:rFonts w:ascii="Wingdings" w:hAnsi="Wingdings" w:hint="default"/>
      </w:rPr>
    </w:lvl>
    <w:lvl w:ilvl="3" w:tplc="0C090001" w:tentative="1">
      <w:start w:val="1"/>
      <w:numFmt w:val="bullet"/>
      <w:lvlText w:val=""/>
      <w:lvlJc w:val="left"/>
      <w:pPr>
        <w:ind w:left="3742" w:hanging="360"/>
      </w:pPr>
      <w:rPr>
        <w:rFonts w:ascii="Symbol" w:hAnsi="Symbol" w:hint="default"/>
      </w:rPr>
    </w:lvl>
    <w:lvl w:ilvl="4" w:tplc="0C090003" w:tentative="1">
      <w:start w:val="1"/>
      <w:numFmt w:val="bullet"/>
      <w:lvlText w:val="o"/>
      <w:lvlJc w:val="left"/>
      <w:pPr>
        <w:ind w:left="4462" w:hanging="360"/>
      </w:pPr>
      <w:rPr>
        <w:rFonts w:ascii="Courier New" w:hAnsi="Courier New" w:cs="Courier New" w:hint="default"/>
      </w:rPr>
    </w:lvl>
    <w:lvl w:ilvl="5" w:tplc="0C090005" w:tentative="1">
      <w:start w:val="1"/>
      <w:numFmt w:val="bullet"/>
      <w:lvlText w:val=""/>
      <w:lvlJc w:val="left"/>
      <w:pPr>
        <w:ind w:left="5182" w:hanging="360"/>
      </w:pPr>
      <w:rPr>
        <w:rFonts w:ascii="Wingdings" w:hAnsi="Wingdings" w:hint="default"/>
      </w:rPr>
    </w:lvl>
    <w:lvl w:ilvl="6" w:tplc="0C090001" w:tentative="1">
      <w:start w:val="1"/>
      <w:numFmt w:val="bullet"/>
      <w:lvlText w:val=""/>
      <w:lvlJc w:val="left"/>
      <w:pPr>
        <w:ind w:left="5902" w:hanging="360"/>
      </w:pPr>
      <w:rPr>
        <w:rFonts w:ascii="Symbol" w:hAnsi="Symbol" w:hint="default"/>
      </w:rPr>
    </w:lvl>
    <w:lvl w:ilvl="7" w:tplc="0C090003" w:tentative="1">
      <w:start w:val="1"/>
      <w:numFmt w:val="bullet"/>
      <w:lvlText w:val="o"/>
      <w:lvlJc w:val="left"/>
      <w:pPr>
        <w:ind w:left="6622" w:hanging="360"/>
      </w:pPr>
      <w:rPr>
        <w:rFonts w:ascii="Courier New" w:hAnsi="Courier New" w:cs="Courier New" w:hint="default"/>
      </w:rPr>
    </w:lvl>
    <w:lvl w:ilvl="8" w:tplc="0C090005" w:tentative="1">
      <w:start w:val="1"/>
      <w:numFmt w:val="bullet"/>
      <w:lvlText w:val=""/>
      <w:lvlJc w:val="left"/>
      <w:pPr>
        <w:ind w:left="7342" w:hanging="360"/>
      </w:pPr>
      <w:rPr>
        <w:rFonts w:ascii="Wingdings" w:hAnsi="Wingdings" w:hint="default"/>
      </w:rPr>
    </w:lvl>
  </w:abstractNum>
  <w:abstractNum w:abstractNumId="5" w15:restartNumberingAfterBreak="0">
    <w:nsid w:val="47FC40DF"/>
    <w:multiLevelType w:val="multilevel"/>
    <w:tmpl w:val="6A2A637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AF03B9F"/>
    <w:multiLevelType w:val="hybridMultilevel"/>
    <w:tmpl w:val="0B4CC5AA"/>
    <w:lvl w:ilvl="0" w:tplc="0C090001">
      <w:start w:val="1"/>
      <w:numFmt w:val="bullet"/>
      <w:lvlText w:val=""/>
      <w:lvlJc w:val="left"/>
      <w:pPr>
        <w:ind w:left="1582" w:hanging="360"/>
      </w:pPr>
      <w:rPr>
        <w:rFonts w:ascii="Symbol" w:hAnsi="Symbol" w:hint="default"/>
      </w:rPr>
    </w:lvl>
    <w:lvl w:ilvl="1" w:tplc="0C090003" w:tentative="1">
      <w:start w:val="1"/>
      <w:numFmt w:val="bullet"/>
      <w:lvlText w:val="o"/>
      <w:lvlJc w:val="left"/>
      <w:pPr>
        <w:ind w:left="2302" w:hanging="360"/>
      </w:pPr>
      <w:rPr>
        <w:rFonts w:ascii="Courier New" w:hAnsi="Courier New" w:cs="Courier New" w:hint="default"/>
      </w:rPr>
    </w:lvl>
    <w:lvl w:ilvl="2" w:tplc="0C090005" w:tentative="1">
      <w:start w:val="1"/>
      <w:numFmt w:val="bullet"/>
      <w:lvlText w:val=""/>
      <w:lvlJc w:val="left"/>
      <w:pPr>
        <w:ind w:left="3022" w:hanging="360"/>
      </w:pPr>
      <w:rPr>
        <w:rFonts w:ascii="Wingdings" w:hAnsi="Wingdings" w:hint="default"/>
      </w:rPr>
    </w:lvl>
    <w:lvl w:ilvl="3" w:tplc="0C090001" w:tentative="1">
      <w:start w:val="1"/>
      <w:numFmt w:val="bullet"/>
      <w:lvlText w:val=""/>
      <w:lvlJc w:val="left"/>
      <w:pPr>
        <w:ind w:left="3742" w:hanging="360"/>
      </w:pPr>
      <w:rPr>
        <w:rFonts w:ascii="Symbol" w:hAnsi="Symbol" w:hint="default"/>
      </w:rPr>
    </w:lvl>
    <w:lvl w:ilvl="4" w:tplc="0C090003" w:tentative="1">
      <w:start w:val="1"/>
      <w:numFmt w:val="bullet"/>
      <w:lvlText w:val="o"/>
      <w:lvlJc w:val="left"/>
      <w:pPr>
        <w:ind w:left="4462" w:hanging="360"/>
      </w:pPr>
      <w:rPr>
        <w:rFonts w:ascii="Courier New" w:hAnsi="Courier New" w:cs="Courier New" w:hint="default"/>
      </w:rPr>
    </w:lvl>
    <w:lvl w:ilvl="5" w:tplc="0C090005" w:tentative="1">
      <w:start w:val="1"/>
      <w:numFmt w:val="bullet"/>
      <w:lvlText w:val=""/>
      <w:lvlJc w:val="left"/>
      <w:pPr>
        <w:ind w:left="5182" w:hanging="360"/>
      </w:pPr>
      <w:rPr>
        <w:rFonts w:ascii="Wingdings" w:hAnsi="Wingdings" w:hint="default"/>
      </w:rPr>
    </w:lvl>
    <w:lvl w:ilvl="6" w:tplc="0C090001" w:tentative="1">
      <w:start w:val="1"/>
      <w:numFmt w:val="bullet"/>
      <w:lvlText w:val=""/>
      <w:lvlJc w:val="left"/>
      <w:pPr>
        <w:ind w:left="5902" w:hanging="360"/>
      </w:pPr>
      <w:rPr>
        <w:rFonts w:ascii="Symbol" w:hAnsi="Symbol" w:hint="default"/>
      </w:rPr>
    </w:lvl>
    <w:lvl w:ilvl="7" w:tplc="0C090003" w:tentative="1">
      <w:start w:val="1"/>
      <w:numFmt w:val="bullet"/>
      <w:lvlText w:val="o"/>
      <w:lvlJc w:val="left"/>
      <w:pPr>
        <w:ind w:left="6622" w:hanging="360"/>
      </w:pPr>
      <w:rPr>
        <w:rFonts w:ascii="Courier New" w:hAnsi="Courier New" w:cs="Courier New" w:hint="default"/>
      </w:rPr>
    </w:lvl>
    <w:lvl w:ilvl="8" w:tplc="0C090005" w:tentative="1">
      <w:start w:val="1"/>
      <w:numFmt w:val="bullet"/>
      <w:lvlText w:val=""/>
      <w:lvlJc w:val="left"/>
      <w:pPr>
        <w:ind w:left="7342" w:hanging="360"/>
      </w:pPr>
      <w:rPr>
        <w:rFonts w:ascii="Wingdings" w:hAnsi="Wingdings" w:hint="default"/>
      </w:rPr>
    </w:lvl>
  </w:abstractNum>
  <w:abstractNum w:abstractNumId="7" w15:restartNumberingAfterBreak="0">
    <w:nsid w:val="7F454F7F"/>
    <w:multiLevelType w:val="multilevel"/>
    <w:tmpl w:val="F4C8578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8"/>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48451635">
    <w:abstractNumId w:val="1"/>
  </w:num>
  <w:num w:numId="2" w16cid:durableId="290090969">
    <w:abstractNumId w:val="2"/>
  </w:num>
  <w:num w:numId="3" w16cid:durableId="1723945523">
    <w:abstractNumId w:val="3"/>
  </w:num>
  <w:num w:numId="4" w16cid:durableId="1195508141">
    <w:abstractNumId w:val="7"/>
  </w:num>
  <w:num w:numId="5" w16cid:durableId="1998142547">
    <w:abstractNumId w:val="0"/>
  </w:num>
  <w:num w:numId="6" w16cid:durableId="1904876827">
    <w:abstractNumId w:val="5"/>
  </w:num>
  <w:num w:numId="7" w16cid:durableId="1645159611">
    <w:abstractNumId w:val="4"/>
  </w:num>
  <w:num w:numId="8" w16cid:durableId="44435296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1321" w:allStyles="1" w:customStyles="0" w:latentStyles="0" w:stylesInUse="0" w:headingStyles="1" w:numberingStyles="0" w:tableStyles="0" w:directFormattingOnRuns="1"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5C0"/>
    <w:rsid w:val="0000375C"/>
    <w:rsid w:val="00006769"/>
    <w:rsid w:val="0000744A"/>
    <w:rsid w:val="0001016C"/>
    <w:rsid w:val="0001022E"/>
    <w:rsid w:val="0001136B"/>
    <w:rsid w:val="00022381"/>
    <w:rsid w:val="00023BB2"/>
    <w:rsid w:val="000311B8"/>
    <w:rsid w:val="00031DB7"/>
    <w:rsid w:val="000336D1"/>
    <w:rsid w:val="0003498F"/>
    <w:rsid w:val="00034EAD"/>
    <w:rsid w:val="0003534E"/>
    <w:rsid w:val="00036E47"/>
    <w:rsid w:val="0003712E"/>
    <w:rsid w:val="00040B60"/>
    <w:rsid w:val="00042EA2"/>
    <w:rsid w:val="00043B41"/>
    <w:rsid w:val="00044A2C"/>
    <w:rsid w:val="00045F1C"/>
    <w:rsid w:val="0005077A"/>
    <w:rsid w:val="00051C1D"/>
    <w:rsid w:val="00051E05"/>
    <w:rsid w:val="000520FC"/>
    <w:rsid w:val="00052D03"/>
    <w:rsid w:val="00056E42"/>
    <w:rsid w:val="000609CA"/>
    <w:rsid w:val="0006184E"/>
    <w:rsid w:val="00064F00"/>
    <w:rsid w:val="000650BB"/>
    <w:rsid w:val="0006573F"/>
    <w:rsid w:val="000701B9"/>
    <w:rsid w:val="0007145C"/>
    <w:rsid w:val="00084240"/>
    <w:rsid w:val="00084E86"/>
    <w:rsid w:val="00085308"/>
    <w:rsid w:val="000871FB"/>
    <w:rsid w:val="000901AC"/>
    <w:rsid w:val="000907F6"/>
    <w:rsid w:val="00091827"/>
    <w:rsid w:val="00092D1C"/>
    <w:rsid w:val="000959C1"/>
    <w:rsid w:val="000970B2"/>
    <w:rsid w:val="000A1191"/>
    <w:rsid w:val="000A14B6"/>
    <w:rsid w:val="000A350F"/>
    <w:rsid w:val="000A40FC"/>
    <w:rsid w:val="000A45DD"/>
    <w:rsid w:val="000A50F9"/>
    <w:rsid w:val="000A633B"/>
    <w:rsid w:val="000B05C0"/>
    <w:rsid w:val="000B0E21"/>
    <w:rsid w:val="000B193B"/>
    <w:rsid w:val="000B1D9F"/>
    <w:rsid w:val="000B266C"/>
    <w:rsid w:val="000B2BF7"/>
    <w:rsid w:val="000B317E"/>
    <w:rsid w:val="000B448A"/>
    <w:rsid w:val="000B5456"/>
    <w:rsid w:val="000B6165"/>
    <w:rsid w:val="000B68BE"/>
    <w:rsid w:val="000B6B3E"/>
    <w:rsid w:val="000B755D"/>
    <w:rsid w:val="000C0097"/>
    <w:rsid w:val="000C12CF"/>
    <w:rsid w:val="000C16DE"/>
    <w:rsid w:val="000C1D9D"/>
    <w:rsid w:val="000C2755"/>
    <w:rsid w:val="000C423B"/>
    <w:rsid w:val="000C5661"/>
    <w:rsid w:val="000C5674"/>
    <w:rsid w:val="000C6305"/>
    <w:rsid w:val="000C6759"/>
    <w:rsid w:val="000C6A40"/>
    <w:rsid w:val="000C783C"/>
    <w:rsid w:val="000D14B5"/>
    <w:rsid w:val="000D40A6"/>
    <w:rsid w:val="000D6693"/>
    <w:rsid w:val="000D75DE"/>
    <w:rsid w:val="000D7F30"/>
    <w:rsid w:val="000E0950"/>
    <w:rsid w:val="000E6061"/>
    <w:rsid w:val="000E6B85"/>
    <w:rsid w:val="000E7CC8"/>
    <w:rsid w:val="000F1696"/>
    <w:rsid w:val="000F2D72"/>
    <w:rsid w:val="000F2D7B"/>
    <w:rsid w:val="000F63C6"/>
    <w:rsid w:val="000F769B"/>
    <w:rsid w:val="000F774D"/>
    <w:rsid w:val="0010195A"/>
    <w:rsid w:val="00101C08"/>
    <w:rsid w:val="00101EC3"/>
    <w:rsid w:val="00106A6B"/>
    <w:rsid w:val="00111382"/>
    <w:rsid w:val="00114DA9"/>
    <w:rsid w:val="00114FEE"/>
    <w:rsid w:val="00115942"/>
    <w:rsid w:val="00115F39"/>
    <w:rsid w:val="00122D0F"/>
    <w:rsid w:val="001237DB"/>
    <w:rsid w:val="00124C40"/>
    <w:rsid w:val="00125AE4"/>
    <w:rsid w:val="00127F44"/>
    <w:rsid w:val="0013011F"/>
    <w:rsid w:val="00131E76"/>
    <w:rsid w:val="001328AE"/>
    <w:rsid w:val="001335D9"/>
    <w:rsid w:val="001357F1"/>
    <w:rsid w:val="00136014"/>
    <w:rsid w:val="00136B47"/>
    <w:rsid w:val="001376AD"/>
    <w:rsid w:val="00141241"/>
    <w:rsid w:val="0014508D"/>
    <w:rsid w:val="00150E8D"/>
    <w:rsid w:val="00153DFE"/>
    <w:rsid w:val="00154B9F"/>
    <w:rsid w:val="00157668"/>
    <w:rsid w:val="00160B29"/>
    <w:rsid w:val="00160D5A"/>
    <w:rsid w:val="00161ADA"/>
    <w:rsid w:val="00162138"/>
    <w:rsid w:val="00162321"/>
    <w:rsid w:val="00163754"/>
    <w:rsid w:val="00167532"/>
    <w:rsid w:val="0017039B"/>
    <w:rsid w:val="00170995"/>
    <w:rsid w:val="00170E5B"/>
    <w:rsid w:val="0017149A"/>
    <w:rsid w:val="001733B5"/>
    <w:rsid w:val="00180617"/>
    <w:rsid w:val="00181BB3"/>
    <w:rsid w:val="00182A4F"/>
    <w:rsid w:val="00183F67"/>
    <w:rsid w:val="00184038"/>
    <w:rsid w:val="001853EC"/>
    <w:rsid w:val="00186AB0"/>
    <w:rsid w:val="00187120"/>
    <w:rsid w:val="001879E2"/>
    <w:rsid w:val="00191470"/>
    <w:rsid w:val="001939E5"/>
    <w:rsid w:val="00193D4D"/>
    <w:rsid w:val="001962C2"/>
    <w:rsid w:val="001966DB"/>
    <w:rsid w:val="00196C1F"/>
    <w:rsid w:val="00197410"/>
    <w:rsid w:val="001A0F9B"/>
    <w:rsid w:val="001A1B67"/>
    <w:rsid w:val="001A2A75"/>
    <w:rsid w:val="001A2B07"/>
    <w:rsid w:val="001A2F2D"/>
    <w:rsid w:val="001A2FB9"/>
    <w:rsid w:val="001B1173"/>
    <w:rsid w:val="001B5B00"/>
    <w:rsid w:val="001B784D"/>
    <w:rsid w:val="001C0048"/>
    <w:rsid w:val="001C4506"/>
    <w:rsid w:val="001C55AC"/>
    <w:rsid w:val="001C6C80"/>
    <w:rsid w:val="001D382B"/>
    <w:rsid w:val="001D50DD"/>
    <w:rsid w:val="001D5BAF"/>
    <w:rsid w:val="001D6866"/>
    <w:rsid w:val="001D7320"/>
    <w:rsid w:val="001E16FC"/>
    <w:rsid w:val="001E1E86"/>
    <w:rsid w:val="001E532B"/>
    <w:rsid w:val="001E574F"/>
    <w:rsid w:val="001E79FD"/>
    <w:rsid w:val="001F0F44"/>
    <w:rsid w:val="001F1290"/>
    <w:rsid w:val="001F139E"/>
    <w:rsid w:val="001F1CD4"/>
    <w:rsid w:val="001F293E"/>
    <w:rsid w:val="001F2C04"/>
    <w:rsid w:val="001F3289"/>
    <w:rsid w:val="001F4354"/>
    <w:rsid w:val="001F4FD1"/>
    <w:rsid w:val="001F56EB"/>
    <w:rsid w:val="001F5DD0"/>
    <w:rsid w:val="001F6A32"/>
    <w:rsid w:val="00201A71"/>
    <w:rsid w:val="00201A83"/>
    <w:rsid w:val="0020215B"/>
    <w:rsid w:val="00204CA1"/>
    <w:rsid w:val="00205449"/>
    <w:rsid w:val="00206AA6"/>
    <w:rsid w:val="002103D3"/>
    <w:rsid w:val="00212CC6"/>
    <w:rsid w:val="00213FCF"/>
    <w:rsid w:val="0021509C"/>
    <w:rsid w:val="002150CF"/>
    <w:rsid w:val="00215A98"/>
    <w:rsid w:val="002169A8"/>
    <w:rsid w:val="00216A29"/>
    <w:rsid w:val="002201C3"/>
    <w:rsid w:val="002204C6"/>
    <w:rsid w:val="0022050B"/>
    <w:rsid w:val="00221F81"/>
    <w:rsid w:val="00226B42"/>
    <w:rsid w:val="00227153"/>
    <w:rsid w:val="00231BD8"/>
    <w:rsid w:val="00231FED"/>
    <w:rsid w:val="00237609"/>
    <w:rsid w:val="00237946"/>
    <w:rsid w:val="00237C96"/>
    <w:rsid w:val="002463A9"/>
    <w:rsid w:val="002476EA"/>
    <w:rsid w:val="0025335B"/>
    <w:rsid w:val="002547F5"/>
    <w:rsid w:val="00255547"/>
    <w:rsid w:val="00255E79"/>
    <w:rsid w:val="00255F3A"/>
    <w:rsid w:val="00256405"/>
    <w:rsid w:val="002613B6"/>
    <w:rsid w:val="002620EC"/>
    <w:rsid w:val="00262345"/>
    <w:rsid w:val="002623A0"/>
    <w:rsid w:val="00262E42"/>
    <w:rsid w:val="00262F5D"/>
    <w:rsid w:val="00263AAC"/>
    <w:rsid w:val="00266BD5"/>
    <w:rsid w:val="00266E37"/>
    <w:rsid w:val="002725F6"/>
    <w:rsid w:val="00273586"/>
    <w:rsid w:val="002769C4"/>
    <w:rsid w:val="0027723F"/>
    <w:rsid w:val="00282B0A"/>
    <w:rsid w:val="002848FF"/>
    <w:rsid w:val="002852E6"/>
    <w:rsid w:val="00287806"/>
    <w:rsid w:val="00287A03"/>
    <w:rsid w:val="00291B38"/>
    <w:rsid w:val="00291D5F"/>
    <w:rsid w:val="00291F5C"/>
    <w:rsid w:val="00292BFF"/>
    <w:rsid w:val="002A3527"/>
    <w:rsid w:val="002A35EE"/>
    <w:rsid w:val="002A3A57"/>
    <w:rsid w:val="002A6593"/>
    <w:rsid w:val="002B0ED5"/>
    <w:rsid w:val="002B108F"/>
    <w:rsid w:val="002B13E3"/>
    <w:rsid w:val="002B20F5"/>
    <w:rsid w:val="002B2854"/>
    <w:rsid w:val="002B3B4E"/>
    <w:rsid w:val="002B448E"/>
    <w:rsid w:val="002B4910"/>
    <w:rsid w:val="002C3A3E"/>
    <w:rsid w:val="002C3EB0"/>
    <w:rsid w:val="002C4F48"/>
    <w:rsid w:val="002C578C"/>
    <w:rsid w:val="002C59A6"/>
    <w:rsid w:val="002D1AB5"/>
    <w:rsid w:val="002D1E26"/>
    <w:rsid w:val="002D3AB9"/>
    <w:rsid w:val="002D595E"/>
    <w:rsid w:val="002D5EBB"/>
    <w:rsid w:val="002D6C50"/>
    <w:rsid w:val="002E2177"/>
    <w:rsid w:val="002E2883"/>
    <w:rsid w:val="002E3728"/>
    <w:rsid w:val="002E3D2D"/>
    <w:rsid w:val="002F1ABC"/>
    <w:rsid w:val="002F2A18"/>
    <w:rsid w:val="002F309C"/>
    <w:rsid w:val="0030199C"/>
    <w:rsid w:val="00302AA9"/>
    <w:rsid w:val="00303060"/>
    <w:rsid w:val="00306532"/>
    <w:rsid w:val="00307073"/>
    <w:rsid w:val="00307191"/>
    <w:rsid w:val="00310740"/>
    <w:rsid w:val="003157E1"/>
    <w:rsid w:val="003160F4"/>
    <w:rsid w:val="003165E8"/>
    <w:rsid w:val="00316B79"/>
    <w:rsid w:val="00316D10"/>
    <w:rsid w:val="0032043A"/>
    <w:rsid w:val="00320B9B"/>
    <w:rsid w:val="003211BC"/>
    <w:rsid w:val="003258CA"/>
    <w:rsid w:val="003268B6"/>
    <w:rsid w:val="00326AF3"/>
    <w:rsid w:val="00326BBF"/>
    <w:rsid w:val="003318CD"/>
    <w:rsid w:val="00334792"/>
    <w:rsid w:val="00335003"/>
    <w:rsid w:val="00340436"/>
    <w:rsid w:val="00340607"/>
    <w:rsid w:val="00343F85"/>
    <w:rsid w:val="003450E9"/>
    <w:rsid w:val="00346F15"/>
    <w:rsid w:val="00347875"/>
    <w:rsid w:val="00350C29"/>
    <w:rsid w:val="00353401"/>
    <w:rsid w:val="003537F8"/>
    <w:rsid w:val="00354823"/>
    <w:rsid w:val="003613C3"/>
    <w:rsid w:val="00361DF3"/>
    <w:rsid w:val="003620BE"/>
    <w:rsid w:val="00362342"/>
    <w:rsid w:val="00370020"/>
    <w:rsid w:val="0037025C"/>
    <w:rsid w:val="00373965"/>
    <w:rsid w:val="0037588A"/>
    <w:rsid w:val="00375E2E"/>
    <w:rsid w:val="00381012"/>
    <w:rsid w:val="0038584E"/>
    <w:rsid w:val="00393DC0"/>
    <w:rsid w:val="0039718F"/>
    <w:rsid w:val="003A07F7"/>
    <w:rsid w:val="003A109D"/>
    <w:rsid w:val="003A597E"/>
    <w:rsid w:val="003A66B1"/>
    <w:rsid w:val="003A6CFB"/>
    <w:rsid w:val="003A6E39"/>
    <w:rsid w:val="003A720E"/>
    <w:rsid w:val="003A75BC"/>
    <w:rsid w:val="003B013F"/>
    <w:rsid w:val="003B4FE4"/>
    <w:rsid w:val="003B532A"/>
    <w:rsid w:val="003C2423"/>
    <w:rsid w:val="003C4012"/>
    <w:rsid w:val="003C4186"/>
    <w:rsid w:val="003C4391"/>
    <w:rsid w:val="003C48B4"/>
    <w:rsid w:val="003D4406"/>
    <w:rsid w:val="003D5F96"/>
    <w:rsid w:val="003D6B1C"/>
    <w:rsid w:val="003D7311"/>
    <w:rsid w:val="003E20D9"/>
    <w:rsid w:val="003E3720"/>
    <w:rsid w:val="003E3854"/>
    <w:rsid w:val="003E407D"/>
    <w:rsid w:val="003E410A"/>
    <w:rsid w:val="003F335C"/>
    <w:rsid w:val="003F3F79"/>
    <w:rsid w:val="003F5C7E"/>
    <w:rsid w:val="003F6B58"/>
    <w:rsid w:val="004002D0"/>
    <w:rsid w:val="004003C9"/>
    <w:rsid w:val="00402874"/>
    <w:rsid w:val="004033B1"/>
    <w:rsid w:val="00404453"/>
    <w:rsid w:val="004116A3"/>
    <w:rsid w:val="00412730"/>
    <w:rsid w:val="00413560"/>
    <w:rsid w:val="00416084"/>
    <w:rsid w:val="00422CB6"/>
    <w:rsid w:val="0042407D"/>
    <w:rsid w:val="00425A04"/>
    <w:rsid w:val="00426CD8"/>
    <w:rsid w:val="00432DB9"/>
    <w:rsid w:val="00435C74"/>
    <w:rsid w:val="00436C58"/>
    <w:rsid w:val="0044282F"/>
    <w:rsid w:val="00445775"/>
    <w:rsid w:val="00453F8E"/>
    <w:rsid w:val="004548B0"/>
    <w:rsid w:val="004556E0"/>
    <w:rsid w:val="00456219"/>
    <w:rsid w:val="004566F3"/>
    <w:rsid w:val="0046115B"/>
    <w:rsid w:val="004626C2"/>
    <w:rsid w:val="00464062"/>
    <w:rsid w:val="0046514A"/>
    <w:rsid w:val="0047064B"/>
    <w:rsid w:val="004740FA"/>
    <w:rsid w:val="004751F9"/>
    <w:rsid w:val="00476B63"/>
    <w:rsid w:val="00480C91"/>
    <w:rsid w:val="00480EE1"/>
    <w:rsid w:val="00481E2B"/>
    <w:rsid w:val="00482B95"/>
    <w:rsid w:val="00483D3A"/>
    <w:rsid w:val="00492072"/>
    <w:rsid w:val="00493D8B"/>
    <w:rsid w:val="00496313"/>
    <w:rsid w:val="004972F8"/>
    <w:rsid w:val="0049786A"/>
    <w:rsid w:val="004A11AF"/>
    <w:rsid w:val="004A2AAD"/>
    <w:rsid w:val="004A5C6C"/>
    <w:rsid w:val="004A5FFB"/>
    <w:rsid w:val="004A6AA2"/>
    <w:rsid w:val="004A7551"/>
    <w:rsid w:val="004B147A"/>
    <w:rsid w:val="004B33A4"/>
    <w:rsid w:val="004B3DB3"/>
    <w:rsid w:val="004B3FB6"/>
    <w:rsid w:val="004B5D9B"/>
    <w:rsid w:val="004C2509"/>
    <w:rsid w:val="004C3415"/>
    <w:rsid w:val="004C6628"/>
    <w:rsid w:val="004C757B"/>
    <w:rsid w:val="004D243D"/>
    <w:rsid w:val="004E2EE1"/>
    <w:rsid w:val="004E34CA"/>
    <w:rsid w:val="004E530F"/>
    <w:rsid w:val="004E58E9"/>
    <w:rsid w:val="004E5ECA"/>
    <w:rsid w:val="004E7255"/>
    <w:rsid w:val="004E7F83"/>
    <w:rsid w:val="004F0702"/>
    <w:rsid w:val="004F0BE4"/>
    <w:rsid w:val="004F1B1E"/>
    <w:rsid w:val="004F355A"/>
    <w:rsid w:val="004F615C"/>
    <w:rsid w:val="004F65E5"/>
    <w:rsid w:val="004F680E"/>
    <w:rsid w:val="004F6B29"/>
    <w:rsid w:val="0050094E"/>
    <w:rsid w:val="00500FCA"/>
    <w:rsid w:val="005028FB"/>
    <w:rsid w:val="0050481D"/>
    <w:rsid w:val="00504AAF"/>
    <w:rsid w:val="00512D99"/>
    <w:rsid w:val="00513CC5"/>
    <w:rsid w:val="005151C9"/>
    <w:rsid w:val="00521839"/>
    <w:rsid w:val="00523074"/>
    <w:rsid w:val="005231D2"/>
    <w:rsid w:val="0052442B"/>
    <w:rsid w:val="0052491A"/>
    <w:rsid w:val="00531B13"/>
    <w:rsid w:val="00535589"/>
    <w:rsid w:val="00544215"/>
    <w:rsid w:val="0054624B"/>
    <w:rsid w:val="00550F60"/>
    <w:rsid w:val="00552560"/>
    <w:rsid w:val="00553503"/>
    <w:rsid w:val="0055401B"/>
    <w:rsid w:val="0055657A"/>
    <w:rsid w:val="00556AFC"/>
    <w:rsid w:val="00557028"/>
    <w:rsid w:val="00560B0B"/>
    <w:rsid w:val="00561AF5"/>
    <w:rsid w:val="005623B4"/>
    <w:rsid w:val="00562EB7"/>
    <w:rsid w:val="005631F1"/>
    <w:rsid w:val="00564651"/>
    <w:rsid w:val="00564A38"/>
    <w:rsid w:val="005672CA"/>
    <w:rsid w:val="005674B9"/>
    <w:rsid w:val="0056755F"/>
    <w:rsid w:val="00567F88"/>
    <w:rsid w:val="00573FF8"/>
    <w:rsid w:val="00575994"/>
    <w:rsid w:val="005809D6"/>
    <w:rsid w:val="00584F60"/>
    <w:rsid w:val="00586AA0"/>
    <w:rsid w:val="0059313A"/>
    <w:rsid w:val="005945E5"/>
    <w:rsid w:val="00594651"/>
    <w:rsid w:val="0059617C"/>
    <w:rsid w:val="005A001D"/>
    <w:rsid w:val="005A2EF6"/>
    <w:rsid w:val="005A326D"/>
    <w:rsid w:val="005A4CDC"/>
    <w:rsid w:val="005A50E4"/>
    <w:rsid w:val="005A6DE4"/>
    <w:rsid w:val="005B2BF7"/>
    <w:rsid w:val="005B4BD8"/>
    <w:rsid w:val="005B5FAD"/>
    <w:rsid w:val="005C2919"/>
    <w:rsid w:val="005C47CF"/>
    <w:rsid w:val="005C6664"/>
    <w:rsid w:val="005D1163"/>
    <w:rsid w:val="005D128E"/>
    <w:rsid w:val="005D2387"/>
    <w:rsid w:val="005D2D6C"/>
    <w:rsid w:val="005D501C"/>
    <w:rsid w:val="005D7BBC"/>
    <w:rsid w:val="005E07AB"/>
    <w:rsid w:val="005E19E7"/>
    <w:rsid w:val="005E1EA9"/>
    <w:rsid w:val="005E2ADF"/>
    <w:rsid w:val="005E30BE"/>
    <w:rsid w:val="005E5E86"/>
    <w:rsid w:val="005E78F9"/>
    <w:rsid w:val="005F112C"/>
    <w:rsid w:val="005F37A2"/>
    <w:rsid w:val="005F465C"/>
    <w:rsid w:val="005F4EB9"/>
    <w:rsid w:val="00602A91"/>
    <w:rsid w:val="00602D42"/>
    <w:rsid w:val="00603201"/>
    <w:rsid w:val="006041E5"/>
    <w:rsid w:val="00604502"/>
    <w:rsid w:val="00605066"/>
    <w:rsid w:val="0060562C"/>
    <w:rsid w:val="00606839"/>
    <w:rsid w:val="00606DE6"/>
    <w:rsid w:val="00610DD4"/>
    <w:rsid w:val="00611329"/>
    <w:rsid w:val="00613016"/>
    <w:rsid w:val="006131C4"/>
    <w:rsid w:val="006157B1"/>
    <w:rsid w:val="00616A6B"/>
    <w:rsid w:val="0061719F"/>
    <w:rsid w:val="00620F84"/>
    <w:rsid w:val="00621269"/>
    <w:rsid w:val="00621B06"/>
    <w:rsid w:val="00625E51"/>
    <w:rsid w:val="00630B83"/>
    <w:rsid w:val="00631667"/>
    <w:rsid w:val="006319A2"/>
    <w:rsid w:val="00631E4B"/>
    <w:rsid w:val="00633A97"/>
    <w:rsid w:val="00633D60"/>
    <w:rsid w:val="0063758C"/>
    <w:rsid w:val="00640D37"/>
    <w:rsid w:val="00641D47"/>
    <w:rsid w:val="006427D7"/>
    <w:rsid w:val="0064342F"/>
    <w:rsid w:val="00644918"/>
    <w:rsid w:val="00647023"/>
    <w:rsid w:val="0065231C"/>
    <w:rsid w:val="0065729D"/>
    <w:rsid w:val="0066195A"/>
    <w:rsid w:val="00663425"/>
    <w:rsid w:val="00666572"/>
    <w:rsid w:val="00666C01"/>
    <w:rsid w:val="00667F52"/>
    <w:rsid w:val="0067029B"/>
    <w:rsid w:val="0067186A"/>
    <w:rsid w:val="006728A0"/>
    <w:rsid w:val="006737AD"/>
    <w:rsid w:val="00673B1B"/>
    <w:rsid w:val="00673F75"/>
    <w:rsid w:val="006741AB"/>
    <w:rsid w:val="006758D8"/>
    <w:rsid w:val="0067698D"/>
    <w:rsid w:val="00676E73"/>
    <w:rsid w:val="00677864"/>
    <w:rsid w:val="00680361"/>
    <w:rsid w:val="00680CFB"/>
    <w:rsid w:val="00681B56"/>
    <w:rsid w:val="00687239"/>
    <w:rsid w:val="00690C36"/>
    <w:rsid w:val="00691B95"/>
    <w:rsid w:val="006929E1"/>
    <w:rsid w:val="00696044"/>
    <w:rsid w:val="006A054D"/>
    <w:rsid w:val="006A152E"/>
    <w:rsid w:val="006A4762"/>
    <w:rsid w:val="006A4D93"/>
    <w:rsid w:val="006A6249"/>
    <w:rsid w:val="006A6E67"/>
    <w:rsid w:val="006B08AD"/>
    <w:rsid w:val="006B1AFA"/>
    <w:rsid w:val="006B283F"/>
    <w:rsid w:val="006B378D"/>
    <w:rsid w:val="006B3B63"/>
    <w:rsid w:val="006B3CC0"/>
    <w:rsid w:val="006B5636"/>
    <w:rsid w:val="006C4545"/>
    <w:rsid w:val="006C528A"/>
    <w:rsid w:val="006C79F1"/>
    <w:rsid w:val="006D1D28"/>
    <w:rsid w:val="006D49D9"/>
    <w:rsid w:val="006D743F"/>
    <w:rsid w:val="006E13CC"/>
    <w:rsid w:val="006E254A"/>
    <w:rsid w:val="006E3CC8"/>
    <w:rsid w:val="006E6177"/>
    <w:rsid w:val="006E6417"/>
    <w:rsid w:val="006E71E0"/>
    <w:rsid w:val="006E7D30"/>
    <w:rsid w:val="006E7FDA"/>
    <w:rsid w:val="006F0F60"/>
    <w:rsid w:val="006F1971"/>
    <w:rsid w:val="006F28BF"/>
    <w:rsid w:val="006F386C"/>
    <w:rsid w:val="006F5F7D"/>
    <w:rsid w:val="00703B40"/>
    <w:rsid w:val="00706252"/>
    <w:rsid w:val="00712534"/>
    <w:rsid w:val="00712A96"/>
    <w:rsid w:val="0071389C"/>
    <w:rsid w:val="0071690D"/>
    <w:rsid w:val="00717286"/>
    <w:rsid w:val="0071778F"/>
    <w:rsid w:val="0072150B"/>
    <w:rsid w:val="00722060"/>
    <w:rsid w:val="007256F2"/>
    <w:rsid w:val="00731688"/>
    <w:rsid w:val="00735569"/>
    <w:rsid w:val="007357A6"/>
    <w:rsid w:val="007362CE"/>
    <w:rsid w:val="00736515"/>
    <w:rsid w:val="00737200"/>
    <w:rsid w:val="00740240"/>
    <w:rsid w:val="007433B9"/>
    <w:rsid w:val="007444A3"/>
    <w:rsid w:val="0074541F"/>
    <w:rsid w:val="00746C4B"/>
    <w:rsid w:val="00746E01"/>
    <w:rsid w:val="00746F01"/>
    <w:rsid w:val="00750954"/>
    <w:rsid w:val="007512EB"/>
    <w:rsid w:val="00752005"/>
    <w:rsid w:val="00752668"/>
    <w:rsid w:val="00752D98"/>
    <w:rsid w:val="007535D6"/>
    <w:rsid w:val="007540DB"/>
    <w:rsid w:val="0075455D"/>
    <w:rsid w:val="00754E08"/>
    <w:rsid w:val="00755DC4"/>
    <w:rsid w:val="00756199"/>
    <w:rsid w:val="00761409"/>
    <w:rsid w:val="0076181C"/>
    <w:rsid w:val="00761F83"/>
    <w:rsid w:val="0076454D"/>
    <w:rsid w:val="00764B44"/>
    <w:rsid w:val="00766816"/>
    <w:rsid w:val="00770D29"/>
    <w:rsid w:val="00771154"/>
    <w:rsid w:val="0077193C"/>
    <w:rsid w:val="00771B02"/>
    <w:rsid w:val="007745C2"/>
    <w:rsid w:val="007750E4"/>
    <w:rsid w:val="00776181"/>
    <w:rsid w:val="0077626F"/>
    <w:rsid w:val="00780494"/>
    <w:rsid w:val="00781E68"/>
    <w:rsid w:val="0078294C"/>
    <w:rsid w:val="007844EF"/>
    <w:rsid w:val="00785C54"/>
    <w:rsid w:val="007916DF"/>
    <w:rsid w:val="00791FBF"/>
    <w:rsid w:val="007923B0"/>
    <w:rsid w:val="00792EB9"/>
    <w:rsid w:val="00794106"/>
    <w:rsid w:val="007A0BB0"/>
    <w:rsid w:val="007A1359"/>
    <w:rsid w:val="007A2765"/>
    <w:rsid w:val="007A2DBF"/>
    <w:rsid w:val="007A53E1"/>
    <w:rsid w:val="007B50ED"/>
    <w:rsid w:val="007B761C"/>
    <w:rsid w:val="007B767F"/>
    <w:rsid w:val="007C2818"/>
    <w:rsid w:val="007D13DF"/>
    <w:rsid w:val="007D1539"/>
    <w:rsid w:val="007D3C27"/>
    <w:rsid w:val="007D5EEE"/>
    <w:rsid w:val="007D799B"/>
    <w:rsid w:val="007E2790"/>
    <w:rsid w:val="007E360D"/>
    <w:rsid w:val="007E3DE4"/>
    <w:rsid w:val="007E4634"/>
    <w:rsid w:val="007E4692"/>
    <w:rsid w:val="007E54C9"/>
    <w:rsid w:val="007E5F54"/>
    <w:rsid w:val="007E6968"/>
    <w:rsid w:val="007E7E51"/>
    <w:rsid w:val="007F3474"/>
    <w:rsid w:val="007F4685"/>
    <w:rsid w:val="007F72AA"/>
    <w:rsid w:val="007F7CC5"/>
    <w:rsid w:val="0080110D"/>
    <w:rsid w:val="008016B6"/>
    <w:rsid w:val="00803118"/>
    <w:rsid w:val="00804CB3"/>
    <w:rsid w:val="00805883"/>
    <w:rsid w:val="00807BDE"/>
    <w:rsid w:val="00812E39"/>
    <w:rsid w:val="00814491"/>
    <w:rsid w:val="00815281"/>
    <w:rsid w:val="00817E3C"/>
    <w:rsid w:val="008224FC"/>
    <w:rsid w:val="00822FE9"/>
    <w:rsid w:val="00824720"/>
    <w:rsid w:val="008270CF"/>
    <w:rsid w:val="008273D3"/>
    <w:rsid w:val="00827F63"/>
    <w:rsid w:val="00830A17"/>
    <w:rsid w:val="00830F67"/>
    <w:rsid w:val="00832988"/>
    <w:rsid w:val="00834C9B"/>
    <w:rsid w:val="00842735"/>
    <w:rsid w:val="00842D14"/>
    <w:rsid w:val="00843C11"/>
    <w:rsid w:val="00844206"/>
    <w:rsid w:val="0084438B"/>
    <w:rsid w:val="00844CA9"/>
    <w:rsid w:val="00845115"/>
    <w:rsid w:val="008475B1"/>
    <w:rsid w:val="008508B9"/>
    <w:rsid w:val="00850F88"/>
    <w:rsid w:val="008538AA"/>
    <w:rsid w:val="00853A83"/>
    <w:rsid w:val="00853B40"/>
    <w:rsid w:val="00853C80"/>
    <w:rsid w:val="00855BEF"/>
    <w:rsid w:val="00856E07"/>
    <w:rsid w:val="00857DE2"/>
    <w:rsid w:val="00860635"/>
    <w:rsid w:val="00863D04"/>
    <w:rsid w:val="00864B64"/>
    <w:rsid w:val="00864CB0"/>
    <w:rsid w:val="00865719"/>
    <w:rsid w:val="008659E0"/>
    <w:rsid w:val="0086617B"/>
    <w:rsid w:val="00871AB2"/>
    <w:rsid w:val="0087237B"/>
    <w:rsid w:val="00877371"/>
    <w:rsid w:val="0087754A"/>
    <w:rsid w:val="008852C0"/>
    <w:rsid w:val="008865C0"/>
    <w:rsid w:val="0088678E"/>
    <w:rsid w:val="00886F3C"/>
    <w:rsid w:val="008876F7"/>
    <w:rsid w:val="00887CB6"/>
    <w:rsid w:val="00887FE0"/>
    <w:rsid w:val="00890B9E"/>
    <w:rsid w:val="0089257A"/>
    <w:rsid w:val="00892646"/>
    <w:rsid w:val="00892F3D"/>
    <w:rsid w:val="00893B6D"/>
    <w:rsid w:val="008954D8"/>
    <w:rsid w:val="00896C17"/>
    <w:rsid w:val="00897AAD"/>
    <w:rsid w:val="008A1DC1"/>
    <w:rsid w:val="008A205F"/>
    <w:rsid w:val="008A5714"/>
    <w:rsid w:val="008A71EA"/>
    <w:rsid w:val="008B1206"/>
    <w:rsid w:val="008B28AE"/>
    <w:rsid w:val="008B3C42"/>
    <w:rsid w:val="008B4B14"/>
    <w:rsid w:val="008B57AA"/>
    <w:rsid w:val="008B6133"/>
    <w:rsid w:val="008B61F9"/>
    <w:rsid w:val="008C083D"/>
    <w:rsid w:val="008C1CEC"/>
    <w:rsid w:val="008C1F13"/>
    <w:rsid w:val="008C1F6F"/>
    <w:rsid w:val="008C241D"/>
    <w:rsid w:val="008C37D0"/>
    <w:rsid w:val="008C3D96"/>
    <w:rsid w:val="008C5FC1"/>
    <w:rsid w:val="008C7E53"/>
    <w:rsid w:val="008D3434"/>
    <w:rsid w:val="008D5266"/>
    <w:rsid w:val="008D614D"/>
    <w:rsid w:val="008D6CF1"/>
    <w:rsid w:val="008E05F7"/>
    <w:rsid w:val="008E1143"/>
    <w:rsid w:val="008E14EE"/>
    <w:rsid w:val="008E173F"/>
    <w:rsid w:val="008E25C4"/>
    <w:rsid w:val="008E3523"/>
    <w:rsid w:val="008E46CC"/>
    <w:rsid w:val="008F06F4"/>
    <w:rsid w:val="008F1596"/>
    <w:rsid w:val="008F1F47"/>
    <w:rsid w:val="008F373D"/>
    <w:rsid w:val="008F5680"/>
    <w:rsid w:val="008F78AB"/>
    <w:rsid w:val="00900F31"/>
    <w:rsid w:val="00901B74"/>
    <w:rsid w:val="00903191"/>
    <w:rsid w:val="00903297"/>
    <w:rsid w:val="0090473C"/>
    <w:rsid w:val="009110FD"/>
    <w:rsid w:val="00911A71"/>
    <w:rsid w:val="0091230C"/>
    <w:rsid w:val="009179C5"/>
    <w:rsid w:val="00923976"/>
    <w:rsid w:val="009269E0"/>
    <w:rsid w:val="009271FA"/>
    <w:rsid w:val="00930147"/>
    <w:rsid w:val="00931A77"/>
    <w:rsid w:val="00931ECC"/>
    <w:rsid w:val="009403E7"/>
    <w:rsid w:val="0094075A"/>
    <w:rsid w:val="00940BA8"/>
    <w:rsid w:val="00945273"/>
    <w:rsid w:val="00945CFD"/>
    <w:rsid w:val="00950888"/>
    <w:rsid w:val="00954675"/>
    <w:rsid w:val="009551A9"/>
    <w:rsid w:val="00955CF2"/>
    <w:rsid w:val="009568FC"/>
    <w:rsid w:val="00956ED6"/>
    <w:rsid w:val="00960594"/>
    <w:rsid w:val="00962EA9"/>
    <w:rsid w:val="00963774"/>
    <w:rsid w:val="0096384D"/>
    <w:rsid w:val="009711A4"/>
    <w:rsid w:val="00973B29"/>
    <w:rsid w:val="00976CD2"/>
    <w:rsid w:val="0098069B"/>
    <w:rsid w:val="00982938"/>
    <w:rsid w:val="00982970"/>
    <w:rsid w:val="00985662"/>
    <w:rsid w:val="00986374"/>
    <w:rsid w:val="009864C9"/>
    <w:rsid w:val="0098660A"/>
    <w:rsid w:val="0098749B"/>
    <w:rsid w:val="0098759E"/>
    <w:rsid w:val="0099145C"/>
    <w:rsid w:val="00997E41"/>
    <w:rsid w:val="009A024B"/>
    <w:rsid w:val="009A1C85"/>
    <w:rsid w:val="009A3984"/>
    <w:rsid w:val="009A3AC2"/>
    <w:rsid w:val="009A3C26"/>
    <w:rsid w:val="009A5966"/>
    <w:rsid w:val="009B0988"/>
    <w:rsid w:val="009B1FB8"/>
    <w:rsid w:val="009B235D"/>
    <w:rsid w:val="009B23ED"/>
    <w:rsid w:val="009B4010"/>
    <w:rsid w:val="009B4C38"/>
    <w:rsid w:val="009B50EF"/>
    <w:rsid w:val="009C0A48"/>
    <w:rsid w:val="009C103D"/>
    <w:rsid w:val="009C32A8"/>
    <w:rsid w:val="009C3386"/>
    <w:rsid w:val="009C4C55"/>
    <w:rsid w:val="009C5FF9"/>
    <w:rsid w:val="009C60AB"/>
    <w:rsid w:val="009C64BF"/>
    <w:rsid w:val="009C6F40"/>
    <w:rsid w:val="009C7E3E"/>
    <w:rsid w:val="009D2C49"/>
    <w:rsid w:val="009D33E7"/>
    <w:rsid w:val="009E3CE8"/>
    <w:rsid w:val="009F0E78"/>
    <w:rsid w:val="009F2571"/>
    <w:rsid w:val="009F3C17"/>
    <w:rsid w:val="009F4C5D"/>
    <w:rsid w:val="009F7305"/>
    <w:rsid w:val="009F771E"/>
    <w:rsid w:val="00A01125"/>
    <w:rsid w:val="00A0129F"/>
    <w:rsid w:val="00A0264C"/>
    <w:rsid w:val="00A026CE"/>
    <w:rsid w:val="00A02BB7"/>
    <w:rsid w:val="00A05065"/>
    <w:rsid w:val="00A06131"/>
    <w:rsid w:val="00A10439"/>
    <w:rsid w:val="00A1380F"/>
    <w:rsid w:val="00A13B61"/>
    <w:rsid w:val="00A157D9"/>
    <w:rsid w:val="00A16651"/>
    <w:rsid w:val="00A22A7E"/>
    <w:rsid w:val="00A23037"/>
    <w:rsid w:val="00A24351"/>
    <w:rsid w:val="00A25233"/>
    <w:rsid w:val="00A254E7"/>
    <w:rsid w:val="00A25945"/>
    <w:rsid w:val="00A259D6"/>
    <w:rsid w:val="00A25E30"/>
    <w:rsid w:val="00A25ED6"/>
    <w:rsid w:val="00A2648F"/>
    <w:rsid w:val="00A327E3"/>
    <w:rsid w:val="00A32B20"/>
    <w:rsid w:val="00A3645D"/>
    <w:rsid w:val="00A40432"/>
    <w:rsid w:val="00A4133E"/>
    <w:rsid w:val="00A418C0"/>
    <w:rsid w:val="00A50F73"/>
    <w:rsid w:val="00A5701C"/>
    <w:rsid w:val="00A60294"/>
    <w:rsid w:val="00A62A38"/>
    <w:rsid w:val="00A64F3C"/>
    <w:rsid w:val="00A65804"/>
    <w:rsid w:val="00A65AC0"/>
    <w:rsid w:val="00A71824"/>
    <w:rsid w:val="00A7313B"/>
    <w:rsid w:val="00A75AF2"/>
    <w:rsid w:val="00A762A9"/>
    <w:rsid w:val="00A80CAB"/>
    <w:rsid w:val="00A80CC3"/>
    <w:rsid w:val="00A83553"/>
    <w:rsid w:val="00A870D7"/>
    <w:rsid w:val="00A90712"/>
    <w:rsid w:val="00A90853"/>
    <w:rsid w:val="00A90DDB"/>
    <w:rsid w:val="00A913B5"/>
    <w:rsid w:val="00A92B44"/>
    <w:rsid w:val="00A93227"/>
    <w:rsid w:val="00A95118"/>
    <w:rsid w:val="00AA0E66"/>
    <w:rsid w:val="00AA1E53"/>
    <w:rsid w:val="00AA2AC5"/>
    <w:rsid w:val="00AA31CB"/>
    <w:rsid w:val="00AA3DB3"/>
    <w:rsid w:val="00AA5CA6"/>
    <w:rsid w:val="00AA77DD"/>
    <w:rsid w:val="00AA7E43"/>
    <w:rsid w:val="00AB384A"/>
    <w:rsid w:val="00AB43A5"/>
    <w:rsid w:val="00AB4C14"/>
    <w:rsid w:val="00AB5027"/>
    <w:rsid w:val="00AB6DB6"/>
    <w:rsid w:val="00AB7484"/>
    <w:rsid w:val="00AB7F54"/>
    <w:rsid w:val="00AC409C"/>
    <w:rsid w:val="00AC5825"/>
    <w:rsid w:val="00AC62DD"/>
    <w:rsid w:val="00AD11CC"/>
    <w:rsid w:val="00AD365A"/>
    <w:rsid w:val="00AD3781"/>
    <w:rsid w:val="00AD3896"/>
    <w:rsid w:val="00AD4220"/>
    <w:rsid w:val="00AD4773"/>
    <w:rsid w:val="00AD61E3"/>
    <w:rsid w:val="00AE10EC"/>
    <w:rsid w:val="00AE5D25"/>
    <w:rsid w:val="00AE65FA"/>
    <w:rsid w:val="00AE7E34"/>
    <w:rsid w:val="00AF3A69"/>
    <w:rsid w:val="00AF727F"/>
    <w:rsid w:val="00AF77FC"/>
    <w:rsid w:val="00AF7C15"/>
    <w:rsid w:val="00B00252"/>
    <w:rsid w:val="00B04D7A"/>
    <w:rsid w:val="00B04DD2"/>
    <w:rsid w:val="00B0618C"/>
    <w:rsid w:val="00B06509"/>
    <w:rsid w:val="00B068A1"/>
    <w:rsid w:val="00B0696B"/>
    <w:rsid w:val="00B10183"/>
    <w:rsid w:val="00B115CF"/>
    <w:rsid w:val="00B11E5F"/>
    <w:rsid w:val="00B133FF"/>
    <w:rsid w:val="00B13753"/>
    <w:rsid w:val="00B13C9A"/>
    <w:rsid w:val="00B1436C"/>
    <w:rsid w:val="00B1453A"/>
    <w:rsid w:val="00B16251"/>
    <w:rsid w:val="00B20C6E"/>
    <w:rsid w:val="00B22C6C"/>
    <w:rsid w:val="00B2301F"/>
    <w:rsid w:val="00B26D0B"/>
    <w:rsid w:val="00B30763"/>
    <w:rsid w:val="00B31EC3"/>
    <w:rsid w:val="00B332D1"/>
    <w:rsid w:val="00B34303"/>
    <w:rsid w:val="00B3569E"/>
    <w:rsid w:val="00B35751"/>
    <w:rsid w:val="00B40224"/>
    <w:rsid w:val="00B42BBB"/>
    <w:rsid w:val="00B4551A"/>
    <w:rsid w:val="00B4684D"/>
    <w:rsid w:val="00B46B32"/>
    <w:rsid w:val="00B51636"/>
    <w:rsid w:val="00B5438B"/>
    <w:rsid w:val="00B543ED"/>
    <w:rsid w:val="00B5704F"/>
    <w:rsid w:val="00B608C1"/>
    <w:rsid w:val="00B61131"/>
    <w:rsid w:val="00B62A21"/>
    <w:rsid w:val="00B644DE"/>
    <w:rsid w:val="00B645D0"/>
    <w:rsid w:val="00B65218"/>
    <w:rsid w:val="00B66B16"/>
    <w:rsid w:val="00B67E47"/>
    <w:rsid w:val="00B71926"/>
    <w:rsid w:val="00B7302A"/>
    <w:rsid w:val="00B73F14"/>
    <w:rsid w:val="00B776CE"/>
    <w:rsid w:val="00B80DBC"/>
    <w:rsid w:val="00B81A01"/>
    <w:rsid w:val="00B82040"/>
    <w:rsid w:val="00B829CE"/>
    <w:rsid w:val="00B84B64"/>
    <w:rsid w:val="00B87110"/>
    <w:rsid w:val="00B912A7"/>
    <w:rsid w:val="00B926CD"/>
    <w:rsid w:val="00B94CEF"/>
    <w:rsid w:val="00BA0D73"/>
    <w:rsid w:val="00BA6977"/>
    <w:rsid w:val="00BB1601"/>
    <w:rsid w:val="00BB4652"/>
    <w:rsid w:val="00BB4A82"/>
    <w:rsid w:val="00BC29C4"/>
    <w:rsid w:val="00BC3368"/>
    <w:rsid w:val="00BC3539"/>
    <w:rsid w:val="00BC3B3A"/>
    <w:rsid w:val="00BC40A0"/>
    <w:rsid w:val="00BC57F5"/>
    <w:rsid w:val="00BC68D7"/>
    <w:rsid w:val="00BC7011"/>
    <w:rsid w:val="00BC72FF"/>
    <w:rsid w:val="00BD1169"/>
    <w:rsid w:val="00BD31F1"/>
    <w:rsid w:val="00BD4175"/>
    <w:rsid w:val="00BD4EF4"/>
    <w:rsid w:val="00BD6CD5"/>
    <w:rsid w:val="00BD74A2"/>
    <w:rsid w:val="00BD76E7"/>
    <w:rsid w:val="00BE1437"/>
    <w:rsid w:val="00BE44AC"/>
    <w:rsid w:val="00BE496B"/>
    <w:rsid w:val="00BE4B3C"/>
    <w:rsid w:val="00BE59A4"/>
    <w:rsid w:val="00BE683B"/>
    <w:rsid w:val="00BE79F8"/>
    <w:rsid w:val="00BF10E5"/>
    <w:rsid w:val="00BF3D52"/>
    <w:rsid w:val="00BF6D30"/>
    <w:rsid w:val="00BF78FB"/>
    <w:rsid w:val="00C01E14"/>
    <w:rsid w:val="00C01E5D"/>
    <w:rsid w:val="00C029B5"/>
    <w:rsid w:val="00C127F9"/>
    <w:rsid w:val="00C1316C"/>
    <w:rsid w:val="00C1364F"/>
    <w:rsid w:val="00C14758"/>
    <w:rsid w:val="00C15265"/>
    <w:rsid w:val="00C167A2"/>
    <w:rsid w:val="00C20F4A"/>
    <w:rsid w:val="00C2157D"/>
    <w:rsid w:val="00C216CE"/>
    <w:rsid w:val="00C21C86"/>
    <w:rsid w:val="00C21E23"/>
    <w:rsid w:val="00C2290D"/>
    <w:rsid w:val="00C2540C"/>
    <w:rsid w:val="00C3389A"/>
    <w:rsid w:val="00C3450A"/>
    <w:rsid w:val="00C368B1"/>
    <w:rsid w:val="00C41FFE"/>
    <w:rsid w:val="00C42592"/>
    <w:rsid w:val="00C43D35"/>
    <w:rsid w:val="00C47B78"/>
    <w:rsid w:val="00C52ADB"/>
    <w:rsid w:val="00C5336E"/>
    <w:rsid w:val="00C54EDC"/>
    <w:rsid w:val="00C5521E"/>
    <w:rsid w:val="00C56331"/>
    <w:rsid w:val="00C60D98"/>
    <w:rsid w:val="00C61EBB"/>
    <w:rsid w:val="00C64116"/>
    <w:rsid w:val="00C66ADE"/>
    <w:rsid w:val="00C67428"/>
    <w:rsid w:val="00C67A5E"/>
    <w:rsid w:val="00C700AD"/>
    <w:rsid w:val="00C723B0"/>
    <w:rsid w:val="00C72A82"/>
    <w:rsid w:val="00C73388"/>
    <w:rsid w:val="00C73CAF"/>
    <w:rsid w:val="00C8127B"/>
    <w:rsid w:val="00C81540"/>
    <w:rsid w:val="00C84740"/>
    <w:rsid w:val="00C84A63"/>
    <w:rsid w:val="00C85CF7"/>
    <w:rsid w:val="00C9089E"/>
    <w:rsid w:val="00C914C6"/>
    <w:rsid w:val="00C92861"/>
    <w:rsid w:val="00C92E61"/>
    <w:rsid w:val="00C953A2"/>
    <w:rsid w:val="00C95445"/>
    <w:rsid w:val="00C956D1"/>
    <w:rsid w:val="00C95AF6"/>
    <w:rsid w:val="00C97CD1"/>
    <w:rsid w:val="00CA09DD"/>
    <w:rsid w:val="00CA0BC7"/>
    <w:rsid w:val="00CA47AC"/>
    <w:rsid w:val="00CA4CDC"/>
    <w:rsid w:val="00CA5425"/>
    <w:rsid w:val="00CA645F"/>
    <w:rsid w:val="00CA7CBA"/>
    <w:rsid w:val="00CB1499"/>
    <w:rsid w:val="00CB21B3"/>
    <w:rsid w:val="00CB450B"/>
    <w:rsid w:val="00CB58BF"/>
    <w:rsid w:val="00CB675C"/>
    <w:rsid w:val="00CD0916"/>
    <w:rsid w:val="00CD21F1"/>
    <w:rsid w:val="00CD2F24"/>
    <w:rsid w:val="00CD4E5F"/>
    <w:rsid w:val="00CD65D0"/>
    <w:rsid w:val="00CD68ED"/>
    <w:rsid w:val="00CE182D"/>
    <w:rsid w:val="00CE19BB"/>
    <w:rsid w:val="00CE258C"/>
    <w:rsid w:val="00CE37B7"/>
    <w:rsid w:val="00CE6B76"/>
    <w:rsid w:val="00CE6B7B"/>
    <w:rsid w:val="00CF117C"/>
    <w:rsid w:val="00CF154C"/>
    <w:rsid w:val="00CF1EE9"/>
    <w:rsid w:val="00CF24C6"/>
    <w:rsid w:val="00CF2727"/>
    <w:rsid w:val="00CF27EA"/>
    <w:rsid w:val="00CF4424"/>
    <w:rsid w:val="00D01B18"/>
    <w:rsid w:val="00D0251E"/>
    <w:rsid w:val="00D03AC5"/>
    <w:rsid w:val="00D043F2"/>
    <w:rsid w:val="00D0515A"/>
    <w:rsid w:val="00D06F58"/>
    <w:rsid w:val="00D07769"/>
    <w:rsid w:val="00D134C0"/>
    <w:rsid w:val="00D13B6D"/>
    <w:rsid w:val="00D13E5F"/>
    <w:rsid w:val="00D1426F"/>
    <w:rsid w:val="00D15294"/>
    <w:rsid w:val="00D20E8C"/>
    <w:rsid w:val="00D21225"/>
    <w:rsid w:val="00D24F81"/>
    <w:rsid w:val="00D25529"/>
    <w:rsid w:val="00D268C9"/>
    <w:rsid w:val="00D27C60"/>
    <w:rsid w:val="00D30C16"/>
    <w:rsid w:val="00D31B06"/>
    <w:rsid w:val="00D334CA"/>
    <w:rsid w:val="00D34546"/>
    <w:rsid w:val="00D354B7"/>
    <w:rsid w:val="00D369C0"/>
    <w:rsid w:val="00D37A73"/>
    <w:rsid w:val="00D40040"/>
    <w:rsid w:val="00D40CB6"/>
    <w:rsid w:val="00D40EB9"/>
    <w:rsid w:val="00D41664"/>
    <w:rsid w:val="00D4382E"/>
    <w:rsid w:val="00D458E2"/>
    <w:rsid w:val="00D45FE5"/>
    <w:rsid w:val="00D46290"/>
    <w:rsid w:val="00D5421F"/>
    <w:rsid w:val="00D565E1"/>
    <w:rsid w:val="00D57233"/>
    <w:rsid w:val="00D623B0"/>
    <w:rsid w:val="00D62CB0"/>
    <w:rsid w:val="00D6311E"/>
    <w:rsid w:val="00D63CBC"/>
    <w:rsid w:val="00D661A3"/>
    <w:rsid w:val="00D706B0"/>
    <w:rsid w:val="00D71AF5"/>
    <w:rsid w:val="00D72268"/>
    <w:rsid w:val="00D728C8"/>
    <w:rsid w:val="00D7542E"/>
    <w:rsid w:val="00D759BD"/>
    <w:rsid w:val="00D77545"/>
    <w:rsid w:val="00D82467"/>
    <w:rsid w:val="00D85C52"/>
    <w:rsid w:val="00D869BF"/>
    <w:rsid w:val="00D91691"/>
    <w:rsid w:val="00D92036"/>
    <w:rsid w:val="00D95C32"/>
    <w:rsid w:val="00D96C03"/>
    <w:rsid w:val="00DA2730"/>
    <w:rsid w:val="00DA4349"/>
    <w:rsid w:val="00DA5CF2"/>
    <w:rsid w:val="00DB2644"/>
    <w:rsid w:val="00DB4337"/>
    <w:rsid w:val="00DB448D"/>
    <w:rsid w:val="00DB4BC3"/>
    <w:rsid w:val="00DB57E7"/>
    <w:rsid w:val="00DC04FC"/>
    <w:rsid w:val="00DC20E3"/>
    <w:rsid w:val="00DC21A5"/>
    <w:rsid w:val="00DC2D4D"/>
    <w:rsid w:val="00DC468F"/>
    <w:rsid w:val="00DC548E"/>
    <w:rsid w:val="00DD2CD0"/>
    <w:rsid w:val="00DD7568"/>
    <w:rsid w:val="00DE1676"/>
    <w:rsid w:val="00DE17FE"/>
    <w:rsid w:val="00DE2156"/>
    <w:rsid w:val="00DE24A4"/>
    <w:rsid w:val="00DE323A"/>
    <w:rsid w:val="00DE48DC"/>
    <w:rsid w:val="00DE6E39"/>
    <w:rsid w:val="00DE76C0"/>
    <w:rsid w:val="00DF1E09"/>
    <w:rsid w:val="00DF296A"/>
    <w:rsid w:val="00DF2FA9"/>
    <w:rsid w:val="00DF3719"/>
    <w:rsid w:val="00DF3A8C"/>
    <w:rsid w:val="00DF4664"/>
    <w:rsid w:val="00DF5B7C"/>
    <w:rsid w:val="00DF5C09"/>
    <w:rsid w:val="00DF6E35"/>
    <w:rsid w:val="00DF6FA7"/>
    <w:rsid w:val="00E01676"/>
    <w:rsid w:val="00E045D1"/>
    <w:rsid w:val="00E05129"/>
    <w:rsid w:val="00E05BFF"/>
    <w:rsid w:val="00E06CCF"/>
    <w:rsid w:val="00E079E2"/>
    <w:rsid w:val="00E12132"/>
    <w:rsid w:val="00E12E53"/>
    <w:rsid w:val="00E1332D"/>
    <w:rsid w:val="00E13738"/>
    <w:rsid w:val="00E13E03"/>
    <w:rsid w:val="00E172B2"/>
    <w:rsid w:val="00E20DA9"/>
    <w:rsid w:val="00E20E55"/>
    <w:rsid w:val="00E268AE"/>
    <w:rsid w:val="00E27362"/>
    <w:rsid w:val="00E3045A"/>
    <w:rsid w:val="00E30780"/>
    <w:rsid w:val="00E311E1"/>
    <w:rsid w:val="00E31CE1"/>
    <w:rsid w:val="00E33BF9"/>
    <w:rsid w:val="00E34CA0"/>
    <w:rsid w:val="00E35E6F"/>
    <w:rsid w:val="00E368DC"/>
    <w:rsid w:val="00E41452"/>
    <w:rsid w:val="00E41E43"/>
    <w:rsid w:val="00E43918"/>
    <w:rsid w:val="00E469D0"/>
    <w:rsid w:val="00E4729C"/>
    <w:rsid w:val="00E47DFD"/>
    <w:rsid w:val="00E50314"/>
    <w:rsid w:val="00E53D52"/>
    <w:rsid w:val="00E541A8"/>
    <w:rsid w:val="00E544D9"/>
    <w:rsid w:val="00E54D66"/>
    <w:rsid w:val="00E550FF"/>
    <w:rsid w:val="00E55728"/>
    <w:rsid w:val="00E5732B"/>
    <w:rsid w:val="00E61244"/>
    <w:rsid w:val="00E62539"/>
    <w:rsid w:val="00E627EE"/>
    <w:rsid w:val="00E63367"/>
    <w:rsid w:val="00E634E3"/>
    <w:rsid w:val="00E64612"/>
    <w:rsid w:val="00E66A7E"/>
    <w:rsid w:val="00E6785B"/>
    <w:rsid w:val="00E73533"/>
    <w:rsid w:val="00E769C5"/>
    <w:rsid w:val="00E77BA3"/>
    <w:rsid w:val="00E80A6D"/>
    <w:rsid w:val="00E846C1"/>
    <w:rsid w:val="00E85D4E"/>
    <w:rsid w:val="00E91DCE"/>
    <w:rsid w:val="00E91F77"/>
    <w:rsid w:val="00E932DC"/>
    <w:rsid w:val="00E9540E"/>
    <w:rsid w:val="00E9708A"/>
    <w:rsid w:val="00E970EA"/>
    <w:rsid w:val="00EA456A"/>
    <w:rsid w:val="00EA49A1"/>
    <w:rsid w:val="00EB06D6"/>
    <w:rsid w:val="00EB0B94"/>
    <w:rsid w:val="00EB1C79"/>
    <w:rsid w:val="00EB25E4"/>
    <w:rsid w:val="00EB3F7B"/>
    <w:rsid w:val="00EB5B3D"/>
    <w:rsid w:val="00EC05A0"/>
    <w:rsid w:val="00EC48E9"/>
    <w:rsid w:val="00EC4EA0"/>
    <w:rsid w:val="00EC4F4A"/>
    <w:rsid w:val="00EC78B1"/>
    <w:rsid w:val="00EC7CE8"/>
    <w:rsid w:val="00ED1F29"/>
    <w:rsid w:val="00ED3072"/>
    <w:rsid w:val="00ED479D"/>
    <w:rsid w:val="00ED526A"/>
    <w:rsid w:val="00ED7BB3"/>
    <w:rsid w:val="00EE3981"/>
    <w:rsid w:val="00EE4B67"/>
    <w:rsid w:val="00EE5F16"/>
    <w:rsid w:val="00EF1542"/>
    <w:rsid w:val="00EF39FC"/>
    <w:rsid w:val="00EF4185"/>
    <w:rsid w:val="00EF72C5"/>
    <w:rsid w:val="00EF7E0E"/>
    <w:rsid w:val="00F00196"/>
    <w:rsid w:val="00F0695D"/>
    <w:rsid w:val="00F0775D"/>
    <w:rsid w:val="00F120AD"/>
    <w:rsid w:val="00F1258D"/>
    <w:rsid w:val="00F12F23"/>
    <w:rsid w:val="00F1345E"/>
    <w:rsid w:val="00F13C17"/>
    <w:rsid w:val="00F14367"/>
    <w:rsid w:val="00F20861"/>
    <w:rsid w:val="00F22785"/>
    <w:rsid w:val="00F2291E"/>
    <w:rsid w:val="00F23A88"/>
    <w:rsid w:val="00F24F2D"/>
    <w:rsid w:val="00F258FA"/>
    <w:rsid w:val="00F27033"/>
    <w:rsid w:val="00F326FA"/>
    <w:rsid w:val="00F37646"/>
    <w:rsid w:val="00F40B8D"/>
    <w:rsid w:val="00F42F2A"/>
    <w:rsid w:val="00F43964"/>
    <w:rsid w:val="00F4501C"/>
    <w:rsid w:val="00F45605"/>
    <w:rsid w:val="00F4711E"/>
    <w:rsid w:val="00F47736"/>
    <w:rsid w:val="00F50EA4"/>
    <w:rsid w:val="00F54320"/>
    <w:rsid w:val="00F5499B"/>
    <w:rsid w:val="00F54C1F"/>
    <w:rsid w:val="00F5647E"/>
    <w:rsid w:val="00F6273E"/>
    <w:rsid w:val="00F633C5"/>
    <w:rsid w:val="00F66195"/>
    <w:rsid w:val="00F666D9"/>
    <w:rsid w:val="00F6683A"/>
    <w:rsid w:val="00F707D1"/>
    <w:rsid w:val="00F7144A"/>
    <w:rsid w:val="00F7426E"/>
    <w:rsid w:val="00F74E43"/>
    <w:rsid w:val="00F823BF"/>
    <w:rsid w:val="00F828E7"/>
    <w:rsid w:val="00F83849"/>
    <w:rsid w:val="00F84981"/>
    <w:rsid w:val="00F86481"/>
    <w:rsid w:val="00F86813"/>
    <w:rsid w:val="00F86A35"/>
    <w:rsid w:val="00F878B2"/>
    <w:rsid w:val="00F924CC"/>
    <w:rsid w:val="00F9398C"/>
    <w:rsid w:val="00FA0C89"/>
    <w:rsid w:val="00FA356C"/>
    <w:rsid w:val="00FA48D3"/>
    <w:rsid w:val="00FA4FEB"/>
    <w:rsid w:val="00FA5073"/>
    <w:rsid w:val="00FA54DA"/>
    <w:rsid w:val="00FB10DC"/>
    <w:rsid w:val="00FB5FAD"/>
    <w:rsid w:val="00FB7FD2"/>
    <w:rsid w:val="00FC0928"/>
    <w:rsid w:val="00FC0D4B"/>
    <w:rsid w:val="00FC3B88"/>
    <w:rsid w:val="00FC41C1"/>
    <w:rsid w:val="00FC58D8"/>
    <w:rsid w:val="00FD109B"/>
    <w:rsid w:val="00FD1351"/>
    <w:rsid w:val="00FD19BC"/>
    <w:rsid w:val="00FD1A1A"/>
    <w:rsid w:val="00FD24FF"/>
    <w:rsid w:val="00FD49BA"/>
    <w:rsid w:val="00FD7243"/>
    <w:rsid w:val="00FE0466"/>
    <w:rsid w:val="00FE066C"/>
    <w:rsid w:val="00FE1825"/>
    <w:rsid w:val="00FE2870"/>
    <w:rsid w:val="00FE3D5A"/>
    <w:rsid w:val="00FE4E42"/>
    <w:rsid w:val="00FF1B95"/>
    <w:rsid w:val="00FF41BA"/>
    <w:rsid w:val="00FF422A"/>
    <w:rsid w:val="00FF4A9A"/>
    <w:rsid w:val="08065D59"/>
    <w:rsid w:val="08335C6A"/>
    <w:rsid w:val="0849B7FF"/>
    <w:rsid w:val="09DD8C81"/>
    <w:rsid w:val="09E58860"/>
    <w:rsid w:val="0B8158C1"/>
    <w:rsid w:val="0FACBC76"/>
    <w:rsid w:val="12DEF910"/>
    <w:rsid w:val="13D61A76"/>
    <w:rsid w:val="15F2EC38"/>
    <w:rsid w:val="16AE0B34"/>
    <w:rsid w:val="178EBC99"/>
    <w:rsid w:val="18FE26F0"/>
    <w:rsid w:val="19458F74"/>
    <w:rsid w:val="1B8AF7BD"/>
    <w:rsid w:val="1C721721"/>
    <w:rsid w:val="1FA9B7E3"/>
    <w:rsid w:val="2053AF36"/>
    <w:rsid w:val="2159F731"/>
    <w:rsid w:val="24752D27"/>
    <w:rsid w:val="27ACCDE9"/>
    <w:rsid w:val="284598BE"/>
    <w:rsid w:val="28E0E9D1"/>
    <w:rsid w:val="29E1691F"/>
    <w:rsid w:val="2B998491"/>
    <w:rsid w:val="2BEC54E7"/>
    <w:rsid w:val="2F24C56E"/>
    <w:rsid w:val="2F7FC5C1"/>
    <w:rsid w:val="2FEE3854"/>
    <w:rsid w:val="3273AEDA"/>
    <w:rsid w:val="32FF69F5"/>
    <w:rsid w:val="338C8677"/>
    <w:rsid w:val="358B5BD2"/>
    <w:rsid w:val="3B23CC38"/>
    <w:rsid w:val="428BB6BA"/>
    <w:rsid w:val="45AF4A34"/>
    <w:rsid w:val="4614DA26"/>
    <w:rsid w:val="462C0A45"/>
    <w:rsid w:val="47B0AA87"/>
    <w:rsid w:val="4B108155"/>
    <w:rsid w:val="4C7F4252"/>
    <w:rsid w:val="50164344"/>
    <w:rsid w:val="53213C41"/>
    <w:rsid w:val="543A13DE"/>
    <w:rsid w:val="591D761F"/>
    <w:rsid w:val="5E548154"/>
    <w:rsid w:val="5F2FD669"/>
    <w:rsid w:val="64A85149"/>
    <w:rsid w:val="6910F2BC"/>
    <w:rsid w:val="6CD5425F"/>
    <w:rsid w:val="6E810AE1"/>
    <w:rsid w:val="6EE1C791"/>
    <w:rsid w:val="707FE03C"/>
    <w:rsid w:val="7B12203A"/>
    <w:rsid w:val="7B5B4B91"/>
    <w:rsid w:val="7DF8B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45A72"/>
  <w15:chartTrackingRefBased/>
  <w15:docId w15:val="{87C86494-B63C-470D-ADE4-7BE62EE6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954"/>
  </w:style>
  <w:style w:type="paragraph" w:styleId="Heading1">
    <w:name w:val="heading 1"/>
    <w:basedOn w:val="Normal"/>
    <w:next w:val="Normal"/>
    <w:link w:val="Heading1Char"/>
    <w:uiPriority w:val="9"/>
    <w:qFormat/>
    <w:rsid w:val="003165E8"/>
    <w:pPr>
      <w:keepNext/>
      <w:keepLines/>
      <w:spacing w:before="240" w:after="120" w:line="240" w:lineRule="auto"/>
      <w:contextualSpacing/>
      <w:outlineLvl w:val="0"/>
    </w:pPr>
    <w:rPr>
      <w:rFonts w:asciiTheme="majorHAnsi" w:eastAsiaTheme="majorEastAsia" w:hAnsiTheme="majorHAnsi" w:cstheme="majorBidi"/>
      <w:b/>
      <w:color w:val="011E41" w:themeColor="text2"/>
      <w:sz w:val="52"/>
      <w:szCs w:val="52"/>
    </w:rPr>
  </w:style>
  <w:style w:type="paragraph" w:styleId="Heading2">
    <w:name w:val="heading 2"/>
    <w:basedOn w:val="Normal"/>
    <w:next w:val="Normal"/>
    <w:link w:val="Heading2Char"/>
    <w:uiPriority w:val="9"/>
    <w:unhideWhenUsed/>
    <w:qFormat/>
    <w:rsid w:val="00824720"/>
    <w:pPr>
      <w:keepNext/>
      <w:keepLines/>
      <w:pBdr>
        <w:left w:val="single" w:sz="48" w:space="0" w:color="011E41" w:themeColor="text2"/>
        <w:right w:val="single" w:sz="48" w:space="0" w:color="011E41" w:themeColor="text2"/>
      </w:pBdr>
      <w:shd w:val="clear" w:color="auto" w:fill="011E41" w:themeFill="text2"/>
      <w:spacing w:before="360" w:after="240"/>
      <w:outlineLvl w:val="1"/>
    </w:pPr>
    <w:rPr>
      <w:rFonts w:asciiTheme="majorHAnsi" w:eastAsiaTheme="majorEastAsia" w:hAnsiTheme="majorHAnsi" w:cstheme="majorBidi"/>
      <w:b/>
      <w:color w:val="FFFFFF" w:themeColor="background1"/>
      <w:sz w:val="36"/>
      <w:szCs w:val="26"/>
    </w:rPr>
  </w:style>
  <w:style w:type="paragraph" w:styleId="Heading3">
    <w:name w:val="heading 3"/>
    <w:basedOn w:val="Normal"/>
    <w:next w:val="Normal"/>
    <w:link w:val="Heading3Char"/>
    <w:uiPriority w:val="9"/>
    <w:unhideWhenUsed/>
    <w:qFormat/>
    <w:rsid w:val="00824720"/>
    <w:pPr>
      <w:keepNext/>
      <w:keepLines/>
      <w:pBdr>
        <w:left w:val="single" w:sz="48" w:space="0" w:color="EFE9DA" w:themeColor="background2"/>
        <w:right w:val="single" w:sz="48" w:space="0" w:color="EFE9DA" w:themeColor="background2"/>
      </w:pBdr>
      <w:shd w:val="clear" w:color="auto" w:fill="EFE9DA" w:themeFill="background2"/>
      <w:spacing w:before="360" w:after="240"/>
      <w:outlineLvl w:val="2"/>
    </w:pPr>
    <w:rPr>
      <w:rFonts w:asciiTheme="majorHAnsi" w:eastAsiaTheme="majorEastAsia" w:hAnsiTheme="majorHAnsi" w:cstheme="majorBidi"/>
      <w:b/>
      <w:bCs/>
      <w:color w:val="011E41" w:themeColor="text2"/>
      <w:sz w:val="28"/>
      <w:szCs w:val="24"/>
    </w:rPr>
  </w:style>
  <w:style w:type="paragraph" w:styleId="Heading4">
    <w:name w:val="heading 4"/>
    <w:basedOn w:val="Normal"/>
    <w:next w:val="Normal"/>
    <w:link w:val="Heading4Char"/>
    <w:uiPriority w:val="9"/>
    <w:unhideWhenUsed/>
    <w:qFormat/>
    <w:rsid w:val="003A6CFB"/>
    <w:pPr>
      <w:keepNext/>
      <w:keepLines/>
      <w:pBdr>
        <w:top w:val="dashed" w:sz="6" w:space="6" w:color="EFE9DA" w:themeColor="background2"/>
      </w:pBdr>
      <w:spacing w:before="300" w:after="180"/>
      <w:outlineLvl w:val="3"/>
    </w:pPr>
    <w:rPr>
      <w:rFonts w:asciiTheme="majorHAnsi" w:eastAsiaTheme="majorEastAsia" w:hAnsiTheme="majorHAnsi" w:cstheme="majorBidi"/>
      <w:b/>
      <w:bCs/>
      <w:color w:val="011E41" w:themeColor="text2"/>
      <w:sz w:val="24"/>
    </w:rPr>
  </w:style>
  <w:style w:type="paragraph" w:styleId="Heading5">
    <w:name w:val="heading 5"/>
    <w:basedOn w:val="Normal"/>
    <w:next w:val="Normal"/>
    <w:link w:val="Heading5Char"/>
    <w:uiPriority w:val="9"/>
    <w:unhideWhenUsed/>
    <w:qFormat/>
    <w:rsid w:val="00114FEE"/>
    <w:pPr>
      <w:keepNext/>
      <w:keepLines/>
      <w:spacing w:before="120" w:after="12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unhideWhenUsed/>
    <w:rsid w:val="00AE7E34"/>
    <w:pPr>
      <w:keepNext/>
      <w:keepLines/>
      <w:spacing w:before="120" w:after="120"/>
      <w:outlineLvl w:val="5"/>
    </w:pPr>
    <w:rPr>
      <w:rFonts w:asciiTheme="majorHAnsi" w:eastAsiaTheme="majorEastAsia" w:hAnsiTheme="majorHAnsi" w:cstheme="majorBidi"/>
      <w:color w:val="082F44" w:themeColor="accent1" w:themeShade="7F"/>
    </w:rPr>
  </w:style>
  <w:style w:type="paragraph" w:styleId="Heading7">
    <w:name w:val="heading 7"/>
    <w:basedOn w:val="Normal"/>
    <w:next w:val="Normal"/>
    <w:link w:val="Heading7Char"/>
    <w:uiPriority w:val="9"/>
    <w:unhideWhenUsed/>
    <w:qFormat/>
    <w:rsid w:val="00856E07"/>
    <w:pPr>
      <w:keepNext/>
      <w:keepLines/>
      <w:spacing w:before="40" w:after="0"/>
      <w:outlineLvl w:val="6"/>
    </w:pPr>
    <w:rPr>
      <w:rFonts w:asciiTheme="majorHAnsi" w:eastAsiaTheme="majorEastAsia" w:hAnsiTheme="majorHAnsi" w:cstheme="majorBidi"/>
      <w:i/>
      <w:iCs/>
      <w:color w:val="082F44" w:themeColor="accent1" w:themeShade="7F"/>
    </w:rPr>
  </w:style>
  <w:style w:type="paragraph" w:styleId="Heading8">
    <w:name w:val="heading 8"/>
    <w:basedOn w:val="Normal"/>
    <w:next w:val="Normal"/>
    <w:link w:val="Heading8Char"/>
    <w:uiPriority w:val="9"/>
    <w:unhideWhenUsed/>
    <w:qFormat/>
    <w:rsid w:val="00856E07"/>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342"/>
    <w:pPr>
      <w:spacing w:line="240" w:lineRule="auto"/>
      <w:contextualSpacing/>
    </w:pPr>
  </w:style>
  <w:style w:type="character" w:customStyle="1" w:styleId="Heading2Char">
    <w:name w:val="Heading 2 Char"/>
    <w:basedOn w:val="DefaultParagraphFont"/>
    <w:link w:val="Heading2"/>
    <w:uiPriority w:val="9"/>
    <w:rsid w:val="00824720"/>
    <w:rPr>
      <w:rFonts w:asciiTheme="majorHAnsi" w:eastAsiaTheme="majorEastAsia" w:hAnsiTheme="majorHAnsi" w:cstheme="majorBidi"/>
      <w:b/>
      <w:color w:val="FFFFFF" w:themeColor="background1"/>
      <w:sz w:val="36"/>
      <w:szCs w:val="26"/>
      <w:shd w:val="clear" w:color="auto" w:fill="011E41" w:themeFill="text2"/>
    </w:rPr>
  </w:style>
  <w:style w:type="character" w:customStyle="1" w:styleId="Heading3Char">
    <w:name w:val="Heading 3 Char"/>
    <w:basedOn w:val="DefaultParagraphFont"/>
    <w:link w:val="Heading3"/>
    <w:uiPriority w:val="9"/>
    <w:rsid w:val="00824720"/>
    <w:rPr>
      <w:rFonts w:asciiTheme="majorHAnsi" w:eastAsiaTheme="majorEastAsia" w:hAnsiTheme="majorHAnsi" w:cstheme="majorBidi"/>
      <w:b/>
      <w:bCs/>
      <w:color w:val="011E41" w:themeColor="text2"/>
      <w:sz w:val="28"/>
      <w:szCs w:val="24"/>
      <w:shd w:val="clear" w:color="auto" w:fill="EFE9DA" w:themeFill="background2"/>
    </w:rPr>
  </w:style>
  <w:style w:type="character" w:customStyle="1" w:styleId="Heading4Char">
    <w:name w:val="Heading 4 Char"/>
    <w:basedOn w:val="DefaultParagraphFont"/>
    <w:link w:val="Heading4"/>
    <w:uiPriority w:val="9"/>
    <w:rsid w:val="003A6CFB"/>
    <w:rPr>
      <w:rFonts w:asciiTheme="majorHAnsi" w:eastAsiaTheme="majorEastAsia" w:hAnsiTheme="majorHAnsi" w:cstheme="majorBidi"/>
      <w:b/>
      <w:bCs/>
      <w:color w:val="011E41" w:themeColor="text2"/>
      <w:sz w:val="24"/>
    </w:rPr>
  </w:style>
  <w:style w:type="character" w:customStyle="1" w:styleId="Heading5Char">
    <w:name w:val="Heading 5 Char"/>
    <w:basedOn w:val="DefaultParagraphFont"/>
    <w:link w:val="Heading5"/>
    <w:uiPriority w:val="9"/>
    <w:rsid w:val="00114FEE"/>
    <w:rPr>
      <w:rFonts w:asciiTheme="majorHAnsi" w:eastAsiaTheme="majorEastAsia" w:hAnsiTheme="majorHAnsi" w:cstheme="majorBidi"/>
      <w:b/>
      <w:color w:val="000000" w:themeColor="text1"/>
    </w:rPr>
  </w:style>
  <w:style w:type="character" w:customStyle="1" w:styleId="Heading1Char">
    <w:name w:val="Heading 1 Char"/>
    <w:basedOn w:val="DefaultParagraphFont"/>
    <w:link w:val="Heading1"/>
    <w:uiPriority w:val="9"/>
    <w:rsid w:val="003165E8"/>
    <w:rPr>
      <w:rFonts w:asciiTheme="majorHAnsi" w:eastAsiaTheme="majorEastAsia" w:hAnsiTheme="majorHAnsi" w:cstheme="majorBidi"/>
      <w:b/>
      <w:color w:val="011E41" w:themeColor="text2"/>
      <w:sz w:val="52"/>
      <w:szCs w:val="52"/>
    </w:rPr>
  </w:style>
  <w:style w:type="paragraph" w:styleId="Header">
    <w:name w:val="header"/>
    <w:basedOn w:val="Normal"/>
    <w:link w:val="HeaderChar"/>
    <w:uiPriority w:val="99"/>
    <w:unhideWhenUsed/>
    <w:rsid w:val="006131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1C4"/>
  </w:style>
  <w:style w:type="paragraph" w:styleId="Footer">
    <w:name w:val="footer"/>
    <w:basedOn w:val="Normal"/>
    <w:link w:val="FooterChar"/>
    <w:uiPriority w:val="99"/>
    <w:unhideWhenUsed/>
    <w:rsid w:val="00216A29"/>
    <w:pPr>
      <w:pBdr>
        <w:top w:val="single" w:sz="6" w:space="3" w:color="BFBFBF" w:themeColor="background1" w:themeShade="BF"/>
      </w:pBd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216A29"/>
    <w:rPr>
      <w:sz w:val="16"/>
    </w:rPr>
  </w:style>
  <w:style w:type="table" w:styleId="TableGrid">
    <w:name w:val="Table Grid"/>
    <w:basedOn w:val="TableNormal"/>
    <w:uiPriority w:val="39"/>
    <w:rsid w:val="007711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71154"/>
    <w:pPr>
      <w:spacing w:after="0" w:line="240" w:lineRule="auto"/>
    </w:pPr>
    <w:tblPr>
      <w:tblStyleRowBandSize w:val="1"/>
      <w:tblStyleColBandSize w:val="1"/>
      <w:tblBorders>
        <w:top w:val="single" w:sz="4" w:space="0" w:color="106089" w:themeColor="accent1"/>
        <w:left w:val="single" w:sz="4" w:space="0" w:color="106089" w:themeColor="accent1"/>
        <w:bottom w:val="single" w:sz="4" w:space="0" w:color="106089" w:themeColor="accent1"/>
        <w:right w:val="single" w:sz="4" w:space="0" w:color="106089" w:themeColor="accent1"/>
      </w:tblBorders>
    </w:tblPr>
    <w:tblStylePr w:type="firstRow">
      <w:rPr>
        <w:b/>
        <w:bCs/>
        <w:color w:val="FFFFFF" w:themeColor="background1"/>
      </w:rPr>
      <w:tblPr/>
      <w:tcPr>
        <w:shd w:val="clear" w:color="auto" w:fill="106089" w:themeFill="accent1"/>
      </w:tcPr>
    </w:tblStylePr>
    <w:tblStylePr w:type="lastRow">
      <w:rPr>
        <w:b/>
        <w:bCs/>
      </w:rPr>
      <w:tblPr/>
      <w:tcPr>
        <w:tcBorders>
          <w:top w:val="double" w:sz="4" w:space="0" w:color="10608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6089" w:themeColor="accent1"/>
          <w:right w:val="single" w:sz="4" w:space="0" w:color="106089" w:themeColor="accent1"/>
        </w:tcBorders>
      </w:tcPr>
    </w:tblStylePr>
    <w:tblStylePr w:type="band1Horz">
      <w:tblPr/>
      <w:tcPr>
        <w:tcBorders>
          <w:top w:val="single" w:sz="4" w:space="0" w:color="106089" w:themeColor="accent1"/>
          <w:bottom w:val="single" w:sz="4" w:space="0" w:color="10608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6089" w:themeColor="accent1"/>
          <w:left w:val="nil"/>
        </w:tcBorders>
      </w:tcPr>
    </w:tblStylePr>
    <w:tblStylePr w:type="swCell">
      <w:tblPr/>
      <w:tcPr>
        <w:tcBorders>
          <w:top w:val="double" w:sz="4" w:space="0" w:color="106089" w:themeColor="accent1"/>
          <w:right w:val="nil"/>
        </w:tcBorders>
      </w:tcPr>
    </w:tblStylePr>
  </w:style>
  <w:style w:type="character" w:styleId="Strong">
    <w:name w:val="Strong"/>
    <w:basedOn w:val="DefaultParagraphFont"/>
    <w:uiPriority w:val="22"/>
    <w:qFormat/>
    <w:rsid w:val="00B16251"/>
    <w:rPr>
      <w:b/>
      <w:bCs/>
    </w:rPr>
  </w:style>
  <w:style w:type="character" w:styleId="Hyperlink">
    <w:name w:val="Hyperlink"/>
    <w:basedOn w:val="DefaultParagraphFont"/>
    <w:uiPriority w:val="99"/>
    <w:unhideWhenUsed/>
    <w:rsid w:val="000C6A40"/>
    <w:rPr>
      <w:color w:val="0068A9" w:themeColor="hyperlink"/>
      <w:u w:val="single"/>
    </w:rPr>
  </w:style>
  <w:style w:type="character" w:styleId="CommentReference">
    <w:name w:val="annotation reference"/>
    <w:basedOn w:val="DefaultParagraphFont"/>
    <w:uiPriority w:val="99"/>
    <w:semiHidden/>
    <w:unhideWhenUsed/>
    <w:rsid w:val="001733B5"/>
    <w:rPr>
      <w:sz w:val="16"/>
      <w:szCs w:val="16"/>
    </w:rPr>
  </w:style>
  <w:style w:type="paragraph" w:styleId="CommentText">
    <w:name w:val="annotation text"/>
    <w:basedOn w:val="Normal"/>
    <w:link w:val="CommentTextChar"/>
    <w:uiPriority w:val="99"/>
    <w:unhideWhenUsed/>
    <w:rsid w:val="001733B5"/>
    <w:pPr>
      <w:spacing w:line="240" w:lineRule="auto"/>
    </w:pPr>
    <w:rPr>
      <w:sz w:val="20"/>
      <w:szCs w:val="20"/>
    </w:rPr>
  </w:style>
  <w:style w:type="character" w:customStyle="1" w:styleId="CommentTextChar">
    <w:name w:val="Comment Text Char"/>
    <w:basedOn w:val="DefaultParagraphFont"/>
    <w:link w:val="CommentText"/>
    <w:uiPriority w:val="99"/>
    <w:rsid w:val="001733B5"/>
    <w:rPr>
      <w:sz w:val="20"/>
      <w:szCs w:val="20"/>
    </w:rPr>
  </w:style>
  <w:style w:type="paragraph" w:styleId="CommentSubject">
    <w:name w:val="annotation subject"/>
    <w:basedOn w:val="CommentText"/>
    <w:next w:val="CommentText"/>
    <w:link w:val="CommentSubjectChar"/>
    <w:uiPriority w:val="99"/>
    <w:semiHidden/>
    <w:unhideWhenUsed/>
    <w:rsid w:val="001733B5"/>
    <w:rPr>
      <w:b/>
      <w:bCs/>
    </w:rPr>
  </w:style>
  <w:style w:type="character" w:customStyle="1" w:styleId="CommentSubjectChar">
    <w:name w:val="Comment Subject Char"/>
    <w:basedOn w:val="CommentTextChar"/>
    <w:link w:val="CommentSubject"/>
    <w:uiPriority w:val="99"/>
    <w:semiHidden/>
    <w:rsid w:val="001733B5"/>
    <w:rPr>
      <w:b/>
      <w:bCs/>
      <w:sz w:val="20"/>
      <w:szCs w:val="20"/>
    </w:rPr>
  </w:style>
  <w:style w:type="character" w:customStyle="1" w:styleId="Heading6Char">
    <w:name w:val="Heading 6 Char"/>
    <w:basedOn w:val="DefaultParagraphFont"/>
    <w:link w:val="Heading6"/>
    <w:uiPriority w:val="9"/>
    <w:rsid w:val="00AE7E34"/>
    <w:rPr>
      <w:rFonts w:asciiTheme="majorHAnsi" w:eastAsiaTheme="majorEastAsia" w:hAnsiTheme="majorHAnsi" w:cstheme="majorBidi"/>
      <w:color w:val="082F44" w:themeColor="accent1" w:themeShade="7F"/>
    </w:rPr>
  </w:style>
  <w:style w:type="character" w:customStyle="1" w:styleId="Heading7Char">
    <w:name w:val="Heading 7 Char"/>
    <w:basedOn w:val="DefaultParagraphFont"/>
    <w:link w:val="Heading7"/>
    <w:uiPriority w:val="9"/>
    <w:rsid w:val="00856E07"/>
    <w:rPr>
      <w:rFonts w:asciiTheme="majorHAnsi" w:eastAsiaTheme="majorEastAsia" w:hAnsiTheme="majorHAnsi" w:cstheme="majorBidi"/>
      <w:i/>
      <w:iCs/>
      <w:color w:val="082F44" w:themeColor="accent1" w:themeShade="7F"/>
    </w:rPr>
  </w:style>
  <w:style w:type="character" w:customStyle="1" w:styleId="Heading8Char">
    <w:name w:val="Heading 8 Char"/>
    <w:basedOn w:val="DefaultParagraphFont"/>
    <w:link w:val="Heading8"/>
    <w:uiPriority w:val="9"/>
    <w:rsid w:val="00856E07"/>
    <w:rPr>
      <w:rFonts w:asciiTheme="majorHAnsi" w:eastAsiaTheme="majorEastAsia" w:hAnsiTheme="majorHAnsi" w:cstheme="majorBidi"/>
      <w:color w:val="272727" w:themeColor="text1" w:themeTint="D8"/>
      <w:sz w:val="21"/>
      <w:szCs w:val="21"/>
    </w:rPr>
  </w:style>
  <w:style w:type="character" w:styleId="FollowedHyperlink">
    <w:name w:val="FollowedHyperlink"/>
    <w:basedOn w:val="DefaultParagraphFont"/>
    <w:uiPriority w:val="99"/>
    <w:semiHidden/>
    <w:unhideWhenUsed/>
    <w:rsid w:val="00B16251"/>
    <w:rPr>
      <w:color w:val="954F72" w:themeColor="followedHyperlink"/>
      <w:u w:val="single"/>
    </w:rPr>
  </w:style>
  <w:style w:type="table" w:customStyle="1" w:styleId="OUP">
    <w:name w:val="OUP"/>
    <w:basedOn w:val="TableNormal"/>
    <w:uiPriority w:val="99"/>
    <w:rsid w:val="00E627EE"/>
    <w:pPr>
      <w:spacing w:after="0" w:line="240" w:lineRule="auto"/>
    </w:pPr>
    <w:tblPr>
      <w:tblStyleRowBandSize w:val="1"/>
      <w:tblStyleColBandSize w:val="1"/>
      <w:tblBorders>
        <w:top w:val="single" w:sz="4" w:space="0" w:color="7EC9F0" w:themeColor="accent1" w:themeTint="66"/>
        <w:left w:val="single" w:sz="4" w:space="0" w:color="7EC9F0" w:themeColor="accent1" w:themeTint="66"/>
        <w:bottom w:val="single" w:sz="4" w:space="0" w:color="7EC9F0" w:themeColor="accent1" w:themeTint="66"/>
        <w:right w:val="single" w:sz="4" w:space="0" w:color="7EC9F0" w:themeColor="accent1" w:themeTint="66"/>
        <w:insideH w:val="single" w:sz="4" w:space="0" w:color="7EC9F0" w:themeColor="accent1" w:themeTint="66"/>
        <w:insideV w:val="single" w:sz="4" w:space="0" w:color="7EC9F0" w:themeColor="accent1" w:themeTint="66"/>
      </w:tblBorders>
      <w:tblCellMar>
        <w:top w:w="57" w:type="dxa"/>
        <w:left w:w="57" w:type="dxa"/>
        <w:bottom w:w="57" w:type="dxa"/>
        <w:right w:w="57" w:type="dxa"/>
      </w:tblCellMar>
    </w:tblPr>
    <w:trPr>
      <w:cantSplit/>
    </w:trPr>
    <w:tcPr>
      <w:shd w:val="clear" w:color="auto" w:fill="auto"/>
    </w:tcPr>
    <w:tblStylePr w:type="firstRow">
      <w:rPr>
        <w:rFonts w:asciiTheme="minorHAnsi" w:hAnsiTheme="minorHAnsi"/>
        <w:b w:val="0"/>
        <w:caps w:val="0"/>
        <w:smallCaps w:val="0"/>
        <w:color w:val="FFFFFF" w:themeColor="background1"/>
        <w:sz w:val="24"/>
      </w:rPr>
      <w:tblPr>
        <w:tblCellMar>
          <w:top w:w="28" w:type="dxa"/>
          <w:left w:w="85" w:type="dxa"/>
          <w:bottom w:w="28" w:type="dxa"/>
          <w:right w:w="85" w:type="dxa"/>
        </w:tblCellMar>
      </w:tblPr>
      <w:trPr>
        <w:cantSplit w:val="0"/>
      </w:trPr>
      <w:tcPr>
        <w:shd w:val="clear" w:color="auto" w:fill="106089" w:themeFill="accent1"/>
        <w:vAlign w:val="center"/>
      </w:tcPr>
    </w:tblStylePr>
    <w:tblStylePr w:type="lastRow">
      <w:tblPr/>
      <w:tcPr>
        <w:shd w:val="clear" w:color="auto" w:fill="BEE4F7" w:themeFill="accent1" w:themeFillTint="33"/>
      </w:tcPr>
    </w:tblStylePr>
    <w:tblStylePr w:type="firstCol">
      <w:rPr>
        <w:rFonts w:asciiTheme="minorHAnsi" w:hAnsiTheme="minorHAnsi"/>
        <w:b/>
        <w:color w:val="000000" w:themeColor="text1"/>
        <w:sz w:val="22"/>
      </w:rPr>
      <w:tblPr/>
      <w:tcPr>
        <w:shd w:val="clear" w:color="auto" w:fill="BEE4F7" w:themeFill="accent1" w:themeFillTint="33"/>
      </w:tcPr>
    </w:tblStylePr>
    <w:tblStylePr w:type="lastCol">
      <w:rPr>
        <w:b/>
      </w:rPr>
      <w:tblPr/>
      <w:tcPr>
        <w:shd w:val="clear" w:color="auto" w:fill="BEE4F7" w:themeFill="accent1" w:themeFillTint="33"/>
      </w:tcPr>
    </w:tblStylePr>
    <w:tblStylePr w:type="band2Vert">
      <w:tblPr/>
      <w:tcPr>
        <w:shd w:val="clear" w:color="auto" w:fill="F2F2F2" w:themeFill="background1" w:themeFillShade="F2"/>
      </w:tc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605066"/>
    <w:rPr>
      <w:color w:val="605E5C"/>
      <w:shd w:val="clear" w:color="auto" w:fill="E1DFDD"/>
    </w:rPr>
  </w:style>
  <w:style w:type="character" w:styleId="PlaceholderText">
    <w:name w:val="Placeholder Text"/>
    <w:basedOn w:val="DefaultParagraphFont"/>
    <w:uiPriority w:val="99"/>
    <w:semiHidden/>
    <w:rsid w:val="00807BDE"/>
    <w:rPr>
      <w:color w:val="666666"/>
    </w:rPr>
  </w:style>
  <w:style w:type="paragraph" w:styleId="Title">
    <w:name w:val="Title"/>
    <w:basedOn w:val="Normal"/>
    <w:next w:val="Normal"/>
    <w:link w:val="TitleChar"/>
    <w:uiPriority w:val="10"/>
    <w:qFormat/>
    <w:rsid w:val="008C7E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0DC"/>
    <w:pPr>
      <w:numPr>
        <w:ilvl w:val="1"/>
      </w:numPr>
    </w:pPr>
    <w:rPr>
      <w:rFonts w:eastAsiaTheme="minorEastAsia"/>
      <w:color w:val="595959"/>
      <w:spacing w:val="15"/>
    </w:rPr>
  </w:style>
  <w:style w:type="character" w:customStyle="1" w:styleId="SubtitleChar">
    <w:name w:val="Subtitle Char"/>
    <w:basedOn w:val="DefaultParagraphFont"/>
    <w:link w:val="Subtitle"/>
    <w:uiPriority w:val="11"/>
    <w:rsid w:val="00FB10DC"/>
    <w:rPr>
      <w:rFonts w:eastAsiaTheme="minorEastAsia"/>
      <w:color w:val="595959"/>
      <w:spacing w:val="15"/>
    </w:rPr>
  </w:style>
  <w:style w:type="paragraph" w:styleId="Quote">
    <w:name w:val="Quote"/>
    <w:basedOn w:val="Normal"/>
    <w:next w:val="Normal"/>
    <w:link w:val="QuoteChar"/>
    <w:uiPriority w:val="29"/>
    <w:qFormat/>
    <w:rsid w:val="00BB1601"/>
    <w:pPr>
      <w:spacing w:before="120" w:after="120" w:line="240" w:lineRule="auto"/>
      <w:ind w:left="862" w:right="862"/>
      <w:contextualSpacing/>
    </w:pPr>
    <w:rPr>
      <w:iCs/>
      <w:color w:val="404040" w:themeColor="text1" w:themeTint="BF"/>
    </w:rPr>
  </w:style>
  <w:style w:type="character" w:customStyle="1" w:styleId="QuoteChar">
    <w:name w:val="Quote Char"/>
    <w:basedOn w:val="DefaultParagraphFont"/>
    <w:link w:val="Quote"/>
    <w:uiPriority w:val="29"/>
    <w:rsid w:val="00BB1601"/>
    <w:rPr>
      <w:iCs/>
      <w:color w:val="404040" w:themeColor="text1" w:themeTint="BF"/>
    </w:rPr>
  </w:style>
  <w:style w:type="paragraph" w:styleId="IntenseQuote">
    <w:name w:val="Intense Quote"/>
    <w:basedOn w:val="Normal"/>
    <w:next w:val="Normal"/>
    <w:link w:val="IntenseQuoteChar"/>
    <w:uiPriority w:val="30"/>
    <w:qFormat/>
    <w:rsid w:val="00EC05A0"/>
    <w:pPr>
      <w:pBdr>
        <w:top w:val="single" w:sz="4" w:space="10" w:color="106089" w:themeColor="accent1"/>
        <w:bottom w:val="single" w:sz="4" w:space="10" w:color="106089" w:themeColor="accent1"/>
      </w:pBdr>
      <w:spacing w:before="360" w:after="360"/>
      <w:ind w:left="864" w:right="864"/>
      <w:jc w:val="center"/>
    </w:pPr>
    <w:rPr>
      <w:iCs/>
      <w:color w:val="0C4766"/>
    </w:rPr>
  </w:style>
  <w:style w:type="character" w:customStyle="1" w:styleId="IntenseQuoteChar">
    <w:name w:val="Intense Quote Char"/>
    <w:basedOn w:val="DefaultParagraphFont"/>
    <w:link w:val="IntenseQuote"/>
    <w:uiPriority w:val="30"/>
    <w:rsid w:val="00EC05A0"/>
    <w:rPr>
      <w:iCs/>
      <w:color w:val="0C4766"/>
    </w:rPr>
  </w:style>
  <w:style w:type="character" w:styleId="SubtleEmphasis">
    <w:name w:val="Subtle Emphasis"/>
    <w:basedOn w:val="DefaultParagraphFont"/>
    <w:uiPriority w:val="19"/>
    <w:qFormat/>
    <w:rsid w:val="004A5C6C"/>
    <w:rPr>
      <w:i/>
      <w:iCs/>
      <w:color w:val="404040" w:themeColor="text1" w:themeTint="BF"/>
    </w:rPr>
  </w:style>
  <w:style w:type="character" w:styleId="Emphasis">
    <w:name w:val="Emphasis"/>
    <w:basedOn w:val="DefaultParagraphFont"/>
    <w:uiPriority w:val="20"/>
    <w:qFormat/>
    <w:rsid w:val="004A5C6C"/>
    <w:rPr>
      <w:i/>
      <w:iCs/>
    </w:rPr>
  </w:style>
  <w:style w:type="character" w:styleId="BookTitle">
    <w:name w:val="Book Title"/>
    <w:basedOn w:val="DefaultParagraphFont"/>
    <w:uiPriority w:val="33"/>
    <w:qFormat/>
    <w:rsid w:val="008273D3"/>
    <w:rPr>
      <w:b/>
      <w:bCs/>
      <w:i/>
      <w:iCs/>
      <w:spacing w:val="5"/>
    </w:rPr>
  </w:style>
  <w:style w:type="paragraph" w:styleId="TOC1">
    <w:name w:val="toc 1"/>
    <w:basedOn w:val="Normal"/>
    <w:uiPriority w:val="39"/>
    <w:qFormat/>
    <w:rsid w:val="00A02BB7"/>
    <w:pPr>
      <w:widowControl w:val="0"/>
      <w:autoSpaceDE w:val="0"/>
      <w:autoSpaceDN w:val="0"/>
      <w:spacing w:before="108" w:after="0" w:line="240" w:lineRule="auto"/>
    </w:pPr>
    <w:rPr>
      <w:rFonts w:ascii="Calibri" w:eastAsia="Arial" w:hAnsi="Calibri" w:cs="Arial"/>
      <w:b/>
      <w:bCs/>
      <w:kern w:val="0"/>
      <w:szCs w:val="17"/>
      <w14:ligatures w14:val="none"/>
    </w:rPr>
  </w:style>
  <w:style w:type="paragraph" w:styleId="TOC2">
    <w:name w:val="toc 2"/>
    <w:basedOn w:val="Normal"/>
    <w:uiPriority w:val="39"/>
    <w:qFormat/>
    <w:rsid w:val="00A02BB7"/>
    <w:pPr>
      <w:widowControl w:val="0"/>
      <w:autoSpaceDE w:val="0"/>
      <w:autoSpaceDN w:val="0"/>
      <w:spacing w:before="108" w:after="0" w:line="240" w:lineRule="auto"/>
    </w:pPr>
    <w:rPr>
      <w:rFonts w:ascii="Calibri" w:eastAsia="Arial" w:hAnsi="Calibri" w:cs="Arial"/>
      <w:b/>
      <w:bCs/>
      <w:kern w:val="0"/>
      <w:szCs w:val="17"/>
      <w14:ligatures w14:val="none"/>
    </w:rPr>
  </w:style>
  <w:style w:type="paragraph" w:styleId="BodyText">
    <w:name w:val="Body Text"/>
    <w:basedOn w:val="Normal"/>
    <w:link w:val="BodyTextChar"/>
    <w:uiPriority w:val="1"/>
    <w:qFormat/>
    <w:rsid w:val="00362342"/>
    <w:pPr>
      <w:widowControl w:val="0"/>
      <w:autoSpaceDE w:val="0"/>
      <w:autoSpaceDN w:val="0"/>
      <w:spacing w:line="240" w:lineRule="auto"/>
    </w:pPr>
    <w:rPr>
      <w:rFonts w:eastAsia="Arial" w:cs="Arial"/>
      <w:kern w:val="0"/>
      <w:szCs w:val="20"/>
      <w14:ligatures w14:val="none"/>
    </w:rPr>
  </w:style>
  <w:style w:type="character" w:customStyle="1" w:styleId="BodyTextChar">
    <w:name w:val="Body Text Char"/>
    <w:basedOn w:val="DefaultParagraphFont"/>
    <w:link w:val="BodyText"/>
    <w:uiPriority w:val="1"/>
    <w:rsid w:val="00362342"/>
    <w:rPr>
      <w:rFonts w:eastAsia="Arial" w:cs="Arial"/>
      <w:kern w:val="0"/>
      <w:szCs w:val="20"/>
      <w14:ligatures w14:val="none"/>
    </w:rPr>
  </w:style>
  <w:style w:type="paragraph" w:customStyle="1" w:styleId="TableParagraph">
    <w:name w:val="Table Paragraph"/>
    <w:basedOn w:val="Normal"/>
    <w:uiPriority w:val="1"/>
    <w:qFormat/>
    <w:rsid w:val="003268B6"/>
    <w:pPr>
      <w:widowControl w:val="0"/>
      <w:autoSpaceDE w:val="0"/>
      <w:autoSpaceDN w:val="0"/>
      <w:spacing w:after="0" w:line="240" w:lineRule="auto"/>
    </w:pPr>
    <w:rPr>
      <w:rFonts w:ascii="Calibri" w:eastAsia="Calibri" w:hAnsi="Calibri" w:cs="Calibri"/>
      <w:kern w:val="0"/>
      <w14:ligatures w14:val="none"/>
    </w:rPr>
  </w:style>
  <w:style w:type="paragraph" w:styleId="Revision">
    <w:name w:val="Revision"/>
    <w:hidden/>
    <w:uiPriority w:val="99"/>
    <w:semiHidden/>
    <w:rsid w:val="003268B6"/>
    <w:pPr>
      <w:spacing w:after="0" w:line="240" w:lineRule="auto"/>
    </w:pPr>
    <w:rPr>
      <w:rFonts w:ascii="Arial" w:eastAsia="Arial" w:hAnsi="Arial" w:cs="Arial"/>
      <w:kern w:val="0"/>
      <w14:ligatures w14:val="none"/>
    </w:rPr>
  </w:style>
  <w:style w:type="paragraph" w:styleId="TOC3">
    <w:name w:val="toc 3"/>
    <w:basedOn w:val="Normal"/>
    <w:next w:val="Normal"/>
    <w:autoRedefine/>
    <w:uiPriority w:val="39"/>
    <w:unhideWhenUsed/>
    <w:rsid w:val="00A02BB7"/>
    <w:pPr>
      <w:tabs>
        <w:tab w:val="right" w:leader="dot" w:pos="10082"/>
      </w:tabs>
      <w:spacing w:after="100" w:line="278" w:lineRule="auto"/>
      <w:ind w:left="480"/>
    </w:pPr>
    <w:rPr>
      <w:rFonts w:eastAsiaTheme="minorEastAsia"/>
      <w:szCs w:val="24"/>
      <w:lang w:val="en-AU" w:eastAsia="en-AU"/>
    </w:rPr>
  </w:style>
  <w:style w:type="paragraph" w:styleId="TOC4">
    <w:name w:val="toc 4"/>
    <w:basedOn w:val="Normal"/>
    <w:next w:val="Normal"/>
    <w:autoRedefine/>
    <w:uiPriority w:val="39"/>
    <w:unhideWhenUsed/>
    <w:rsid w:val="003268B6"/>
    <w:pPr>
      <w:spacing w:after="100" w:line="278" w:lineRule="auto"/>
      <w:ind w:left="720"/>
    </w:pPr>
    <w:rPr>
      <w:rFonts w:eastAsiaTheme="minorEastAsia"/>
      <w:sz w:val="24"/>
      <w:szCs w:val="24"/>
      <w:lang w:val="en-AU" w:eastAsia="en-AU"/>
    </w:rPr>
  </w:style>
  <w:style w:type="paragraph" w:styleId="TOC5">
    <w:name w:val="toc 5"/>
    <w:basedOn w:val="Normal"/>
    <w:next w:val="Normal"/>
    <w:autoRedefine/>
    <w:uiPriority w:val="39"/>
    <w:unhideWhenUsed/>
    <w:rsid w:val="003268B6"/>
    <w:pPr>
      <w:spacing w:after="100" w:line="278" w:lineRule="auto"/>
      <w:ind w:left="960"/>
    </w:pPr>
    <w:rPr>
      <w:rFonts w:eastAsiaTheme="minorEastAsia"/>
      <w:sz w:val="24"/>
      <w:szCs w:val="24"/>
      <w:lang w:val="en-AU" w:eastAsia="en-AU"/>
    </w:rPr>
  </w:style>
  <w:style w:type="paragraph" w:styleId="TOC6">
    <w:name w:val="toc 6"/>
    <w:basedOn w:val="Normal"/>
    <w:next w:val="Normal"/>
    <w:autoRedefine/>
    <w:uiPriority w:val="39"/>
    <w:unhideWhenUsed/>
    <w:rsid w:val="003268B6"/>
    <w:pPr>
      <w:spacing w:after="100" w:line="278" w:lineRule="auto"/>
      <w:ind w:left="1200"/>
    </w:pPr>
    <w:rPr>
      <w:rFonts w:eastAsiaTheme="minorEastAsia"/>
      <w:sz w:val="24"/>
      <w:szCs w:val="24"/>
      <w:lang w:val="en-AU" w:eastAsia="en-AU"/>
    </w:rPr>
  </w:style>
  <w:style w:type="paragraph" w:styleId="TOC7">
    <w:name w:val="toc 7"/>
    <w:basedOn w:val="Normal"/>
    <w:next w:val="Normal"/>
    <w:autoRedefine/>
    <w:uiPriority w:val="39"/>
    <w:unhideWhenUsed/>
    <w:rsid w:val="003268B6"/>
    <w:pPr>
      <w:spacing w:after="100" w:line="278" w:lineRule="auto"/>
      <w:ind w:left="1440"/>
    </w:pPr>
    <w:rPr>
      <w:rFonts w:eastAsiaTheme="minorEastAsia"/>
      <w:sz w:val="24"/>
      <w:szCs w:val="24"/>
      <w:lang w:val="en-AU" w:eastAsia="en-AU"/>
    </w:rPr>
  </w:style>
  <w:style w:type="paragraph" w:styleId="TOC8">
    <w:name w:val="toc 8"/>
    <w:basedOn w:val="Normal"/>
    <w:next w:val="Normal"/>
    <w:autoRedefine/>
    <w:uiPriority w:val="39"/>
    <w:unhideWhenUsed/>
    <w:rsid w:val="003268B6"/>
    <w:pPr>
      <w:spacing w:after="100" w:line="278" w:lineRule="auto"/>
      <w:ind w:left="1680"/>
    </w:pPr>
    <w:rPr>
      <w:rFonts w:eastAsiaTheme="minorEastAsia"/>
      <w:sz w:val="24"/>
      <w:szCs w:val="24"/>
      <w:lang w:val="en-AU" w:eastAsia="en-AU"/>
    </w:rPr>
  </w:style>
  <w:style w:type="paragraph" w:styleId="TOC9">
    <w:name w:val="toc 9"/>
    <w:basedOn w:val="Normal"/>
    <w:next w:val="Normal"/>
    <w:autoRedefine/>
    <w:uiPriority w:val="39"/>
    <w:unhideWhenUsed/>
    <w:rsid w:val="003268B6"/>
    <w:pPr>
      <w:spacing w:after="100" w:line="278" w:lineRule="auto"/>
      <w:ind w:left="1920"/>
    </w:pPr>
    <w:rPr>
      <w:rFonts w:eastAsiaTheme="minorEastAsia"/>
      <w:sz w:val="24"/>
      <w:szCs w:val="24"/>
      <w:lang w:val="en-AU" w:eastAsia="en-AU"/>
    </w:rPr>
  </w:style>
  <w:style w:type="character" w:styleId="FootnoteReference">
    <w:name w:val="footnote reference"/>
    <w:basedOn w:val="DefaultParagraphFont"/>
    <w:uiPriority w:val="99"/>
    <w:semiHidden/>
    <w:unhideWhenUsed/>
    <w:rsid w:val="003268B6"/>
    <w:rPr>
      <w:vertAlign w:val="superscript"/>
    </w:rPr>
  </w:style>
  <w:style w:type="paragraph" w:styleId="BalloonText">
    <w:name w:val="Balloon Text"/>
    <w:basedOn w:val="Normal"/>
    <w:link w:val="BalloonTextChar"/>
    <w:uiPriority w:val="99"/>
    <w:semiHidden/>
    <w:unhideWhenUsed/>
    <w:rsid w:val="007F68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6889"/>
    <w:rPr>
      <w:rFonts w:ascii="Segoe UI" w:hAnsi="Segoe UI" w:cs="Segoe UI"/>
      <w:sz w:val="18"/>
      <w:szCs w:val="18"/>
    </w:rPr>
  </w:style>
  <w:style w:type="paragraph" w:customStyle="1" w:styleId="Notes">
    <w:name w:val="Notes"/>
    <w:basedOn w:val="Footer"/>
    <w:qFormat/>
    <w:rsid w:val="001962C2"/>
    <w:pPr>
      <w:pBdr>
        <w:top w:val="none" w:sz="0" w:space="0" w:color="auto"/>
      </w:pBdr>
    </w:pPr>
    <w:rPr>
      <w:rFonts w:eastAsia="Times New Roman" w:cstheme="minorHAnsi"/>
      <w:sz w:val="18"/>
      <w:szCs w:val="18"/>
    </w:rPr>
  </w:style>
  <w:style w:type="paragraph" w:styleId="FootnoteText">
    <w:name w:val="footnote text"/>
    <w:basedOn w:val="Normal"/>
    <w:link w:val="FootnoteTextChar"/>
    <w:uiPriority w:val="99"/>
    <w:semiHidden/>
    <w:unhideWhenUsed/>
    <w:rsid w:val="00154B9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4B9F"/>
    <w:rPr>
      <w:sz w:val="20"/>
      <w:szCs w:val="20"/>
    </w:rPr>
  </w:style>
  <w:style w:type="character" w:styleId="UnresolvedMention">
    <w:name w:val="Unresolved Mention"/>
    <w:basedOn w:val="DefaultParagraphFont"/>
    <w:uiPriority w:val="99"/>
    <w:semiHidden/>
    <w:unhideWhenUsed/>
    <w:rsid w:val="00A02BB7"/>
    <w:rPr>
      <w:color w:val="605E5C"/>
      <w:shd w:val="clear" w:color="auto" w:fill="E1DFDD"/>
    </w:rPr>
  </w:style>
  <w:style w:type="paragraph" w:styleId="ListBullet">
    <w:name w:val="List Bullet"/>
    <w:basedOn w:val="BodyText"/>
    <w:uiPriority w:val="99"/>
    <w:unhideWhenUsed/>
    <w:rsid w:val="00B73F14"/>
    <w:pPr>
      <w:widowControl/>
      <w:numPr>
        <w:numId w:val="2"/>
      </w:numPr>
      <w:autoSpaceDE/>
      <w:autoSpaceDN/>
      <w:spacing w:after="120" w:line="256" w:lineRule="auto"/>
      <w:ind w:left="0" w:firstLine="0"/>
      <w:contextualSpacing/>
    </w:pPr>
    <w:rPr>
      <w:rFonts w:eastAsiaTheme="minorHAnsi" w:cstheme="minorBidi"/>
      <w:kern w:val="2"/>
      <w:szCs w:val="22"/>
      <w14:ligatures w14:val="standardContextual"/>
    </w:rPr>
  </w:style>
  <w:style w:type="paragraph" w:styleId="ListNumber">
    <w:name w:val="List Number"/>
    <w:basedOn w:val="BodyText"/>
    <w:uiPriority w:val="99"/>
    <w:unhideWhenUsed/>
    <w:rsid w:val="00B73F14"/>
    <w:pPr>
      <w:widowControl/>
      <w:numPr>
        <w:numId w:val="1"/>
      </w:numPr>
      <w:autoSpaceDE/>
      <w:autoSpaceDN/>
      <w:spacing w:after="120" w:line="256" w:lineRule="auto"/>
      <w:ind w:left="0" w:firstLine="0"/>
      <w:contextualSpacing/>
    </w:pPr>
    <w:rPr>
      <w:rFonts w:eastAsiaTheme="minorHAnsi" w:cstheme="minorBidi"/>
      <w:kern w:val="2"/>
      <w:szCs w:val="22"/>
      <w14:ligatures w14:val="standardContextual"/>
    </w:rPr>
  </w:style>
  <w:style w:type="paragraph" w:styleId="ListBullet2">
    <w:name w:val="List Bullet 2"/>
    <w:basedOn w:val="ListBullet"/>
    <w:uiPriority w:val="99"/>
    <w:unhideWhenUsed/>
    <w:rsid w:val="00B73F14"/>
    <w:pPr>
      <w:numPr>
        <w:ilvl w:val="1"/>
      </w:numPr>
      <w:ind w:left="0" w:firstLine="0"/>
    </w:pPr>
  </w:style>
  <w:style w:type="paragraph" w:styleId="ListBullet3">
    <w:name w:val="List Bullet 3"/>
    <w:basedOn w:val="ListBullet"/>
    <w:uiPriority w:val="99"/>
    <w:unhideWhenUsed/>
    <w:rsid w:val="00B73F14"/>
    <w:pPr>
      <w:numPr>
        <w:ilvl w:val="2"/>
      </w:numPr>
      <w:ind w:left="0" w:firstLine="0"/>
    </w:pPr>
  </w:style>
  <w:style w:type="paragraph" w:styleId="ListBullet4">
    <w:name w:val="List Bullet 4"/>
    <w:basedOn w:val="ListBullet"/>
    <w:uiPriority w:val="99"/>
    <w:unhideWhenUsed/>
    <w:rsid w:val="00B73F14"/>
    <w:pPr>
      <w:numPr>
        <w:ilvl w:val="3"/>
      </w:numPr>
      <w:ind w:left="0" w:firstLine="0"/>
    </w:pPr>
  </w:style>
  <w:style w:type="paragraph" w:styleId="ListBullet5">
    <w:name w:val="List Bullet 5"/>
    <w:basedOn w:val="ListBullet"/>
    <w:uiPriority w:val="99"/>
    <w:unhideWhenUsed/>
    <w:rsid w:val="00B73F14"/>
    <w:pPr>
      <w:numPr>
        <w:ilvl w:val="4"/>
      </w:numPr>
      <w:ind w:left="0" w:firstLine="0"/>
    </w:pPr>
  </w:style>
  <w:style w:type="paragraph" w:styleId="ListNumber2">
    <w:name w:val="List Number 2"/>
    <w:basedOn w:val="ListNumber"/>
    <w:uiPriority w:val="99"/>
    <w:unhideWhenUsed/>
    <w:rsid w:val="00B73F14"/>
    <w:pPr>
      <w:numPr>
        <w:ilvl w:val="1"/>
      </w:numPr>
      <w:ind w:left="0" w:firstLine="0"/>
    </w:pPr>
  </w:style>
  <w:style w:type="paragraph" w:styleId="ListNumber3">
    <w:name w:val="List Number 3"/>
    <w:basedOn w:val="ListNumber"/>
    <w:uiPriority w:val="99"/>
    <w:unhideWhenUsed/>
    <w:rsid w:val="00B73F14"/>
    <w:pPr>
      <w:numPr>
        <w:ilvl w:val="2"/>
      </w:numPr>
      <w:ind w:left="0" w:firstLine="0"/>
    </w:pPr>
  </w:style>
  <w:style w:type="paragraph" w:styleId="ListNumber4">
    <w:name w:val="List Number 4"/>
    <w:basedOn w:val="ListNumber"/>
    <w:uiPriority w:val="99"/>
    <w:unhideWhenUsed/>
    <w:rsid w:val="00B73F14"/>
    <w:pPr>
      <w:numPr>
        <w:ilvl w:val="3"/>
      </w:numPr>
      <w:ind w:left="0" w:firstLine="0"/>
    </w:pPr>
  </w:style>
  <w:style w:type="paragraph" w:styleId="ListNumber5">
    <w:name w:val="List Number 5"/>
    <w:basedOn w:val="ListNumber"/>
    <w:uiPriority w:val="99"/>
    <w:unhideWhenUsed/>
    <w:rsid w:val="00B73F14"/>
    <w:pPr>
      <w:numPr>
        <w:ilvl w:val="4"/>
      </w:numPr>
      <w:ind w:left="0" w:firstLine="0"/>
    </w:pPr>
  </w:style>
  <w:style w:type="paragraph" w:customStyle="1" w:styleId="ListBullet6">
    <w:name w:val="List Bullet 6"/>
    <w:basedOn w:val="ListBullet"/>
    <w:qFormat/>
    <w:rsid w:val="00B73F14"/>
    <w:pPr>
      <w:numPr>
        <w:ilvl w:val="5"/>
      </w:numPr>
      <w:spacing w:after="160"/>
      <w:ind w:left="0" w:firstLine="0"/>
    </w:pPr>
  </w:style>
  <w:style w:type="paragraph" w:customStyle="1" w:styleId="ListBullet7">
    <w:name w:val="List Bullet 7"/>
    <w:basedOn w:val="ListBullet"/>
    <w:qFormat/>
    <w:rsid w:val="00B73F14"/>
    <w:pPr>
      <w:numPr>
        <w:ilvl w:val="6"/>
      </w:numPr>
      <w:spacing w:after="160"/>
      <w:ind w:left="0" w:firstLine="0"/>
    </w:pPr>
  </w:style>
  <w:style w:type="paragraph" w:customStyle="1" w:styleId="ListBullet8">
    <w:name w:val="List Bullet 8"/>
    <w:basedOn w:val="ListBullet"/>
    <w:qFormat/>
    <w:rsid w:val="00B73F14"/>
    <w:pPr>
      <w:numPr>
        <w:ilvl w:val="7"/>
      </w:numPr>
      <w:spacing w:after="160"/>
      <w:ind w:left="0" w:firstLine="0"/>
    </w:pPr>
  </w:style>
  <w:style w:type="paragraph" w:customStyle="1" w:styleId="ListBullet9">
    <w:name w:val="List Bullet 9"/>
    <w:basedOn w:val="ListBullet"/>
    <w:qFormat/>
    <w:rsid w:val="00B73F14"/>
    <w:pPr>
      <w:numPr>
        <w:ilvl w:val="8"/>
      </w:numPr>
      <w:spacing w:after="160"/>
      <w:ind w:left="0" w:firstLine="0"/>
    </w:pPr>
  </w:style>
  <w:style w:type="paragraph" w:customStyle="1" w:styleId="ListNumber6">
    <w:name w:val="List Number 6"/>
    <w:basedOn w:val="ListNumber"/>
    <w:qFormat/>
    <w:rsid w:val="00B73F14"/>
    <w:pPr>
      <w:numPr>
        <w:ilvl w:val="5"/>
      </w:numPr>
      <w:spacing w:after="160"/>
      <w:ind w:left="0" w:firstLine="0"/>
    </w:pPr>
  </w:style>
  <w:style w:type="paragraph" w:customStyle="1" w:styleId="ListNumber7">
    <w:name w:val="List Number 7"/>
    <w:basedOn w:val="ListNumber"/>
    <w:qFormat/>
    <w:rsid w:val="00B73F14"/>
    <w:pPr>
      <w:numPr>
        <w:ilvl w:val="6"/>
      </w:numPr>
      <w:spacing w:after="160"/>
      <w:ind w:left="0" w:firstLine="0"/>
    </w:pPr>
  </w:style>
  <w:style w:type="paragraph" w:customStyle="1" w:styleId="ListNumber8">
    <w:name w:val="List Number 8"/>
    <w:basedOn w:val="ListNumber"/>
    <w:qFormat/>
    <w:rsid w:val="00B73F14"/>
    <w:pPr>
      <w:numPr>
        <w:ilvl w:val="7"/>
      </w:numPr>
      <w:spacing w:after="160"/>
      <w:ind w:left="0" w:firstLine="0"/>
    </w:pPr>
  </w:style>
  <w:style w:type="paragraph" w:customStyle="1" w:styleId="ListNumber9">
    <w:name w:val="List Number 9"/>
    <w:basedOn w:val="ListNumber"/>
    <w:qFormat/>
    <w:rsid w:val="00B73F14"/>
    <w:pPr>
      <w:numPr>
        <w:ilvl w:val="8"/>
      </w:numPr>
      <w:spacing w:after="160"/>
      <w:ind w:left="0" w:firstLine="0"/>
    </w:pPr>
  </w:style>
  <w:style w:type="numbering" w:customStyle="1" w:styleId="NumberedList">
    <w:name w:val="Numbered List"/>
    <w:uiPriority w:val="99"/>
    <w:rsid w:val="00B73F14"/>
    <w:pPr>
      <w:numPr>
        <w:numId w:val="1"/>
      </w:numPr>
    </w:pPr>
  </w:style>
  <w:style w:type="numbering" w:customStyle="1" w:styleId="BulletedList">
    <w:name w:val="Bulleted List"/>
    <w:uiPriority w:val="99"/>
    <w:rsid w:val="00B73F14"/>
    <w:pPr>
      <w:numPr>
        <w:numId w:val="2"/>
      </w:numPr>
    </w:pPr>
  </w:style>
  <w:style w:type="paragraph" w:customStyle="1" w:styleId="HeadingUnnum1">
    <w:name w:val="Heading Unnum 1"/>
    <w:basedOn w:val="Heading1"/>
    <w:next w:val="BodyText"/>
    <w:link w:val="HeadingUnnum1Char"/>
    <w:qFormat/>
    <w:rsid w:val="00564A38"/>
    <w:pPr>
      <w:tabs>
        <w:tab w:val="left" w:pos="454"/>
      </w:tabs>
      <w:spacing w:after="0" w:line="259" w:lineRule="auto"/>
      <w:contextualSpacing w:val="0"/>
    </w:pPr>
    <w:rPr>
      <w:b w:val="0"/>
      <w:color w:val="0C4766" w:themeColor="accent1" w:themeShade="BF"/>
      <w:kern w:val="0"/>
      <w:sz w:val="32"/>
      <w:szCs w:val="32"/>
      <w14:ligatures w14:val="none"/>
    </w:rPr>
  </w:style>
  <w:style w:type="character" w:customStyle="1" w:styleId="HeadingUnnum1Char">
    <w:name w:val="Heading Unnum 1 Char"/>
    <w:basedOn w:val="Heading1Char"/>
    <w:link w:val="HeadingUnnum1"/>
    <w:rsid w:val="00564A38"/>
    <w:rPr>
      <w:rFonts w:asciiTheme="majorHAnsi" w:eastAsiaTheme="majorEastAsia" w:hAnsiTheme="majorHAnsi" w:cstheme="majorBidi"/>
      <w:b w:val="0"/>
      <w:color w:val="0C4766" w:themeColor="accent1" w:themeShade="BF"/>
      <w:kern w:val="0"/>
      <w:sz w:val="32"/>
      <w:szCs w:val="32"/>
      <w14:ligatures w14:val="none"/>
    </w:rPr>
  </w:style>
  <w:style w:type="paragraph" w:customStyle="1" w:styleId="psblkquote">
    <w:name w:val="ps_blk_quote"/>
    <w:basedOn w:val="Normal"/>
    <w:rsid w:val="00564A38"/>
    <w:pPr>
      <w:pBdr>
        <w:top w:val="single" w:sz="4" w:space="1" w:color="509DFC" w:themeColor="text2" w:themeTint="66"/>
        <w:left w:val="single" w:sz="4" w:space="4" w:color="509DFC" w:themeColor="text2" w:themeTint="66"/>
        <w:bottom w:val="single" w:sz="4" w:space="1" w:color="509DFC" w:themeColor="text2" w:themeTint="66"/>
        <w:right w:val="single" w:sz="4" w:space="4" w:color="509DFC" w:themeColor="text2" w:themeTint="66"/>
      </w:pBdr>
    </w:pPr>
    <w:rPr>
      <w:kern w:val="0"/>
      <w14:ligatures w14:val="none"/>
    </w:rPr>
  </w:style>
  <w:style w:type="paragraph" w:customStyle="1" w:styleId="psblkpara">
    <w:name w:val="ps_blk_para"/>
    <w:basedOn w:val="Normal"/>
    <w:rsid w:val="00564A38"/>
    <w:pPr>
      <w:pBdr>
        <w:top w:val="single" w:sz="4" w:space="1" w:color="509DFC" w:themeColor="text2" w:themeTint="66"/>
        <w:left w:val="single" w:sz="4" w:space="4" w:color="509DFC" w:themeColor="text2" w:themeTint="66"/>
        <w:bottom w:val="single" w:sz="4" w:space="1" w:color="509DFC" w:themeColor="text2" w:themeTint="66"/>
        <w:right w:val="single" w:sz="4" w:space="4" w:color="509DFC" w:themeColor="text2" w:themeTint="66"/>
      </w:pBdr>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45831">
      <w:bodyDiv w:val="1"/>
      <w:marLeft w:val="0"/>
      <w:marRight w:val="0"/>
      <w:marTop w:val="0"/>
      <w:marBottom w:val="0"/>
      <w:divBdr>
        <w:top w:val="none" w:sz="0" w:space="0" w:color="auto"/>
        <w:left w:val="none" w:sz="0" w:space="0" w:color="auto"/>
        <w:bottom w:val="none" w:sz="0" w:space="0" w:color="auto"/>
        <w:right w:val="none" w:sz="0" w:space="0" w:color="auto"/>
      </w:divBdr>
    </w:div>
    <w:div w:id="48385325">
      <w:bodyDiv w:val="1"/>
      <w:marLeft w:val="0"/>
      <w:marRight w:val="0"/>
      <w:marTop w:val="0"/>
      <w:marBottom w:val="0"/>
      <w:divBdr>
        <w:top w:val="none" w:sz="0" w:space="0" w:color="auto"/>
        <w:left w:val="none" w:sz="0" w:space="0" w:color="auto"/>
        <w:bottom w:val="none" w:sz="0" w:space="0" w:color="auto"/>
        <w:right w:val="none" w:sz="0" w:space="0" w:color="auto"/>
      </w:divBdr>
    </w:div>
    <w:div w:id="115217105">
      <w:bodyDiv w:val="1"/>
      <w:marLeft w:val="0"/>
      <w:marRight w:val="0"/>
      <w:marTop w:val="0"/>
      <w:marBottom w:val="0"/>
      <w:divBdr>
        <w:top w:val="none" w:sz="0" w:space="0" w:color="auto"/>
        <w:left w:val="none" w:sz="0" w:space="0" w:color="auto"/>
        <w:bottom w:val="none" w:sz="0" w:space="0" w:color="auto"/>
        <w:right w:val="none" w:sz="0" w:space="0" w:color="auto"/>
      </w:divBdr>
    </w:div>
    <w:div w:id="191849873">
      <w:bodyDiv w:val="1"/>
      <w:marLeft w:val="0"/>
      <w:marRight w:val="0"/>
      <w:marTop w:val="0"/>
      <w:marBottom w:val="0"/>
      <w:divBdr>
        <w:top w:val="none" w:sz="0" w:space="0" w:color="auto"/>
        <w:left w:val="none" w:sz="0" w:space="0" w:color="auto"/>
        <w:bottom w:val="none" w:sz="0" w:space="0" w:color="auto"/>
        <w:right w:val="none" w:sz="0" w:space="0" w:color="auto"/>
      </w:divBdr>
    </w:div>
    <w:div w:id="463616917">
      <w:bodyDiv w:val="1"/>
      <w:marLeft w:val="0"/>
      <w:marRight w:val="0"/>
      <w:marTop w:val="0"/>
      <w:marBottom w:val="0"/>
      <w:divBdr>
        <w:top w:val="none" w:sz="0" w:space="0" w:color="auto"/>
        <w:left w:val="none" w:sz="0" w:space="0" w:color="auto"/>
        <w:bottom w:val="none" w:sz="0" w:space="0" w:color="auto"/>
        <w:right w:val="none" w:sz="0" w:space="0" w:color="auto"/>
      </w:divBdr>
    </w:div>
    <w:div w:id="641690292">
      <w:bodyDiv w:val="1"/>
      <w:marLeft w:val="0"/>
      <w:marRight w:val="0"/>
      <w:marTop w:val="0"/>
      <w:marBottom w:val="0"/>
      <w:divBdr>
        <w:top w:val="none" w:sz="0" w:space="0" w:color="auto"/>
        <w:left w:val="none" w:sz="0" w:space="0" w:color="auto"/>
        <w:bottom w:val="none" w:sz="0" w:space="0" w:color="auto"/>
        <w:right w:val="none" w:sz="0" w:space="0" w:color="auto"/>
      </w:divBdr>
    </w:div>
    <w:div w:id="715542240">
      <w:bodyDiv w:val="1"/>
      <w:marLeft w:val="0"/>
      <w:marRight w:val="0"/>
      <w:marTop w:val="0"/>
      <w:marBottom w:val="0"/>
      <w:divBdr>
        <w:top w:val="none" w:sz="0" w:space="0" w:color="auto"/>
        <w:left w:val="none" w:sz="0" w:space="0" w:color="auto"/>
        <w:bottom w:val="none" w:sz="0" w:space="0" w:color="auto"/>
        <w:right w:val="none" w:sz="0" w:space="0" w:color="auto"/>
      </w:divBdr>
    </w:div>
    <w:div w:id="790590251">
      <w:bodyDiv w:val="1"/>
      <w:marLeft w:val="0"/>
      <w:marRight w:val="0"/>
      <w:marTop w:val="0"/>
      <w:marBottom w:val="0"/>
      <w:divBdr>
        <w:top w:val="none" w:sz="0" w:space="0" w:color="auto"/>
        <w:left w:val="none" w:sz="0" w:space="0" w:color="auto"/>
        <w:bottom w:val="none" w:sz="0" w:space="0" w:color="auto"/>
        <w:right w:val="none" w:sz="0" w:space="0" w:color="auto"/>
      </w:divBdr>
    </w:div>
    <w:div w:id="847525532">
      <w:bodyDiv w:val="1"/>
      <w:marLeft w:val="0"/>
      <w:marRight w:val="0"/>
      <w:marTop w:val="0"/>
      <w:marBottom w:val="0"/>
      <w:divBdr>
        <w:top w:val="none" w:sz="0" w:space="0" w:color="auto"/>
        <w:left w:val="none" w:sz="0" w:space="0" w:color="auto"/>
        <w:bottom w:val="none" w:sz="0" w:space="0" w:color="auto"/>
        <w:right w:val="none" w:sz="0" w:space="0" w:color="auto"/>
      </w:divBdr>
    </w:div>
    <w:div w:id="949629448">
      <w:bodyDiv w:val="1"/>
      <w:marLeft w:val="0"/>
      <w:marRight w:val="0"/>
      <w:marTop w:val="0"/>
      <w:marBottom w:val="0"/>
      <w:divBdr>
        <w:top w:val="none" w:sz="0" w:space="0" w:color="auto"/>
        <w:left w:val="none" w:sz="0" w:space="0" w:color="auto"/>
        <w:bottom w:val="none" w:sz="0" w:space="0" w:color="auto"/>
        <w:right w:val="none" w:sz="0" w:space="0" w:color="auto"/>
      </w:divBdr>
    </w:div>
    <w:div w:id="995230955">
      <w:bodyDiv w:val="1"/>
      <w:marLeft w:val="0"/>
      <w:marRight w:val="0"/>
      <w:marTop w:val="0"/>
      <w:marBottom w:val="0"/>
      <w:divBdr>
        <w:top w:val="none" w:sz="0" w:space="0" w:color="auto"/>
        <w:left w:val="none" w:sz="0" w:space="0" w:color="auto"/>
        <w:bottom w:val="none" w:sz="0" w:space="0" w:color="auto"/>
        <w:right w:val="none" w:sz="0" w:space="0" w:color="auto"/>
      </w:divBdr>
    </w:div>
    <w:div w:id="997150862">
      <w:bodyDiv w:val="1"/>
      <w:marLeft w:val="0"/>
      <w:marRight w:val="0"/>
      <w:marTop w:val="0"/>
      <w:marBottom w:val="0"/>
      <w:divBdr>
        <w:top w:val="none" w:sz="0" w:space="0" w:color="auto"/>
        <w:left w:val="none" w:sz="0" w:space="0" w:color="auto"/>
        <w:bottom w:val="none" w:sz="0" w:space="0" w:color="auto"/>
        <w:right w:val="none" w:sz="0" w:space="0" w:color="auto"/>
      </w:divBdr>
    </w:div>
    <w:div w:id="1048335596">
      <w:bodyDiv w:val="1"/>
      <w:marLeft w:val="0"/>
      <w:marRight w:val="0"/>
      <w:marTop w:val="0"/>
      <w:marBottom w:val="0"/>
      <w:divBdr>
        <w:top w:val="none" w:sz="0" w:space="0" w:color="auto"/>
        <w:left w:val="none" w:sz="0" w:space="0" w:color="auto"/>
        <w:bottom w:val="none" w:sz="0" w:space="0" w:color="auto"/>
        <w:right w:val="none" w:sz="0" w:space="0" w:color="auto"/>
      </w:divBdr>
    </w:div>
    <w:div w:id="1101873012">
      <w:bodyDiv w:val="1"/>
      <w:marLeft w:val="0"/>
      <w:marRight w:val="0"/>
      <w:marTop w:val="0"/>
      <w:marBottom w:val="0"/>
      <w:divBdr>
        <w:top w:val="none" w:sz="0" w:space="0" w:color="auto"/>
        <w:left w:val="none" w:sz="0" w:space="0" w:color="auto"/>
        <w:bottom w:val="none" w:sz="0" w:space="0" w:color="auto"/>
        <w:right w:val="none" w:sz="0" w:space="0" w:color="auto"/>
      </w:divBdr>
    </w:div>
    <w:div w:id="1139150655">
      <w:bodyDiv w:val="1"/>
      <w:marLeft w:val="0"/>
      <w:marRight w:val="0"/>
      <w:marTop w:val="0"/>
      <w:marBottom w:val="0"/>
      <w:divBdr>
        <w:top w:val="none" w:sz="0" w:space="0" w:color="auto"/>
        <w:left w:val="none" w:sz="0" w:space="0" w:color="auto"/>
        <w:bottom w:val="none" w:sz="0" w:space="0" w:color="auto"/>
        <w:right w:val="none" w:sz="0" w:space="0" w:color="auto"/>
      </w:divBdr>
    </w:div>
    <w:div w:id="1222793805">
      <w:bodyDiv w:val="1"/>
      <w:marLeft w:val="0"/>
      <w:marRight w:val="0"/>
      <w:marTop w:val="0"/>
      <w:marBottom w:val="0"/>
      <w:divBdr>
        <w:top w:val="none" w:sz="0" w:space="0" w:color="auto"/>
        <w:left w:val="none" w:sz="0" w:space="0" w:color="auto"/>
        <w:bottom w:val="none" w:sz="0" w:space="0" w:color="auto"/>
        <w:right w:val="none" w:sz="0" w:space="0" w:color="auto"/>
      </w:divBdr>
    </w:div>
    <w:div w:id="1336960616">
      <w:bodyDiv w:val="1"/>
      <w:marLeft w:val="0"/>
      <w:marRight w:val="0"/>
      <w:marTop w:val="0"/>
      <w:marBottom w:val="0"/>
      <w:divBdr>
        <w:top w:val="none" w:sz="0" w:space="0" w:color="auto"/>
        <w:left w:val="none" w:sz="0" w:space="0" w:color="auto"/>
        <w:bottom w:val="none" w:sz="0" w:space="0" w:color="auto"/>
        <w:right w:val="none" w:sz="0" w:space="0" w:color="auto"/>
      </w:divBdr>
    </w:div>
    <w:div w:id="1507556084">
      <w:bodyDiv w:val="1"/>
      <w:marLeft w:val="0"/>
      <w:marRight w:val="0"/>
      <w:marTop w:val="0"/>
      <w:marBottom w:val="0"/>
      <w:divBdr>
        <w:top w:val="none" w:sz="0" w:space="0" w:color="auto"/>
        <w:left w:val="none" w:sz="0" w:space="0" w:color="auto"/>
        <w:bottom w:val="none" w:sz="0" w:space="0" w:color="auto"/>
        <w:right w:val="none" w:sz="0" w:space="0" w:color="auto"/>
      </w:divBdr>
    </w:div>
    <w:div w:id="1563370278">
      <w:bodyDiv w:val="1"/>
      <w:marLeft w:val="0"/>
      <w:marRight w:val="0"/>
      <w:marTop w:val="0"/>
      <w:marBottom w:val="0"/>
      <w:divBdr>
        <w:top w:val="none" w:sz="0" w:space="0" w:color="auto"/>
        <w:left w:val="none" w:sz="0" w:space="0" w:color="auto"/>
        <w:bottom w:val="none" w:sz="0" w:space="0" w:color="auto"/>
        <w:right w:val="none" w:sz="0" w:space="0" w:color="auto"/>
      </w:divBdr>
    </w:div>
    <w:div w:id="1670132304">
      <w:bodyDiv w:val="1"/>
      <w:marLeft w:val="0"/>
      <w:marRight w:val="0"/>
      <w:marTop w:val="0"/>
      <w:marBottom w:val="0"/>
      <w:divBdr>
        <w:top w:val="none" w:sz="0" w:space="0" w:color="auto"/>
        <w:left w:val="none" w:sz="0" w:space="0" w:color="auto"/>
        <w:bottom w:val="none" w:sz="0" w:space="0" w:color="auto"/>
        <w:right w:val="none" w:sz="0" w:space="0" w:color="auto"/>
      </w:divBdr>
    </w:div>
    <w:div w:id="1773892626">
      <w:bodyDiv w:val="1"/>
      <w:marLeft w:val="0"/>
      <w:marRight w:val="0"/>
      <w:marTop w:val="0"/>
      <w:marBottom w:val="0"/>
      <w:divBdr>
        <w:top w:val="none" w:sz="0" w:space="0" w:color="auto"/>
        <w:left w:val="none" w:sz="0" w:space="0" w:color="auto"/>
        <w:bottom w:val="none" w:sz="0" w:space="0" w:color="auto"/>
        <w:right w:val="none" w:sz="0" w:space="0" w:color="auto"/>
      </w:divBdr>
    </w:div>
    <w:div w:id="1935438662">
      <w:bodyDiv w:val="1"/>
      <w:marLeft w:val="0"/>
      <w:marRight w:val="0"/>
      <w:marTop w:val="0"/>
      <w:marBottom w:val="0"/>
      <w:divBdr>
        <w:top w:val="none" w:sz="0" w:space="0" w:color="auto"/>
        <w:left w:val="none" w:sz="0" w:space="0" w:color="auto"/>
        <w:bottom w:val="none" w:sz="0" w:space="0" w:color="auto"/>
        <w:right w:val="none" w:sz="0" w:space="0" w:color="auto"/>
      </w:divBdr>
    </w:div>
    <w:div w:id="204197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UP">
      <a:dk1>
        <a:sysClr val="windowText" lastClr="000000"/>
      </a:dk1>
      <a:lt1>
        <a:sysClr val="window" lastClr="FFFFFF"/>
      </a:lt1>
      <a:dk2>
        <a:srgbClr val="011E41"/>
      </a:dk2>
      <a:lt2>
        <a:srgbClr val="EFE9DA"/>
      </a:lt2>
      <a:accent1>
        <a:srgbClr val="106089"/>
      </a:accent1>
      <a:accent2>
        <a:srgbClr val="4A934C"/>
      </a:accent2>
      <a:accent3>
        <a:srgbClr val="431566"/>
      </a:accent3>
      <a:accent4>
        <a:srgbClr val="5928ED"/>
      </a:accent4>
      <a:accent5>
        <a:srgbClr val="BDB5F1"/>
      </a:accent5>
      <a:accent6>
        <a:srgbClr val="00B1EB"/>
      </a:accent6>
      <a:hlink>
        <a:srgbClr val="0068A9"/>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23021986-1927-41b2-ad02-75262291dab9" xsi:nil="true"/>
    <Approved xmlns="23021986-1927-41b2-ad02-75262291dab9">false</Approved>
    <TaxCatchAll xmlns="86c803ff-60ea-4821-8561-49a30c846f16" xsi:nil="true"/>
    <Division xmlns="23021986-1927-41b2-ad02-75262291dab9" xsi:nil="true"/>
    <_ip_UnifiedCompliancePolicyProperties xmlns="http://schemas.microsoft.com/sharepoint/v3" xsi:nil="true"/>
    <Dateandtime xmlns="23021986-1927-41b2-ad02-75262291dab9" xsi:nil="true"/>
    <Documenttype xmlns="23021986-1927-41b2-ad02-75262291dab9" xsi:nil="true"/>
    <lcf76f155ced4ddcb4097134ff3c332f xmlns="23021986-1927-41b2-ad02-75262291dab9">
      <Terms xmlns="http://schemas.microsoft.com/office/infopath/2007/PartnerControls"/>
    </lcf76f155ced4ddcb4097134ff3c332f>
    <Workflowstage xmlns="23021986-1927-41b2-ad02-75262291dab9" xsi:nil="true"/>
    <Documentowner xmlns="23021986-1927-41b2-ad02-75262291dab9">
      <UserInfo>
        <DisplayName/>
        <AccountId xsi:nil="true"/>
        <AccountType/>
      </UserInfo>
    </Documentown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F4A8B6EFA9C74A929C1691FA89ACA2" ma:contentTypeVersion="28" ma:contentTypeDescription="Create a new document." ma:contentTypeScope="" ma:versionID="f12f4a8fbefd4c1c38d02fbfc39350d1">
  <xsd:schema xmlns:xsd="http://www.w3.org/2001/XMLSchema" xmlns:xs="http://www.w3.org/2001/XMLSchema" xmlns:p="http://schemas.microsoft.com/office/2006/metadata/properties" xmlns:ns1="http://schemas.microsoft.com/sharepoint/v3" xmlns:ns2="86c803ff-60ea-4821-8561-49a30c846f16" xmlns:ns3="23021986-1927-41b2-ad02-75262291dab9" targetNamespace="http://schemas.microsoft.com/office/2006/metadata/properties" ma:root="true" ma:fieldsID="9996b4a4e096604b2276771b640f7172" ns1:_="" ns2:_="" ns3:_="">
    <xsd:import namespace="http://schemas.microsoft.com/sharepoint/v3"/>
    <xsd:import namespace="86c803ff-60ea-4821-8561-49a30c846f16"/>
    <xsd:import namespace="23021986-1927-41b2-ad02-75262291dab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1:_ip_UnifiedCompliancePolicyProperties" minOccurs="0"/>
                <xsd:element ref="ns1:_ip_UnifiedCompliancePolicyUIAction" minOccurs="0"/>
                <xsd:element ref="ns3:MediaLengthInSeconds" minOccurs="0"/>
                <xsd:element ref="ns3:lcf76f155ced4ddcb4097134ff3c332f" minOccurs="0"/>
                <xsd:element ref="ns2:TaxCatchAll" minOccurs="0"/>
                <xsd:element ref="ns3:MediaServiceObjectDetectorVersions" minOccurs="0"/>
                <xsd:element ref="ns3:Division" minOccurs="0"/>
                <xsd:element ref="ns3:Documenttype" minOccurs="0"/>
                <xsd:element ref="ns3:Workflowstage" minOccurs="0"/>
                <xsd:element ref="ns3:Approved" minOccurs="0"/>
                <xsd:element ref="ns3:Documentowner" minOccurs="0"/>
                <xsd:element ref="ns3:Dateandtime"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c803ff-60ea-4821-8561-49a30c846f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2659d18c-911b-4461-9f29-2e839d503b97}" ma:internalName="TaxCatchAll" ma:showField="CatchAllData" ma:web="86c803ff-60ea-4821-8561-49a30c846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021986-1927-41b2-ad02-75262291dab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f217fd5-6bb5-4de3-bf71-ef5eb62cb5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Division" ma:index="27" nillable="true" ma:displayName="Division" ma:format="Dropdown" ma:internalName="Division">
      <xsd:complexType>
        <xsd:complexContent>
          <xsd:extension base="dms:MultiChoice">
            <xsd:sequence>
              <xsd:element name="Value" maxOccurs="unbounded" minOccurs="0" nillable="true">
                <xsd:simpleType>
                  <xsd:restriction base="dms:Choice">
                    <xsd:enumeration value="Secondary"/>
                    <xsd:enumeration value="Primary"/>
                  </xsd:restriction>
                </xsd:simpleType>
              </xsd:element>
            </xsd:sequence>
          </xsd:extension>
        </xsd:complexContent>
      </xsd:complexType>
    </xsd:element>
    <xsd:element name="Documenttype" ma:index="28" nillable="true" ma:displayName="Document type" ma:format="Dropdown" ma:indexed="true" ma:internalName="Documenttype">
      <xsd:simpleType>
        <xsd:restriction base="dms:Text">
          <xsd:maxLength value="255"/>
        </xsd:restriction>
      </xsd:simpleType>
    </xsd:element>
    <xsd:element name="Workflowstage" ma:index="29" nillable="true" ma:displayName="Workflow stage" ma:format="Dropdown" ma:internalName="Workflowstage">
      <xsd:complexType>
        <xsd:complexContent>
          <xsd:extension base="dms:MultiChoice">
            <xsd:sequence>
              <xsd:element name="Value" maxOccurs="unbounded" minOccurs="0" nillable="true">
                <xsd:simpleType>
                  <xsd:restriction base="dms:Choice">
                    <xsd:enumeration value="Authoring &amp; development"/>
                    <xsd:enumeration value="Editing"/>
                    <xsd:enumeration value="Artwork"/>
                    <xsd:enumeration value="Layout &amp; design"/>
                    <xsd:enumeration value="Digital resources"/>
                    <xsd:enumeration value="Diversity &amp; inclusion"/>
                    <xsd:enumeration value="E2E"/>
                  </xsd:restriction>
                </xsd:simpleType>
              </xsd:element>
            </xsd:sequence>
          </xsd:extension>
        </xsd:complexContent>
      </xsd:complexType>
    </xsd:element>
    <xsd:element name="Approved" ma:index="30" nillable="true" ma:displayName="Approved" ma:default="0" ma:format="Dropdown" ma:internalName="Approved">
      <xsd:simpleType>
        <xsd:restriction base="dms:Boolean"/>
      </xsd:simpleType>
    </xsd:element>
    <xsd:element name="Documentowner" ma:index="31" nillable="true" ma:displayName="Document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andtime" ma:index="32" nillable="true" ma:displayName="Date and time" ma:format="DateTime" ma:internalName="Dateandtime">
      <xsd:simpleType>
        <xsd:restriction base="dms:DateTim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_Flow_SignoffStatus" ma:index="34" nillable="true" ma:displayName="Sign-off status" ma:internalName="Sign_x002d_off_x0020_status">
      <xsd:simpleType>
        <xsd:restriction base="dms:Text"/>
      </xsd:simpleType>
    </xsd:element>
    <xsd:element name="MediaServiceBillingMetadata" ma:index="3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FE103-1BE8-4EC4-9715-44CDCCC8696E}">
  <ds:schemaRefs>
    <ds:schemaRef ds:uri="http://schemas.microsoft.com/sharepoint/v3/contenttype/forms"/>
  </ds:schemaRefs>
</ds:datastoreItem>
</file>

<file path=customXml/itemProps2.xml><?xml version="1.0" encoding="utf-8"?>
<ds:datastoreItem xmlns:ds="http://schemas.openxmlformats.org/officeDocument/2006/customXml" ds:itemID="{19D2BA4C-321A-49FC-B9A7-E0EB867C79E1}">
  <ds:schemaRefs>
    <ds:schemaRef ds:uri="http://schemas.microsoft.com/office/2006/metadata/properties"/>
    <ds:schemaRef ds:uri="http://schemas.microsoft.com/office/infopath/2007/PartnerControls"/>
    <ds:schemaRef ds:uri="http://schemas.microsoft.com/sharepoint/v3"/>
    <ds:schemaRef ds:uri="23021986-1927-41b2-ad02-75262291dab9"/>
    <ds:schemaRef ds:uri="86c803ff-60ea-4821-8561-49a30c846f16"/>
  </ds:schemaRefs>
</ds:datastoreItem>
</file>

<file path=customXml/itemProps3.xml><?xml version="1.0" encoding="utf-8"?>
<ds:datastoreItem xmlns:ds="http://schemas.openxmlformats.org/officeDocument/2006/customXml" ds:itemID="{C2BE7FCF-E66A-44C7-A2C3-BF768E587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6c803ff-60ea-4821-8561-49a30c846f16"/>
    <ds:schemaRef ds:uri="23021986-1927-41b2-ad02-75262291d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0E60E3-F6C0-4B19-92DF-C971BAD92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21</Pages>
  <Words>8815</Words>
  <Characters>50252</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Lesson plan</vt:lpstr>
    </vt:vector>
  </TitlesOfParts>
  <Company>Oxford University Press</Company>
  <LinksUpToDate>false</LinksUpToDate>
  <CharactersWithSpaces>58950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plan</dc:title>
  <dc:subject/>
  <dc:creator>Elin Berglund</dc:creator>
  <cp:keywords/>
  <dc:description/>
  <cp:lastModifiedBy>Elin Berglund</cp:lastModifiedBy>
  <cp:revision>17</cp:revision>
  <dcterms:created xsi:type="dcterms:W3CDTF">2026-08-11T03:41:00Z</dcterms:created>
  <dcterms:modified xsi:type="dcterms:W3CDTF">2026-08-11T04:57:00Z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5cb09a-2992-49d6-8ac9-5f63e7b1ad2f_Enabled">
    <vt:lpwstr>true</vt:lpwstr>
  </property>
  <property fmtid="{D5CDD505-2E9C-101B-9397-08002B2CF9AE}" pid="3" name="MSIP_Label_be5cb09a-2992-49d6-8ac9-5f63e7b1ad2f_SetDate">
    <vt:lpwstr>2023-07-12T02:47:49Z</vt:lpwstr>
  </property>
  <property fmtid="{D5CDD505-2E9C-101B-9397-08002B2CF9AE}" pid="4" name="MSIP_Label_be5cb09a-2992-49d6-8ac9-5f63e7b1ad2f_Method">
    <vt:lpwstr>Standard</vt:lpwstr>
  </property>
  <property fmtid="{D5CDD505-2E9C-101B-9397-08002B2CF9AE}" pid="5" name="MSIP_Label_be5cb09a-2992-49d6-8ac9-5f63e7b1ad2f_Name">
    <vt:lpwstr>Controlled</vt:lpwstr>
  </property>
  <property fmtid="{D5CDD505-2E9C-101B-9397-08002B2CF9AE}" pid="6" name="MSIP_Label_be5cb09a-2992-49d6-8ac9-5f63e7b1ad2f_SiteId">
    <vt:lpwstr>91761b62-4c45-43f5-9f0e-be8ad9b551ff</vt:lpwstr>
  </property>
  <property fmtid="{D5CDD505-2E9C-101B-9397-08002B2CF9AE}" pid="7" name="MSIP_Label_be5cb09a-2992-49d6-8ac9-5f63e7b1ad2f_ActionId">
    <vt:lpwstr>686c539b-b706-484b-871a-5f8ee6016bbb</vt:lpwstr>
  </property>
  <property fmtid="{D5CDD505-2E9C-101B-9397-08002B2CF9AE}" pid="8" name="MSIP_Label_be5cb09a-2992-49d6-8ac9-5f63e7b1ad2f_ContentBits">
    <vt:lpwstr>0</vt:lpwstr>
  </property>
  <property fmtid="{D5CDD505-2E9C-101B-9397-08002B2CF9AE}" pid="9" name="ContentTypeId">
    <vt:lpwstr>0x0101006DF4A8B6EFA9C74A929C1691FA89ACA2</vt:lpwstr>
  </property>
  <property fmtid="{D5CDD505-2E9C-101B-9397-08002B2CF9AE}" pid="10" name="MediaServiceImageTags">
    <vt:lpwstr/>
  </property>
</Properties>
</file>