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991A" w14:textId="51D69C60" w:rsidR="005D0DC7" w:rsidRPr="006004D7" w:rsidRDefault="006004D7" w:rsidP="00411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0"/>
        <w:jc w:val="center"/>
        <w:rPr>
          <w:rFonts w:eastAsiaTheme="minorHAnsi"/>
          <w:iCs/>
          <w:sz w:val="36"/>
          <w:szCs w:val="36"/>
          <w:lang w:val="en-CA"/>
        </w:rPr>
      </w:pPr>
      <w:r w:rsidRPr="006004D7">
        <w:rPr>
          <w:rFonts w:eastAsiaTheme="minorHAnsi"/>
          <w:b/>
          <w:iCs/>
          <w:sz w:val="36"/>
          <w:szCs w:val="36"/>
          <w:lang w:val="en-CA"/>
        </w:rPr>
        <w:t>Chapter Outline</w:t>
      </w:r>
    </w:p>
    <w:p w14:paraId="5EB18148" w14:textId="77777777" w:rsidR="005D0DC7" w:rsidRPr="005D0DC7" w:rsidRDefault="00411419" w:rsidP="00411419">
      <w:pPr>
        <w:pStyle w:val="head2"/>
        <w:tabs>
          <w:tab w:val="left" w:pos="0"/>
        </w:tabs>
        <w:spacing w:before="0" w:after="0" w:line="240" w:lineRule="auto"/>
        <w:jc w:val="center"/>
        <w:rPr>
          <w:rFonts w:ascii="Times New Roman" w:hAnsi="Times New Roman"/>
          <w:b w:val="0"/>
          <w:sz w:val="24"/>
          <w:szCs w:val="24"/>
          <w:lang w:val="en-CA"/>
        </w:rPr>
      </w:pPr>
      <w:r w:rsidRPr="004B0724">
        <w:rPr>
          <w:rFonts w:ascii="Times New Roman" w:hAnsi="Times New Roman"/>
          <w:b w:val="0"/>
          <w:sz w:val="24"/>
          <w:szCs w:val="24"/>
          <w:lang w:val="en-CA"/>
        </w:rPr>
        <w:t>to accompany</w:t>
      </w:r>
    </w:p>
    <w:p w14:paraId="6E253977" w14:textId="77777777" w:rsidR="005D0DC7" w:rsidRPr="005D0DC7" w:rsidRDefault="00411419" w:rsidP="00411419">
      <w:pPr>
        <w:pStyle w:val="head2"/>
        <w:tabs>
          <w:tab w:val="left" w:pos="0"/>
        </w:tabs>
        <w:spacing w:before="0" w:after="0" w:line="240" w:lineRule="auto"/>
        <w:jc w:val="center"/>
        <w:rPr>
          <w:rFonts w:ascii="Times New Roman" w:hAnsi="Times New Roman"/>
          <w:b w:val="0"/>
          <w:sz w:val="28"/>
          <w:szCs w:val="28"/>
          <w:lang w:val="en-CA"/>
        </w:rPr>
      </w:pPr>
      <w:r w:rsidRPr="004B0724">
        <w:rPr>
          <w:rFonts w:ascii="Times New Roman" w:hAnsi="Times New Roman"/>
          <w:bCs/>
          <w:i/>
          <w:sz w:val="28"/>
          <w:szCs w:val="28"/>
          <w:lang w:val="en-CA"/>
        </w:rPr>
        <w:t>Indigenous Peoples within Canada: A Concise History</w:t>
      </w:r>
      <w:r w:rsidRPr="004B0724">
        <w:rPr>
          <w:rFonts w:ascii="Times New Roman" w:hAnsi="Times New Roman"/>
          <w:b w:val="0"/>
          <w:bCs/>
          <w:sz w:val="28"/>
          <w:szCs w:val="28"/>
          <w:lang w:val="en-CA"/>
        </w:rPr>
        <w:t>,</w:t>
      </w:r>
      <w:r w:rsidRPr="004B0724">
        <w:rPr>
          <w:rFonts w:ascii="Times New Roman" w:hAnsi="Times New Roman"/>
          <w:bCs/>
          <w:sz w:val="28"/>
          <w:szCs w:val="28"/>
          <w:lang w:val="en-CA"/>
        </w:rPr>
        <w:t xml:space="preserve"> Fifth Edition</w:t>
      </w:r>
    </w:p>
    <w:p w14:paraId="2255049D" w14:textId="77777777" w:rsidR="005D0DC7" w:rsidRPr="005D0DC7" w:rsidRDefault="00411419" w:rsidP="00411419">
      <w:pPr>
        <w:pStyle w:val="head2"/>
        <w:tabs>
          <w:tab w:val="left" w:pos="0"/>
        </w:tabs>
        <w:spacing w:before="0" w:after="0" w:line="240" w:lineRule="auto"/>
        <w:jc w:val="center"/>
        <w:rPr>
          <w:rFonts w:ascii="Times New Roman" w:hAnsi="Times New Roman"/>
          <w:b w:val="0"/>
          <w:sz w:val="28"/>
          <w:szCs w:val="28"/>
          <w:lang w:val="en-CA"/>
        </w:rPr>
      </w:pPr>
      <w:r w:rsidRPr="004B0724">
        <w:rPr>
          <w:rFonts w:ascii="Times New Roman" w:hAnsi="Times New Roman"/>
          <w:b w:val="0"/>
          <w:sz w:val="28"/>
          <w:szCs w:val="28"/>
          <w:lang w:val="en-CA"/>
        </w:rPr>
        <w:t>Dickason, Newbigging, and Miller</w:t>
      </w:r>
    </w:p>
    <w:p w14:paraId="0F99C1BC" w14:textId="77777777" w:rsidR="005D0DC7" w:rsidRPr="005D0DC7" w:rsidRDefault="005D0DC7" w:rsidP="00411419">
      <w:pPr>
        <w:tabs>
          <w:tab w:val="left" w:pos="0"/>
        </w:tabs>
        <w:jc w:val="center"/>
        <w:rPr>
          <w:sz w:val="28"/>
          <w:szCs w:val="28"/>
          <w:lang w:val="en-CA"/>
        </w:rPr>
      </w:pPr>
    </w:p>
    <w:p w14:paraId="5E5B8CEC" w14:textId="77777777" w:rsidR="005D0DC7" w:rsidRPr="005D0DC7" w:rsidRDefault="00411419" w:rsidP="00411419">
      <w:pPr>
        <w:tabs>
          <w:tab w:val="left" w:pos="0"/>
        </w:tabs>
        <w:jc w:val="center"/>
        <w:rPr>
          <w:iCs/>
          <w:sz w:val="32"/>
          <w:szCs w:val="32"/>
          <w:lang w:val="en-CA"/>
        </w:rPr>
      </w:pPr>
      <w:r w:rsidRPr="005C73DB">
        <w:rPr>
          <w:b/>
          <w:bCs/>
          <w:iCs/>
          <w:sz w:val="32"/>
          <w:szCs w:val="32"/>
          <w:lang w:val="en-CA"/>
        </w:rPr>
        <w:t xml:space="preserve">Chapter </w:t>
      </w:r>
      <w:r>
        <w:rPr>
          <w:b/>
          <w:bCs/>
          <w:iCs/>
          <w:sz w:val="32"/>
          <w:szCs w:val="32"/>
          <w:lang w:val="en-CA"/>
        </w:rPr>
        <w:t>17</w:t>
      </w:r>
      <w:r w:rsidRPr="005C73DB">
        <w:rPr>
          <w:b/>
          <w:bCs/>
          <w:iCs/>
          <w:sz w:val="32"/>
          <w:szCs w:val="32"/>
          <w:lang w:val="en-CA"/>
        </w:rPr>
        <w:t xml:space="preserve">: </w:t>
      </w:r>
      <w:r w:rsidRPr="00411419">
        <w:rPr>
          <w:b/>
          <w:bCs/>
          <w:iCs/>
          <w:sz w:val="32"/>
          <w:szCs w:val="32"/>
          <w:lang w:val="en-CA"/>
        </w:rPr>
        <w:t>Canadian Courts and Aboriginal Rights</w:t>
      </w:r>
    </w:p>
    <w:p w14:paraId="210B7125" w14:textId="77777777" w:rsidR="005D0DC7" w:rsidRPr="005D0DC7" w:rsidRDefault="005D0DC7" w:rsidP="00411419">
      <w:pPr>
        <w:ind w:left="0"/>
        <w:contextualSpacing/>
        <w:jc w:val="both"/>
      </w:pPr>
    </w:p>
    <w:p w14:paraId="4E2D6C00" w14:textId="77777777" w:rsidR="005D0DC7" w:rsidRPr="005D0DC7" w:rsidRDefault="005D0DC7" w:rsidP="00411419">
      <w:pPr>
        <w:spacing w:line="259" w:lineRule="auto"/>
        <w:ind w:left="0"/>
        <w:contextualSpacing/>
        <w:jc w:val="both"/>
        <w:rPr>
          <w:spacing w:val="-3"/>
          <w:lang w:val="en-CA"/>
        </w:rPr>
      </w:pPr>
    </w:p>
    <w:p w14:paraId="5986E048" w14:textId="2C56265E" w:rsidR="005D0DC7" w:rsidRPr="005D0DC7" w:rsidRDefault="00313EC3" w:rsidP="007C4460">
      <w:pPr>
        <w:ind w:left="0"/>
        <w:contextualSpacing/>
        <w:jc w:val="both"/>
      </w:pPr>
      <w:r w:rsidRPr="0032080A">
        <w:rPr>
          <w:spacing w:val="-2"/>
        </w:rPr>
        <w:t>The purpose of this chapter is to discuss the issue of Aboriginal rights as well as the experience of</w:t>
      </w:r>
      <w:r w:rsidR="000F7C6F" w:rsidRPr="0032080A">
        <w:rPr>
          <w:spacing w:val="-2"/>
        </w:rPr>
        <w:t xml:space="preserve"> I</w:t>
      </w:r>
      <w:r w:rsidRPr="0032080A">
        <w:rPr>
          <w:spacing w:val="-2"/>
        </w:rPr>
        <w:t xml:space="preserve">ndigenous </w:t>
      </w:r>
      <w:r w:rsidR="5DCF372F" w:rsidRPr="0032080A">
        <w:rPr>
          <w:spacing w:val="-2"/>
        </w:rPr>
        <w:t xml:space="preserve">Peoples </w:t>
      </w:r>
      <w:r w:rsidRPr="0032080A">
        <w:rPr>
          <w:spacing w:val="-2"/>
        </w:rPr>
        <w:t xml:space="preserve">in Canadian courts. In this chapter, the issue of Aboriginal rights is traced through the various court cases that have attempted to define what these rights entail. Oftentimes, these court cases centre around land, with </w:t>
      </w:r>
      <w:r w:rsidR="002530DE" w:rsidRPr="0032080A">
        <w:rPr>
          <w:spacing w:val="-2"/>
        </w:rPr>
        <w:t>the first precedent</w:t>
      </w:r>
      <w:r w:rsidR="480BC163" w:rsidRPr="0032080A">
        <w:t>-</w:t>
      </w:r>
      <w:r w:rsidR="002530DE" w:rsidRPr="0032080A">
        <w:rPr>
          <w:spacing w:val="-2"/>
        </w:rPr>
        <w:t xml:space="preserve">setting case taking place in Ontario in 1884. In </w:t>
      </w:r>
      <w:r w:rsidR="009F1BB4" w:rsidRPr="787CB4C1">
        <w:rPr>
          <w:i/>
          <w:iCs/>
          <w:spacing w:val="-2"/>
        </w:rPr>
        <w:t xml:space="preserve">St </w:t>
      </w:r>
      <w:r w:rsidR="56AC0503" w:rsidRPr="787CB4C1">
        <w:rPr>
          <w:i/>
          <w:iCs/>
        </w:rPr>
        <w:t>Catharines</w:t>
      </w:r>
      <w:r w:rsidR="009F1BB4" w:rsidRPr="787CB4C1">
        <w:rPr>
          <w:i/>
          <w:iCs/>
          <w:spacing w:val="-2"/>
        </w:rPr>
        <w:t xml:space="preserve"> Milling v. The Queen</w:t>
      </w:r>
      <w:r w:rsidR="009F1BB4" w:rsidRPr="0032080A">
        <w:rPr>
          <w:spacing w:val="-2"/>
        </w:rPr>
        <w:t xml:space="preserve">, </w:t>
      </w:r>
      <w:r w:rsidR="002530DE" w:rsidRPr="0032080A">
        <w:rPr>
          <w:spacing w:val="-2"/>
        </w:rPr>
        <w:t>the Privy Council in London ruled that as “heathens and barbarians</w:t>
      </w:r>
      <w:r w:rsidR="16C51079">
        <w:t>”</w:t>
      </w:r>
      <w:r w:rsidR="002530DE" w:rsidRPr="0032080A">
        <w:rPr>
          <w:spacing w:val="-2"/>
        </w:rPr>
        <w:t xml:space="preserve">, Indigenous </w:t>
      </w:r>
      <w:r w:rsidR="7C69E5DD" w:rsidRPr="0032080A">
        <w:t xml:space="preserve">Peoples </w:t>
      </w:r>
      <w:r w:rsidR="002530DE" w:rsidRPr="0032080A">
        <w:rPr>
          <w:spacing w:val="-2"/>
        </w:rPr>
        <w:t xml:space="preserve">held no proprietary rights to the soil. A century later, </w:t>
      </w:r>
      <w:r w:rsidRPr="0032080A">
        <w:rPr>
          <w:spacing w:val="-2"/>
        </w:rPr>
        <w:t xml:space="preserve">one of the most well-known </w:t>
      </w:r>
      <w:r w:rsidR="002530DE" w:rsidRPr="0032080A">
        <w:rPr>
          <w:spacing w:val="-2"/>
        </w:rPr>
        <w:t xml:space="preserve">land conflicts </w:t>
      </w:r>
      <w:r w:rsidRPr="0032080A">
        <w:rPr>
          <w:spacing w:val="-2"/>
        </w:rPr>
        <w:t>culminated with a standoff at Oka, Quebec, in 1990</w:t>
      </w:r>
      <w:r w:rsidR="219F1DED" w:rsidRPr="0032080A">
        <w:t xml:space="preserve"> (discussed in Chapter 19)</w:t>
      </w:r>
      <w:r w:rsidRPr="0032080A">
        <w:rPr>
          <w:spacing w:val="-2"/>
        </w:rPr>
        <w:t>.</w:t>
      </w:r>
    </w:p>
    <w:p w14:paraId="17D994BF" w14:textId="77777777" w:rsidR="005D0DC7" w:rsidRPr="005D0DC7" w:rsidRDefault="005D0DC7" w:rsidP="007C4460">
      <w:pPr>
        <w:ind w:left="0"/>
        <w:contextualSpacing/>
        <w:jc w:val="both"/>
      </w:pPr>
    </w:p>
    <w:p w14:paraId="548E358C" w14:textId="3E66B2E6" w:rsidR="005D0DC7" w:rsidRPr="005D0DC7" w:rsidRDefault="00313EC3" w:rsidP="007C4460">
      <w:pPr>
        <w:ind w:left="0"/>
        <w:contextualSpacing/>
        <w:jc w:val="both"/>
      </w:pPr>
      <w:r>
        <w:t xml:space="preserve">Litigation in Canada regarding land claims and Aboriginal rights has been marked by </w:t>
      </w:r>
      <w:r w:rsidR="21F58828">
        <w:t>several</w:t>
      </w:r>
      <w:r>
        <w:t xml:space="preserve"> </w:t>
      </w:r>
      <w:r w:rsidR="002530DE">
        <w:t xml:space="preserve">ongoing </w:t>
      </w:r>
      <w:r>
        <w:t xml:space="preserve">key court cases, beginning </w:t>
      </w:r>
      <w:r w:rsidR="4F19D81C">
        <w:t>with</w:t>
      </w:r>
      <w:r>
        <w:t xml:space="preserve"> the 1973 Supreme Court decision in </w:t>
      </w:r>
      <w:r w:rsidRPr="42031123">
        <w:rPr>
          <w:i/>
          <w:iCs/>
        </w:rPr>
        <w:t>Calder v. Attorney General</w:t>
      </w:r>
      <w:r w:rsidR="5EAAB7D5" w:rsidRPr="42031123">
        <w:rPr>
          <w:i/>
          <w:iCs/>
        </w:rPr>
        <w:t xml:space="preserve"> of British Columbia</w:t>
      </w:r>
      <w:r w:rsidR="002530DE">
        <w:t xml:space="preserve">. Although the Nisga’a lost on a technicality, </w:t>
      </w:r>
      <w:r w:rsidR="009F1BB4">
        <w:t xml:space="preserve">the existence of Aboriginal rights was </w:t>
      </w:r>
      <w:r w:rsidR="0AA69234">
        <w:t>affirmed,</w:t>
      </w:r>
      <w:r w:rsidR="009F1BB4">
        <w:t xml:space="preserve"> and this </w:t>
      </w:r>
      <w:r>
        <w:t xml:space="preserve">led </w:t>
      </w:r>
      <w:r w:rsidR="5321283E">
        <w:t xml:space="preserve">Prime Minister </w:t>
      </w:r>
      <w:r>
        <w:t xml:space="preserve">Pierre Trudeau to concede that </w:t>
      </w:r>
      <w:r w:rsidR="2BD12492">
        <w:t xml:space="preserve">Indigenous </w:t>
      </w:r>
      <w:r w:rsidR="17563E64">
        <w:t>Peoples may</w:t>
      </w:r>
      <w:r>
        <w:t xml:space="preserve"> have more rights than he had previously recognized. A number of other cases throughout the 1980s continued to reinforce the idea that Aboriginal rights existed prior to European contact and that these rights have to be taken into consideration. Cases such as </w:t>
      </w:r>
      <w:r w:rsidRPr="42031123">
        <w:rPr>
          <w:i/>
          <w:iCs/>
        </w:rPr>
        <w:t>Delgamuukw</w:t>
      </w:r>
      <w:r>
        <w:t xml:space="preserve">, as well as the </w:t>
      </w:r>
      <w:r w:rsidRPr="42031123">
        <w:rPr>
          <w:i/>
          <w:iCs/>
        </w:rPr>
        <w:t xml:space="preserve">Marshall </w:t>
      </w:r>
      <w:r>
        <w:t>cases, have all moved Canada</w:t>
      </w:r>
      <w:r w:rsidR="000F7C6F">
        <w:t>’</w:t>
      </w:r>
      <w:r>
        <w:t xml:space="preserve">s courts toward recognition of Aboriginal rights and attempts to define what these rights entail. </w:t>
      </w:r>
      <w:r w:rsidR="009F1BB4">
        <w:t>The</w:t>
      </w:r>
      <w:r w:rsidR="001059FB">
        <w:t xml:space="preserve">re have also </w:t>
      </w:r>
      <w:r w:rsidR="004A5434">
        <w:t>been some</w:t>
      </w:r>
      <w:r w:rsidR="009F1BB4">
        <w:t xml:space="preserve"> landmark decisions for the </w:t>
      </w:r>
      <w:r w:rsidR="00FD41F5">
        <w:t>Métis</w:t>
      </w:r>
      <w:r w:rsidR="009F1BB4">
        <w:t xml:space="preserve">. In 2001, the Ontario Court of Appeal ruled that as a distinct people, the </w:t>
      </w:r>
      <w:r w:rsidR="00FD41F5">
        <w:t>Métis</w:t>
      </w:r>
      <w:r w:rsidR="009F1BB4">
        <w:t xml:space="preserve"> had the right to hunt and fish out of season. </w:t>
      </w:r>
      <w:r w:rsidR="001059FB">
        <w:t xml:space="preserve">, </w:t>
      </w:r>
      <w:r w:rsidR="08EA6352">
        <w:t>In</w:t>
      </w:r>
      <w:r w:rsidR="009F1BB4">
        <w:t xml:space="preserve"> 2017, the Supreme Court of Canada </w:t>
      </w:r>
      <w:r w:rsidR="00220099">
        <w:t>agreed with the M</w:t>
      </w:r>
      <w:r w:rsidR="00C70DF6">
        <w:t xml:space="preserve">anitoba </w:t>
      </w:r>
      <w:r w:rsidR="00FD41F5">
        <w:t>Métis</w:t>
      </w:r>
      <w:r w:rsidR="00C70DF6">
        <w:t xml:space="preserve"> Federation </w:t>
      </w:r>
      <w:r w:rsidR="00220099">
        <w:t xml:space="preserve">that the Crown had failed to implement the land grand provisions of the Manitoba Act of 1870. </w:t>
      </w:r>
      <w:r w:rsidR="23908F2B">
        <w:t>Despite</w:t>
      </w:r>
      <w:r w:rsidR="00220099">
        <w:t xml:space="preserve"> this progress, there </w:t>
      </w:r>
      <w:r w:rsidR="004A5434">
        <w:t xml:space="preserve">have been </w:t>
      </w:r>
      <w:r w:rsidR="00220099">
        <w:t>setbacks</w:t>
      </w:r>
      <w:r w:rsidR="001059FB">
        <w:t xml:space="preserve"> as well</w:t>
      </w:r>
      <w:r w:rsidR="00334185">
        <w:t>;</w:t>
      </w:r>
      <w:r w:rsidR="00220099">
        <w:t xml:space="preserve"> even though Aboriginal Rights are </w:t>
      </w:r>
      <w:r>
        <w:t xml:space="preserve">protected by the Constitution, </w:t>
      </w:r>
      <w:r w:rsidR="00220099">
        <w:t xml:space="preserve">the division of powers between the federal and provincial governments </w:t>
      </w:r>
      <w:r w:rsidR="00334185">
        <w:t xml:space="preserve">also </w:t>
      </w:r>
      <w:r w:rsidR="00220099">
        <w:t xml:space="preserve">means that </w:t>
      </w:r>
      <w:r>
        <w:t xml:space="preserve">it is likely further litigation will continue as both governments and </w:t>
      </w:r>
      <w:r w:rsidR="000F7C6F">
        <w:t>I</w:t>
      </w:r>
      <w:r w:rsidR="00617FB4">
        <w:t xml:space="preserve">ndigenous </w:t>
      </w:r>
      <w:r w:rsidR="13720E0F">
        <w:t>Peoples alike</w:t>
      </w:r>
      <w:r w:rsidR="00220099">
        <w:t xml:space="preserve"> </w:t>
      </w:r>
      <w:r>
        <w:t>strive to have clear definitions placed on these rights.</w:t>
      </w:r>
    </w:p>
    <w:p w14:paraId="292AEC13" w14:textId="77777777" w:rsidR="005D0DC7" w:rsidRPr="005D0DC7" w:rsidRDefault="005D0DC7" w:rsidP="007C4460">
      <w:pPr>
        <w:ind w:left="0"/>
        <w:contextualSpacing/>
        <w:jc w:val="both"/>
      </w:pPr>
    </w:p>
    <w:p w14:paraId="6CAB4B5D" w14:textId="77777777" w:rsidR="00E27CAA" w:rsidRDefault="00313EC3" w:rsidP="787CB4C1">
      <w:pPr>
        <w:ind w:left="0"/>
        <w:contextualSpacing/>
        <w:jc w:val="both"/>
        <w:rPr>
          <w:spacing w:val="-1"/>
        </w:rPr>
      </w:pPr>
      <w:r w:rsidRPr="0032080A">
        <w:rPr>
          <w:spacing w:val="-1"/>
        </w:rPr>
        <w:t xml:space="preserve">The criminal justice system has also been in the spotlight since the 1970s. As statistics began to point to the high number of incarcerations within the justice system, many began to question why the numbers were so skewed toward </w:t>
      </w:r>
      <w:r w:rsidR="00220099" w:rsidRPr="0032080A">
        <w:rPr>
          <w:spacing w:val="-1"/>
        </w:rPr>
        <w:t xml:space="preserve">Indigenous </w:t>
      </w:r>
      <w:r w:rsidR="01024E83" w:rsidRPr="0032080A">
        <w:t xml:space="preserve">Peoples </w:t>
      </w:r>
      <w:r w:rsidRPr="0032080A">
        <w:rPr>
          <w:spacing w:val="-1"/>
        </w:rPr>
        <w:t xml:space="preserve">and what might be done. This resulted in a number of </w:t>
      </w:r>
      <w:r w:rsidR="00220099" w:rsidRPr="0032080A">
        <w:rPr>
          <w:spacing w:val="-1"/>
        </w:rPr>
        <w:t xml:space="preserve">inquiries and </w:t>
      </w:r>
      <w:r w:rsidRPr="0032080A">
        <w:rPr>
          <w:spacing w:val="-1"/>
        </w:rPr>
        <w:t>commissions</w:t>
      </w:r>
      <w:r w:rsidR="00220099" w:rsidRPr="0032080A">
        <w:rPr>
          <w:spacing w:val="-1"/>
        </w:rPr>
        <w:t xml:space="preserve">, which have found that the justice system has failed Indigenous </w:t>
      </w:r>
      <w:r w:rsidR="4D1F6CF8" w:rsidRPr="0032080A">
        <w:rPr>
          <w:spacing w:val="-1"/>
        </w:rPr>
        <w:t xml:space="preserve">Peoples </w:t>
      </w:r>
      <w:r w:rsidR="00220099" w:rsidRPr="0032080A">
        <w:rPr>
          <w:spacing w:val="-1"/>
        </w:rPr>
        <w:t>and that, “…at best, the equal application of the law has unequal results.”</w:t>
      </w:r>
      <w:r w:rsidR="00334185" w:rsidRPr="0032080A">
        <w:rPr>
          <w:spacing w:val="-1"/>
        </w:rPr>
        <w:t xml:space="preserve"> In </w:t>
      </w:r>
      <w:r w:rsidR="00C70DF6" w:rsidRPr="0032080A">
        <w:rPr>
          <w:spacing w:val="-1"/>
        </w:rPr>
        <w:t xml:space="preserve">2001, a 2.5milliondollar </w:t>
      </w:r>
      <w:r w:rsidR="6D112FE6" w:rsidRPr="0032080A">
        <w:t>c</w:t>
      </w:r>
      <w:r w:rsidR="00C70DF6" w:rsidRPr="0032080A">
        <w:rPr>
          <w:spacing w:val="-1"/>
        </w:rPr>
        <w:t>ommission was launched to undertake a thorough examination of the criminal justice system.</w:t>
      </w:r>
      <w:r w:rsidR="00E27CAA">
        <w:rPr>
          <w:spacing w:val="-1"/>
        </w:rPr>
        <w:t xml:space="preserve"> </w:t>
      </w:r>
      <w:r w:rsidR="00C70DF6" w:rsidRPr="0032080A">
        <w:rPr>
          <w:spacing w:val="-1"/>
        </w:rPr>
        <w:t xml:space="preserve">The Commission on First Nations and </w:t>
      </w:r>
      <w:r w:rsidR="00334185" w:rsidRPr="0032080A">
        <w:t xml:space="preserve">Métis </w:t>
      </w:r>
      <w:r w:rsidR="00C70DF6" w:rsidRPr="0032080A">
        <w:rPr>
          <w:spacing w:val="-1"/>
        </w:rPr>
        <w:t>Peoples and Justice Reform released its findings in 2004, and among other recommendations, called for better screening of police candidates, more Indigenous personnel throughout the justice system, and better training for police forces.</w:t>
      </w:r>
    </w:p>
    <w:p w14:paraId="31A1325C" w14:textId="7B6BABD0" w:rsidR="005D0DC7" w:rsidRPr="005D0DC7" w:rsidRDefault="005D0DC7" w:rsidP="007C4460">
      <w:pPr>
        <w:ind w:left="0"/>
        <w:contextualSpacing/>
        <w:jc w:val="both"/>
        <w:rPr>
          <w:spacing w:val="-1"/>
        </w:rPr>
      </w:pPr>
    </w:p>
    <w:p w14:paraId="045AC0C4" w14:textId="77777777" w:rsidR="00E27CAA" w:rsidRPr="00E27CAA" w:rsidRDefault="00334185" w:rsidP="42031123">
      <w:pPr>
        <w:ind w:left="0"/>
        <w:contextualSpacing/>
        <w:jc w:val="both"/>
      </w:pPr>
      <w:r w:rsidRPr="0032080A">
        <w:rPr>
          <w:spacing w:val="-1"/>
        </w:rPr>
        <w:t>On the other side of the picture, in 2000, Canada’s first Indigenous court opened on the Tsuu T’ina reserve west of Calgary</w:t>
      </w:r>
      <w:r w:rsidR="5AFCCCB6">
        <w:t>, and b</w:t>
      </w:r>
      <w:r w:rsidR="5AFCCCB6" w:rsidRPr="00E27CAA">
        <w:t>y 2005, about sixty percent of First Nations had agreements in place for locally controlled policing</w:t>
      </w:r>
      <w:r w:rsidR="40697072" w:rsidRPr="00E27CAA">
        <w:t>.</w:t>
      </w:r>
      <w:r w:rsidRPr="00E27CAA">
        <w:t xml:space="preserve"> </w:t>
      </w:r>
      <w:r w:rsidR="00C70DF6" w:rsidRPr="00E27CAA">
        <w:t xml:space="preserve">However, when </w:t>
      </w:r>
      <w:r w:rsidRPr="00E27CAA">
        <w:t xml:space="preserve">considering </w:t>
      </w:r>
      <w:r w:rsidR="00C70DF6" w:rsidRPr="00E27CAA">
        <w:t xml:space="preserve">the legal position of First Peoples, the role of the Indian Act must also be accounted for. With the goal of protection and assimilation, the Act has emphasized control instead of development, </w:t>
      </w:r>
      <w:r w:rsidRPr="00E27CAA">
        <w:t xml:space="preserve">thereby </w:t>
      </w:r>
      <w:r w:rsidR="00C70DF6" w:rsidRPr="00E27CAA">
        <w:t>stifling initiative and enterprise</w:t>
      </w:r>
      <w:r w:rsidRPr="00E27CAA">
        <w:t xml:space="preserve">, and subjecting </w:t>
      </w:r>
      <w:r w:rsidR="00C70DF6" w:rsidRPr="00E27CAA">
        <w:t>First Nations to colonial rule.</w:t>
      </w:r>
    </w:p>
    <w:p w14:paraId="016F6808" w14:textId="20269CD1" w:rsidR="3DDC8E35" w:rsidRDefault="3DDC8E35" w:rsidP="3DDC8E35">
      <w:pPr>
        <w:ind w:left="0"/>
        <w:contextualSpacing/>
        <w:jc w:val="both"/>
      </w:pPr>
    </w:p>
    <w:p w14:paraId="63BA3C87" w14:textId="4CC4DAB7" w:rsidR="005D0DC7" w:rsidRPr="005D0DC7" w:rsidRDefault="7E3B5AE8" w:rsidP="007C4460">
      <w:pPr>
        <w:ind w:left="0"/>
        <w:contextualSpacing/>
        <w:jc w:val="both"/>
      </w:pPr>
      <w:r>
        <w:t xml:space="preserve">The chapter closes with a discussion of the high rates of violence against Indigenous women, girls, and 2LSLGBTQQIA+ people in Canada. </w:t>
      </w:r>
      <w:r w:rsidR="4346D67E">
        <w:t xml:space="preserve">A report examined the multitude of factors that led to these human and Indigenous rights </w:t>
      </w:r>
      <w:r w:rsidR="2C2C0E20">
        <w:t xml:space="preserve">abuses </w:t>
      </w:r>
      <w:r w:rsidR="353AA107">
        <w:t xml:space="preserve">and </w:t>
      </w:r>
      <w:r w:rsidR="4346D67E">
        <w:t>pr</w:t>
      </w:r>
      <w:r w:rsidR="7B85254B">
        <w:t xml:space="preserve">ovided a controversial conclusion upon its release; such was an example of genocide in Canada. </w:t>
      </w:r>
      <w:r w:rsidR="613E2E48">
        <w:t>The report did provide specific calls to justice to end the cycles of violence.</w:t>
      </w:r>
    </w:p>
    <w:p w14:paraId="1674F4A9" w14:textId="77777777" w:rsidR="005D0DC7" w:rsidRDefault="005D0DC7" w:rsidP="007C4460">
      <w:pPr>
        <w:ind w:left="0"/>
        <w:contextualSpacing/>
        <w:jc w:val="both"/>
      </w:pPr>
    </w:p>
    <w:p w14:paraId="36DAB383" w14:textId="71D3EE64" w:rsidR="00A7292F" w:rsidRPr="00F362FB" w:rsidRDefault="00A7292F" w:rsidP="42031123">
      <w:pPr>
        <w:ind w:left="216" w:hanging="216"/>
        <w:jc w:val="both"/>
        <w:rPr>
          <w:rFonts w:eastAsia="Arial"/>
        </w:rPr>
      </w:pPr>
    </w:p>
    <w:sectPr w:rsidR="00A7292F" w:rsidRPr="00F362FB" w:rsidSect="00CA1A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91867" w14:textId="77777777" w:rsidR="00EC2DED" w:rsidRDefault="00EC2DED">
      <w:r>
        <w:separator/>
      </w:r>
    </w:p>
  </w:endnote>
  <w:endnote w:type="continuationSeparator" w:id="0">
    <w:p w14:paraId="529B2F9E" w14:textId="77777777" w:rsidR="00EC2DED" w:rsidRDefault="00EC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BAC1" w14:textId="77777777" w:rsidR="005D0DC7" w:rsidRPr="005D0DC7" w:rsidRDefault="00CF2BB3" w:rsidP="00CF2BB3">
    <w:pPr>
      <w:pStyle w:val="Footer"/>
      <w:jc w:val="center"/>
      <w:rPr>
        <w:sz w:val="22"/>
        <w:szCs w:val="22"/>
      </w:rPr>
    </w:pPr>
    <w:r w:rsidRPr="00970DB8">
      <w:rPr>
        <w:i/>
        <w:iCs/>
        <w:sz w:val="22"/>
        <w:szCs w:val="22"/>
      </w:rPr>
      <w:t>Indigenous Peoples Within Canada: A Concise History,</w:t>
    </w:r>
    <w:r w:rsidRPr="00AB0FFD">
      <w:rPr>
        <w:sz w:val="22"/>
        <w:szCs w:val="22"/>
      </w:rPr>
      <w:t xml:space="preserve"> Fifth Edition</w:t>
    </w:r>
  </w:p>
  <w:p w14:paraId="738B68B2" w14:textId="443D22E6" w:rsidR="00DD3247" w:rsidRPr="00CF2BB3" w:rsidRDefault="00CF2BB3" w:rsidP="006004D7">
    <w:pPr>
      <w:pStyle w:val="Footer"/>
      <w:jc w:val="center"/>
      <w:rPr>
        <w:sz w:val="22"/>
        <w:szCs w:val="22"/>
      </w:rPr>
    </w:pPr>
    <w:r w:rsidRPr="00AB0FFD">
      <w:rPr>
        <w:sz w:val="22"/>
        <w:szCs w:val="22"/>
      </w:rPr>
      <w:t>© Oxford University Press Canada,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4CEC5" w14:textId="77777777" w:rsidR="00EC2DED" w:rsidRDefault="00EC2DED">
      <w:r>
        <w:separator/>
      </w:r>
    </w:p>
  </w:footnote>
  <w:footnote w:type="continuationSeparator" w:id="0">
    <w:p w14:paraId="086745F1" w14:textId="77777777" w:rsidR="00EC2DED" w:rsidRDefault="00EC2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1EC"/>
    <w:multiLevelType w:val="hybridMultilevel"/>
    <w:tmpl w:val="144AC43E"/>
    <w:lvl w:ilvl="0" w:tplc="18C6C86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8174C6"/>
    <w:multiLevelType w:val="hybridMultilevel"/>
    <w:tmpl w:val="54E06740"/>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3C1081"/>
    <w:multiLevelType w:val="hybridMultilevel"/>
    <w:tmpl w:val="CCE28A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F600DF"/>
    <w:multiLevelType w:val="hybridMultilevel"/>
    <w:tmpl w:val="27CC0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D7D35D"/>
    <w:multiLevelType w:val="hybridMultilevel"/>
    <w:tmpl w:val="4408744A"/>
    <w:lvl w:ilvl="0" w:tplc="C214200E">
      <w:start w:val="1"/>
      <w:numFmt w:val="decimal"/>
      <w:lvlText w:val="%1."/>
      <w:lvlJc w:val="left"/>
      <w:pPr>
        <w:ind w:left="720" w:hanging="360"/>
      </w:pPr>
    </w:lvl>
    <w:lvl w:ilvl="1" w:tplc="0BB0B8BA">
      <w:start w:val="1"/>
      <w:numFmt w:val="lowerLetter"/>
      <w:lvlText w:val="%2."/>
      <w:lvlJc w:val="left"/>
      <w:pPr>
        <w:ind w:left="1440" w:hanging="360"/>
      </w:pPr>
    </w:lvl>
    <w:lvl w:ilvl="2" w:tplc="4DE01506">
      <w:start w:val="1"/>
      <w:numFmt w:val="lowerRoman"/>
      <w:lvlText w:val="%3."/>
      <w:lvlJc w:val="right"/>
      <w:pPr>
        <w:ind w:left="2160" w:hanging="180"/>
      </w:pPr>
    </w:lvl>
    <w:lvl w:ilvl="3" w:tplc="DE3C1EF6">
      <w:start w:val="1"/>
      <w:numFmt w:val="decimal"/>
      <w:lvlText w:val="%4."/>
      <w:lvlJc w:val="left"/>
      <w:pPr>
        <w:ind w:left="2880" w:hanging="360"/>
      </w:pPr>
    </w:lvl>
    <w:lvl w:ilvl="4" w:tplc="07BC39A0">
      <w:start w:val="1"/>
      <w:numFmt w:val="lowerLetter"/>
      <w:lvlText w:val="%5."/>
      <w:lvlJc w:val="left"/>
      <w:pPr>
        <w:ind w:left="3600" w:hanging="360"/>
      </w:pPr>
    </w:lvl>
    <w:lvl w:ilvl="5" w:tplc="F6EA091E">
      <w:start w:val="1"/>
      <w:numFmt w:val="lowerRoman"/>
      <w:lvlText w:val="%6."/>
      <w:lvlJc w:val="right"/>
      <w:pPr>
        <w:ind w:left="4320" w:hanging="180"/>
      </w:pPr>
    </w:lvl>
    <w:lvl w:ilvl="6" w:tplc="1D4427B0">
      <w:start w:val="1"/>
      <w:numFmt w:val="decimal"/>
      <w:lvlText w:val="%7."/>
      <w:lvlJc w:val="left"/>
      <w:pPr>
        <w:ind w:left="5040" w:hanging="360"/>
      </w:pPr>
    </w:lvl>
    <w:lvl w:ilvl="7" w:tplc="F7B8F432">
      <w:start w:val="1"/>
      <w:numFmt w:val="lowerLetter"/>
      <w:lvlText w:val="%8."/>
      <w:lvlJc w:val="left"/>
      <w:pPr>
        <w:ind w:left="5760" w:hanging="360"/>
      </w:pPr>
    </w:lvl>
    <w:lvl w:ilvl="8" w:tplc="AC6087AA">
      <w:start w:val="1"/>
      <w:numFmt w:val="lowerRoman"/>
      <w:lvlText w:val="%9."/>
      <w:lvlJc w:val="right"/>
      <w:pPr>
        <w:ind w:left="6480" w:hanging="180"/>
      </w:pPr>
    </w:lvl>
  </w:abstractNum>
  <w:abstractNum w:abstractNumId="5" w15:restartNumberingAfterBreak="0">
    <w:nsid w:val="1F7A53D8"/>
    <w:multiLevelType w:val="hybridMultilevel"/>
    <w:tmpl w:val="9E3AA9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E63E5"/>
    <w:multiLevelType w:val="hybridMultilevel"/>
    <w:tmpl w:val="5F7EBF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C054EF"/>
    <w:multiLevelType w:val="hybridMultilevel"/>
    <w:tmpl w:val="C568D9AE"/>
    <w:lvl w:ilvl="0" w:tplc="FFFFFFFF">
      <w:start w:val="1"/>
      <w:numFmt w:val="decimal"/>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F8F246F"/>
    <w:multiLevelType w:val="hybridMultilevel"/>
    <w:tmpl w:val="0E8C7E42"/>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44995158"/>
    <w:multiLevelType w:val="hybridMultilevel"/>
    <w:tmpl w:val="7BBAE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331623"/>
    <w:multiLevelType w:val="hybridMultilevel"/>
    <w:tmpl w:val="F6944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F564981"/>
    <w:multiLevelType w:val="hybridMultilevel"/>
    <w:tmpl w:val="68482B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6BA6AE7"/>
    <w:multiLevelType w:val="hybridMultilevel"/>
    <w:tmpl w:val="BD90E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B64296B"/>
    <w:multiLevelType w:val="hybridMultilevel"/>
    <w:tmpl w:val="6694BCDA"/>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3"/>
  </w:num>
  <w:num w:numId="4">
    <w:abstractNumId w:val="3"/>
  </w:num>
  <w:num w:numId="5">
    <w:abstractNumId w:val="6"/>
  </w:num>
  <w:num w:numId="6">
    <w:abstractNumId w:val="10"/>
  </w:num>
  <w:num w:numId="7">
    <w:abstractNumId w:val="1"/>
  </w:num>
  <w:num w:numId="8">
    <w:abstractNumId w:val="9"/>
  </w:num>
  <w:num w:numId="9">
    <w:abstractNumId w:val="12"/>
  </w:num>
  <w:num w:numId="10">
    <w:abstractNumId w:val="11"/>
  </w:num>
  <w:num w:numId="11">
    <w:abstractNumId w:val="0"/>
  </w:num>
  <w:num w:numId="12">
    <w:abstractNumId w:val="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F9"/>
    <w:rsid w:val="00005823"/>
    <w:rsid w:val="000120BF"/>
    <w:rsid w:val="00021C32"/>
    <w:rsid w:val="00054AFD"/>
    <w:rsid w:val="00055E78"/>
    <w:rsid w:val="00063818"/>
    <w:rsid w:val="0008424B"/>
    <w:rsid w:val="0009741A"/>
    <w:rsid w:val="000A29EB"/>
    <w:rsid w:val="000A5B2A"/>
    <w:rsid w:val="000C1F7F"/>
    <w:rsid w:val="000F2288"/>
    <w:rsid w:val="000F7C6F"/>
    <w:rsid w:val="001004F2"/>
    <w:rsid w:val="001059FB"/>
    <w:rsid w:val="00106ED6"/>
    <w:rsid w:val="00117105"/>
    <w:rsid w:val="00117B60"/>
    <w:rsid w:val="00126713"/>
    <w:rsid w:val="00135D28"/>
    <w:rsid w:val="00152FF3"/>
    <w:rsid w:val="001711FC"/>
    <w:rsid w:val="001835DB"/>
    <w:rsid w:val="00183E84"/>
    <w:rsid w:val="001B223B"/>
    <w:rsid w:val="001F3A9F"/>
    <w:rsid w:val="002018AE"/>
    <w:rsid w:val="00202BB1"/>
    <w:rsid w:val="00214A90"/>
    <w:rsid w:val="00220099"/>
    <w:rsid w:val="002256F6"/>
    <w:rsid w:val="0024420B"/>
    <w:rsid w:val="002530DE"/>
    <w:rsid w:val="002628FE"/>
    <w:rsid w:val="0026395B"/>
    <w:rsid w:val="00273114"/>
    <w:rsid w:val="00277BBA"/>
    <w:rsid w:val="002A5B7C"/>
    <w:rsid w:val="002B5DD7"/>
    <w:rsid w:val="002B6325"/>
    <w:rsid w:val="002C7F4E"/>
    <w:rsid w:val="00310AB2"/>
    <w:rsid w:val="00313EC3"/>
    <w:rsid w:val="00316AA7"/>
    <w:rsid w:val="0032080A"/>
    <w:rsid w:val="00326BA1"/>
    <w:rsid w:val="00334185"/>
    <w:rsid w:val="00362674"/>
    <w:rsid w:val="00375C3B"/>
    <w:rsid w:val="00387B55"/>
    <w:rsid w:val="003C565A"/>
    <w:rsid w:val="003E0B04"/>
    <w:rsid w:val="00411419"/>
    <w:rsid w:val="00413CA5"/>
    <w:rsid w:val="00430835"/>
    <w:rsid w:val="004A5434"/>
    <w:rsid w:val="004B3499"/>
    <w:rsid w:val="00500ABF"/>
    <w:rsid w:val="00502166"/>
    <w:rsid w:val="00517DCC"/>
    <w:rsid w:val="00550CBA"/>
    <w:rsid w:val="00564968"/>
    <w:rsid w:val="00573228"/>
    <w:rsid w:val="0058161B"/>
    <w:rsid w:val="005956E2"/>
    <w:rsid w:val="005B0223"/>
    <w:rsid w:val="005B488A"/>
    <w:rsid w:val="005C5E9F"/>
    <w:rsid w:val="005D0DC7"/>
    <w:rsid w:val="005E1007"/>
    <w:rsid w:val="006004D7"/>
    <w:rsid w:val="00617FB4"/>
    <w:rsid w:val="00642A96"/>
    <w:rsid w:val="00644BAC"/>
    <w:rsid w:val="0065567E"/>
    <w:rsid w:val="00664E8F"/>
    <w:rsid w:val="006C4F83"/>
    <w:rsid w:val="006D5CCF"/>
    <w:rsid w:val="006F5F92"/>
    <w:rsid w:val="006F6F51"/>
    <w:rsid w:val="00713AEA"/>
    <w:rsid w:val="0073433D"/>
    <w:rsid w:val="00752F4A"/>
    <w:rsid w:val="00782DF6"/>
    <w:rsid w:val="007C4460"/>
    <w:rsid w:val="007D1A9F"/>
    <w:rsid w:val="007D597E"/>
    <w:rsid w:val="007E0886"/>
    <w:rsid w:val="007E6E17"/>
    <w:rsid w:val="007F16F2"/>
    <w:rsid w:val="0080433F"/>
    <w:rsid w:val="00805975"/>
    <w:rsid w:val="00811450"/>
    <w:rsid w:val="0084697D"/>
    <w:rsid w:val="008C4692"/>
    <w:rsid w:val="008D323D"/>
    <w:rsid w:val="00912EA0"/>
    <w:rsid w:val="00917DA7"/>
    <w:rsid w:val="009324AD"/>
    <w:rsid w:val="00966D3D"/>
    <w:rsid w:val="00985CFB"/>
    <w:rsid w:val="00995AB8"/>
    <w:rsid w:val="009963A3"/>
    <w:rsid w:val="009B7293"/>
    <w:rsid w:val="009D2CCC"/>
    <w:rsid w:val="009D7765"/>
    <w:rsid w:val="009F1BB4"/>
    <w:rsid w:val="00A03A90"/>
    <w:rsid w:val="00A04B4A"/>
    <w:rsid w:val="00A5053B"/>
    <w:rsid w:val="00A53E22"/>
    <w:rsid w:val="00A55596"/>
    <w:rsid w:val="00A7292F"/>
    <w:rsid w:val="00A84AEC"/>
    <w:rsid w:val="00AAAE35"/>
    <w:rsid w:val="00AC0D6F"/>
    <w:rsid w:val="00AC0F79"/>
    <w:rsid w:val="00AC65BA"/>
    <w:rsid w:val="00AE47A3"/>
    <w:rsid w:val="00AE6F7E"/>
    <w:rsid w:val="00B00567"/>
    <w:rsid w:val="00B32E44"/>
    <w:rsid w:val="00B504DB"/>
    <w:rsid w:val="00B7024C"/>
    <w:rsid w:val="00B72C2D"/>
    <w:rsid w:val="00B84453"/>
    <w:rsid w:val="00BE7D1E"/>
    <w:rsid w:val="00C00FD9"/>
    <w:rsid w:val="00C13A28"/>
    <w:rsid w:val="00C172BF"/>
    <w:rsid w:val="00C35A1C"/>
    <w:rsid w:val="00C36862"/>
    <w:rsid w:val="00C62281"/>
    <w:rsid w:val="00C70DF6"/>
    <w:rsid w:val="00CA1AF9"/>
    <w:rsid w:val="00CF2BB3"/>
    <w:rsid w:val="00D15000"/>
    <w:rsid w:val="00D16630"/>
    <w:rsid w:val="00D32DEE"/>
    <w:rsid w:val="00D4476E"/>
    <w:rsid w:val="00D742EE"/>
    <w:rsid w:val="00DA732C"/>
    <w:rsid w:val="00DB5AAD"/>
    <w:rsid w:val="00DB61DF"/>
    <w:rsid w:val="00DC2A77"/>
    <w:rsid w:val="00DC4155"/>
    <w:rsid w:val="00DD24D0"/>
    <w:rsid w:val="00DD3247"/>
    <w:rsid w:val="00DE6E1F"/>
    <w:rsid w:val="00E0287A"/>
    <w:rsid w:val="00E27CAA"/>
    <w:rsid w:val="00E302E5"/>
    <w:rsid w:val="00E473B4"/>
    <w:rsid w:val="00E50A0B"/>
    <w:rsid w:val="00E54754"/>
    <w:rsid w:val="00E6351F"/>
    <w:rsid w:val="00E9437A"/>
    <w:rsid w:val="00EA158F"/>
    <w:rsid w:val="00EC2DED"/>
    <w:rsid w:val="00EF09EB"/>
    <w:rsid w:val="00F03552"/>
    <w:rsid w:val="00F07639"/>
    <w:rsid w:val="00F11869"/>
    <w:rsid w:val="00F178E8"/>
    <w:rsid w:val="00F25706"/>
    <w:rsid w:val="00F35682"/>
    <w:rsid w:val="00F42F66"/>
    <w:rsid w:val="00F452EF"/>
    <w:rsid w:val="00F54A52"/>
    <w:rsid w:val="00F6559C"/>
    <w:rsid w:val="00F70680"/>
    <w:rsid w:val="00FA5DEF"/>
    <w:rsid w:val="00FD0884"/>
    <w:rsid w:val="00FD317F"/>
    <w:rsid w:val="00FD41F5"/>
    <w:rsid w:val="00FD4FB3"/>
    <w:rsid w:val="00FF5649"/>
    <w:rsid w:val="01024E83"/>
    <w:rsid w:val="01F6CD6A"/>
    <w:rsid w:val="020E7BF1"/>
    <w:rsid w:val="0227761D"/>
    <w:rsid w:val="028AB6CF"/>
    <w:rsid w:val="034E6599"/>
    <w:rsid w:val="041FF368"/>
    <w:rsid w:val="04E94F89"/>
    <w:rsid w:val="050ED607"/>
    <w:rsid w:val="0685A5C0"/>
    <w:rsid w:val="075826EA"/>
    <w:rsid w:val="07624186"/>
    <w:rsid w:val="07AD5A61"/>
    <w:rsid w:val="087E1B23"/>
    <w:rsid w:val="08E44A1B"/>
    <w:rsid w:val="08EA6352"/>
    <w:rsid w:val="0907EF8F"/>
    <w:rsid w:val="0AA69234"/>
    <w:rsid w:val="0B8A1587"/>
    <w:rsid w:val="0CD57F16"/>
    <w:rsid w:val="0D989745"/>
    <w:rsid w:val="0DC75588"/>
    <w:rsid w:val="0DC79454"/>
    <w:rsid w:val="0DFBAECA"/>
    <w:rsid w:val="0E17D826"/>
    <w:rsid w:val="0FDCB4A6"/>
    <w:rsid w:val="10127194"/>
    <w:rsid w:val="1086DFC2"/>
    <w:rsid w:val="113927FC"/>
    <w:rsid w:val="11600012"/>
    <w:rsid w:val="11901EAD"/>
    <w:rsid w:val="1263F86E"/>
    <w:rsid w:val="12673FC8"/>
    <w:rsid w:val="13229E67"/>
    <w:rsid w:val="13720E0F"/>
    <w:rsid w:val="1431AAF7"/>
    <w:rsid w:val="1530F7CD"/>
    <w:rsid w:val="154E5D0B"/>
    <w:rsid w:val="16BEEE17"/>
    <w:rsid w:val="16C25F1E"/>
    <w:rsid w:val="16C51079"/>
    <w:rsid w:val="16CDB149"/>
    <w:rsid w:val="16D9105C"/>
    <w:rsid w:val="17563E64"/>
    <w:rsid w:val="17C257A8"/>
    <w:rsid w:val="17E62A88"/>
    <w:rsid w:val="17EC9467"/>
    <w:rsid w:val="18352382"/>
    <w:rsid w:val="186EC54F"/>
    <w:rsid w:val="190E437B"/>
    <w:rsid w:val="19D0F3E3"/>
    <w:rsid w:val="1A0468F0"/>
    <w:rsid w:val="1A8CB033"/>
    <w:rsid w:val="1AB2139C"/>
    <w:rsid w:val="1ADF26FF"/>
    <w:rsid w:val="1BF2DE08"/>
    <w:rsid w:val="1CAFB8E1"/>
    <w:rsid w:val="1D43F738"/>
    <w:rsid w:val="1D560F6D"/>
    <w:rsid w:val="1D955C9C"/>
    <w:rsid w:val="1E8F5141"/>
    <w:rsid w:val="1EA8799E"/>
    <w:rsid w:val="1EE2F354"/>
    <w:rsid w:val="1EF1DFCE"/>
    <w:rsid w:val="202B21A2"/>
    <w:rsid w:val="20733DEE"/>
    <w:rsid w:val="20E9E2E1"/>
    <w:rsid w:val="20EF4CC5"/>
    <w:rsid w:val="219F1DED"/>
    <w:rsid w:val="21E76D74"/>
    <w:rsid w:val="21F58828"/>
    <w:rsid w:val="22EA156B"/>
    <w:rsid w:val="2340AFB7"/>
    <w:rsid w:val="23908F2B"/>
    <w:rsid w:val="23B338BC"/>
    <w:rsid w:val="23C550F1"/>
    <w:rsid w:val="23CA69AC"/>
    <w:rsid w:val="245598E8"/>
    <w:rsid w:val="24DC8018"/>
    <w:rsid w:val="24FE92C5"/>
    <w:rsid w:val="2564262C"/>
    <w:rsid w:val="25D78F2C"/>
    <w:rsid w:val="262F54C1"/>
    <w:rsid w:val="26FCF1B3"/>
    <w:rsid w:val="27638677"/>
    <w:rsid w:val="289C4B8B"/>
    <w:rsid w:val="2906B1F9"/>
    <w:rsid w:val="290F2FEE"/>
    <w:rsid w:val="29160453"/>
    <w:rsid w:val="294ACB9B"/>
    <w:rsid w:val="295956EF"/>
    <w:rsid w:val="2995DCB2"/>
    <w:rsid w:val="29BA443C"/>
    <w:rsid w:val="2A349275"/>
    <w:rsid w:val="2A7EC1D2"/>
    <w:rsid w:val="2ABF9B5C"/>
    <w:rsid w:val="2AC4DA6C"/>
    <w:rsid w:val="2AC5C6DB"/>
    <w:rsid w:val="2BD062D6"/>
    <w:rsid w:val="2BD12492"/>
    <w:rsid w:val="2C2C0E20"/>
    <w:rsid w:val="2CFC308C"/>
    <w:rsid w:val="2D097FCA"/>
    <w:rsid w:val="2D0F0E76"/>
    <w:rsid w:val="2D326751"/>
    <w:rsid w:val="2DAEA3B5"/>
    <w:rsid w:val="2E1FB7A2"/>
    <w:rsid w:val="2E688B8D"/>
    <w:rsid w:val="2EDDAC21"/>
    <w:rsid w:val="2FB2A4DD"/>
    <w:rsid w:val="30197551"/>
    <w:rsid w:val="304932F2"/>
    <w:rsid w:val="30A8D9F1"/>
    <w:rsid w:val="30D8E3E1"/>
    <w:rsid w:val="3134121F"/>
    <w:rsid w:val="317C1FC5"/>
    <w:rsid w:val="3274B442"/>
    <w:rsid w:val="33B11D44"/>
    <w:rsid w:val="33DDD360"/>
    <w:rsid w:val="33F3FC28"/>
    <w:rsid w:val="34159CAD"/>
    <w:rsid w:val="352214B7"/>
    <w:rsid w:val="353AA107"/>
    <w:rsid w:val="36BAD1EE"/>
    <w:rsid w:val="36CF1297"/>
    <w:rsid w:val="36E20445"/>
    <w:rsid w:val="3775A9C3"/>
    <w:rsid w:val="383CA579"/>
    <w:rsid w:val="38E86F2F"/>
    <w:rsid w:val="392D413E"/>
    <w:rsid w:val="393C3072"/>
    <w:rsid w:val="3A5B85DB"/>
    <w:rsid w:val="3B770664"/>
    <w:rsid w:val="3C0EAFF4"/>
    <w:rsid w:val="3D27B5FA"/>
    <w:rsid w:val="3D759394"/>
    <w:rsid w:val="3DDC8E35"/>
    <w:rsid w:val="3E5CF197"/>
    <w:rsid w:val="3EED398E"/>
    <w:rsid w:val="3F1163F5"/>
    <w:rsid w:val="3F7420BE"/>
    <w:rsid w:val="3F7CB2AF"/>
    <w:rsid w:val="3FE6A9C3"/>
    <w:rsid w:val="3FE792DE"/>
    <w:rsid w:val="404437B6"/>
    <w:rsid w:val="40697072"/>
    <w:rsid w:val="408909EF"/>
    <w:rsid w:val="4125785C"/>
    <w:rsid w:val="41827A24"/>
    <w:rsid w:val="42031123"/>
    <w:rsid w:val="42ABC180"/>
    <w:rsid w:val="42C148BD"/>
    <w:rsid w:val="4346D67E"/>
    <w:rsid w:val="4378D6F3"/>
    <w:rsid w:val="4396F77E"/>
    <w:rsid w:val="445461A9"/>
    <w:rsid w:val="4474C234"/>
    <w:rsid w:val="448883CF"/>
    <w:rsid w:val="45D3238A"/>
    <w:rsid w:val="4648CFD4"/>
    <w:rsid w:val="4655EB47"/>
    <w:rsid w:val="46B077B5"/>
    <w:rsid w:val="47CA07F7"/>
    <w:rsid w:val="4803D3DD"/>
    <w:rsid w:val="480BC163"/>
    <w:rsid w:val="494AA689"/>
    <w:rsid w:val="49F60CF5"/>
    <w:rsid w:val="4A104774"/>
    <w:rsid w:val="4B0A4D58"/>
    <w:rsid w:val="4BEBD55F"/>
    <w:rsid w:val="4C0A5D8C"/>
    <w:rsid w:val="4C3D783F"/>
    <w:rsid w:val="4CEF5F33"/>
    <w:rsid w:val="4D1F6CF8"/>
    <w:rsid w:val="4D4390A8"/>
    <w:rsid w:val="4D87A5C0"/>
    <w:rsid w:val="4DA504F7"/>
    <w:rsid w:val="4DDAA690"/>
    <w:rsid w:val="4E1902BE"/>
    <w:rsid w:val="4EB756C5"/>
    <w:rsid w:val="4EDF6109"/>
    <w:rsid w:val="4F0DD33F"/>
    <w:rsid w:val="4F19D81C"/>
    <w:rsid w:val="4FCDF6ED"/>
    <w:rsid w:val="5016D348"/>
    <w:rsid w:val="501BBA91"/>
    <w:rsid w:val="50705A1D"/>
    <w:rsid w:val="5096A08B"/>
    <w:rsid w:val="50BF4682"/>
    <w:rsid w:val="50DD19F4"/>
    <w:rsid w:val="5177BDDC"/>
    <w:rsid w:val="5278EA55"/>
    <w:rsid w:val="5321283E"/>
    <w:rsid w:val="53E01BB0"/>
    <w:rsid w:val="5414BAB6"/>
    <w:rsid w:val="5487B5DE"/>
    <w:rsid w:val="5489EDF4"/>
    <w:rsid w:val="54963652"/>
    <w:rsid w:val="5499BB07"/>
    <w:rsid w:val="54B27DBD"/>
    <w:rsid w:val="54D59378"/>
    <w:rsid w:val="555DB261"/>
    <w:rsid w:val="55B08B17"/>
    <w:rsid w:val="55BD5FFC"/>
    <w:rsid w:val="55FC0309"/>
    <w:rsid w:val="5600BA9F"/>
    <w:rsid w:val="56224CC3"/>
    <w:rsid w:val="562B3DFA"/>
    <w:rsid w:val="568614CC"/>
    <w:rsid w:val="56AC0503"/>
    <w:rsid w:val="5718062D"/>
    <w:rsid w:val="57AA776B"/>
    <w:rsid w:val="581A08E5"/>
    <w:rsid w:val="58BF07B5"/>
    <w:rsid w:val="59038C80"/>
    <w:rsid w:val="590DBA9A"/>
    <w:rsid w:val="597E242B"/>
    <w:rsid w:val="59F04E73"/>
    <w:rsid w:val="59F20127"/>
    <w:rsid w:val="5A342368"/>
    <w:rsid w:val="5AFCCCB6"/>
    <w:rsid w:val="5B07158A"/>
    <w:rsid w:val="5B20AA95"/>
    <w:rsid w:val="5B5985EF"/>
    <w:rsid w:val="5C6F687C"/>
    <w:rsid w:val="5D6E3EB4"/>
    <w:rsid w:val="5D835407"/>
    <w:rsid w:val="5D99F3AE"/>
    <w:rsid w:val="5DCF372F"/>
    <w:rsid w:val="5E2C8010"/>
    <w:rsid w:val="5EAAB7D5"/>
    <w:rsid w:val="5FE181C7"/>
    <w:rsid w:val="6110E953"/>
    <w:rsid w:val="611DC865"/>
    <w:rsid w:val="613E2E48"/>
    <w:rsid w:val="61560CD9"/>
    <w:rsid w:val="627E18A8"/>
    <w:rsid w:val="62CE0D68"/>
    <w:rsid w:val="62F61EE5"/>
    <w:rsid w:val="63BB5C59"/>
    <w:rsid w:val="641D16C0"/>
    <w:rsid w:val="6437F0CB"/>
    <w:rsid w:val="64AE73EB"/>
    <w:rsid w:val="6579CA6C"/>
    <w:rsid w:val="66F81AC8"/>
    <w:rsid w:val="6738AF5A"/>
    <w:rsid w:val="6786FFD9"/>
    <w:rsid w:val="67F31628"/>
    <w:rsid w:val="6844AE71"/>
    <w:rsid w:val="68493EFD"/>
    <w:rsid w:val="68507ED2"/>
    <w:rsid w:val="68B235B8"/>
    <w:rsid w:val="6967BCB8"/>
    <w:rsid w:val="697FFB5E"/>
    <w:rsid w:val="6A483917"/>
    <w:rsid w:val="6AA2FD89"/>
    <w:rsid w:val="6AE3DB8A"/>
    <w:rsid w:val="6B56E728"/>
    <w:rsid w:val="6C7349E2"/>
    <w:rsid w:val="6C95BA0D"/>
    <w:rsid w:val="6C993AB3"/>
    <w:rsid w:val="6D112FE6"/>
    <w:rsid w:val="6DCCEC53"/>
    <w:rsid w:val="6DFD28E7"/>
    <w:rsid w:val="6E2BD561"/>
    <w:rsid w:val="6E5C828A"/>
    <w:rsid w:val="6E6F29BA"/>
    <w:rsid w:val="6EAB9113"/>
    <w:rsid w:val="6EBE5A82"/>
    <w:rsid w:val="70D56548"/>
    <w:rsid w:val="71A00874"/>
    <w:rsid w:val="72421811"/>
    <w:rsid w:val="724A6BD6"/>
    <w:rsid w:val="72A05D76"/>
    <w:rsid w:val="7348D0B0"/>
    <w:rsid w:val="74563E11"/>
    <w:rsid w:val="74705C97"/>
    <w:rsid w:val="749AADC5"/>
    <w:rsid w:val="7529FE89"/>
    <w:rsid w:val="759436F2"/>
    <w:rsid w:val="75A28FB0"/>
    <w:rsid w:val="76251DE2"/>
    <w:rsid w:val="7629B3C7"/>
    <w:rsid w:val="763A532C"/>
    <w:rsid w:val="76B1BB70"/>
    <w:rsid w:val="77336143"/>
    <w:rsid w:val="778CF6F6"/>
    <w:rsid w:val="77DD57BA"/>
    <w:rsid w:val="77F360FC"/>
    <w:rsid w:val="787CB4C1"/>
    <w:rsid w:val="78C7964C"/>
    <w:rsid w:val="795F8107"/>
    <w:rsid w:val="7A974E42"/>
    <w:rsid w:val="7B85254B"/>
    <w:rsid w:val="7BCF201A"/>
    <w:rsid w:val="7BE1603E"/>
    <w:rsid w:val="7C0D73D6"/>
    <w:rsid w:val="7C69E5DD"/>
    <w:rsid w:val="7CE7CF34"/>
    <w:rsid w:val="7D3507E1"/>
    <w:rsid w:val="7D62E089"/>
    <w:rsid w:val="7D64D0F8"/>
    <w:rsid w:val="7DA94437"/>
    <w:rsid w:val="7DDCC137"/>
    <w:rsid w:val="7E3B5AE8"/>
    <w:rsid w:val="7F243F77"/>
    <w:rsid w:val="7F48E613"/>
    <w:rsid w:val="7FF0AD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FB1A8A"/>
  <w15:docId w15:val="{C5BAAC41-8783-4E6E-85FC-1C8C5AE2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AF9"/>
    <w:pPr>
      <w:ind w:left="72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1AF9"/>
    <w:pPr>
      <w:tabs>
        <w:tab w:val="center" w:pos="4680"/>
        <w:tab w:val="right" w:pos="9360"/>
      </w:tabs>
    </w:pPr>
  </w:style>
  <w:style w:type="character" w:customStyle="1" w:styleId="FooterChar">
    <w:name w:val="Footer Char"/>
    <w:link w:val="Footer"/>
    <w:locked/>
    <w:rsid w:val="00CA1AF9"/>
    <w:rPr>
      <w:sz w:val="24"/>
      <w:szCs w:val="24"/>
      <w:lang w:val="en-US" w:eastAsia="en-US" w:bidi="ar-SA"/>
    </w:rPr>
  </w:style>
  <w:style w:type="paragraph" w:styleId="ListParagraph">
    <w:name w:val="List Paragraph"/>
    <w:basedOn w:val="Normal"/>
    <w:qFormat/>
    <w:rsid w:val="00CA1AF9"/>
    <w:pPr>
      <w:contextualSpacing/>
    </w:pPr>
  </w:style>
  <w:style w:type="paragraph" w:styleId="Header">
    <w:name w:val="header"/>
    <w:basedOn w:val="Normal"/>
    <w:rsid w:val="00642A96"/>
    <w:pPr>
      <w:tabs>
        <w:tab w:val="center" w:pos="4320"/>
        <w:tab w:val="right" w:pos="8640"/>
      </w:tabs>
    </w:pPr>
  </w:style>
  <w:style w:type="character" w:styleId="Hyperlink">
    <w:name w:val="Hyperlink"/>
    <w:unhideWhenUsed/>
    <w:rsid w:val="00573228"/>
    <w:rPr>
      <w:color w:val="0000FF"/>
      <w:u w:val="single"/>
    </w:rPr>
  </w:style>
  <w:style w:type="character" w:styleId="FollowedHyperlink">
    <w:name w:val="FollowedHyperlink"/>
    <w:rsid w:val="002628FE"/>
    <w:rPr>
      <w:color w:val="800080"/>
      <w:u w:val="single"/>
    </w:rPr>
  </w:style>
  <w:style w:type="paragraph" w:styleId="BalloonText">
    <w:name w:val="Balloon Text"/>
    <w:basedOn w:val="Normal"/>
    <w:link w:val="BalloonTextChar"/>
    <w:rsid w:val="008D323D"/>
    <w:rPr>
      <w:rFonts w:ascii="Tahoma" w:hAnsi="Tahoma" w:cs="Tahoma"/>
      <w:sz w:val="16"/>
      <w:szCs w:val="16"/>
    </w:rPr>
  </w:style>
  <w:style w:type="character" w:customStyle="1" w:styleId="BalloonTextChar">
    <w:name w:val="Balloon Text Char"/>
    <w:link w:val="BalloonText"/>
    <w:rsid w:val="008D323D"/>
    <w:rPr>
      <w:rFonts w:ascii="Tahoma" w:hAnsi="Tahoma" w:cs="Tahoma"/>
      <w:sz w:val="16"/>
      <w:szCs w:val="16"/>
      <w:lang w:val="en-US" w:eastAsia="en-US"/>
    </w:rPr>
  </w:style>
  <w:style w:type="character" w:styleId="CommentReference">
    <w:name w:val="annotation reference"/>
    <w:rsid w:val="008D323D"/>
    <w:rPr>
      <w:sz w:val="16"/>
      <w:szCs w:val="16"/>
    </w:rPr>
  </w:style>
  <w:style w:type="paragraph" w:styleId="CommentText">
    <w:name w:val="annotation text"/>
    <w:basedOn w:val="Normal"/>
    <w:link w:val="CommentTextChar"/>
    <w:rsid w:val="008D323D"/>
    <w:rPr>
      <w:sz w:val="20"/>
      <w:szCs w:val="20"/>
    </w:rPr>
  </w:style>
  <w:style w:type="character" w:customStyle="1" w:styleId="CommentTextChar">
    <w:name w:val="Comment Text Char"/>
    <w:link w:val="CommentText"/>
    <w:rsid w:val="008D323D"/>
    <w:rPr>
      <w:lang w:val="en-US" w:eastAsia="en-US"/>
    </w:rPr>
  </w:style>
  <w:style w:type="paragraph" w:styleId="CommentSubject">
    <w:name w:val="annotation subject"/>
    <w:basedOn w:val="CommentText"/>
    <w:next w:val="CommentText"/>
    <w:link w:val="CommentSubjectChar"/>
    <w:rsid w:val="008D323D"/>
    <w:rPr>
      <w:b/>
      <w:bCs/>
    </w:rPr>
  </w:style>
  <w:style w:type="character" w:customStyle="1" w:styleId="CommentSubjectChar">
    <w:name w:val="Comment Subject Char"/>
    <w:link w:val="CommentSubject"/>
    <w:rsid w:val="008D323D"/>
    <w:rPr>
      <w:b/>
      <w:bCs/>
      <w:lang w:val="en-US" w:eastAsia="en-US"/>
    </w:rPr>
  </w:style>
  <w:style w:type="character" w:customStyle="1" w:styleId="UnresolvedMention1">
    <w:name w:val="Unresolved Mention1"/>
    <w:basedOn w:val="DefaultParagraphFont"/>
    <w:uiPriority w:val="99"/>
    <w:semiHidden/>
    <w:unhideWhenUsed/>
    <w:rsid w:val="00E0287A"/>
    <w:rPr>
      <w:color w:val="605E5C"/>
      <w:shd w:val="clear" w:color="auto" w:fill="E1DFDD"/>
    </w:rPr>
  </w:style>
  <w:style w:type="paragraph" w:styleId="NormalWeb">
    <w:name w:val="Normal (Web)"/>
    <w:basedOn w:val="Normal"/>
    <w:uiPriority w:val="99"/>
    <w:unhideWhenUsed/>
    <w:rsid w:val="00DC4155"/>
    <w:pPr>
      <w:spacing w:before="100" w:beforeAutospacing="1" w:after="100" w:afterAutospacing="1"/>
      <w:ind w:left="0"/>
    </w:pPr>
    <w:rPr>
      <w:lang w:val="en-CA"/>
    </w:rPr>
  </w:style>
  <w:style w:type="paragraph" w:customStyle="1" w:styleId="head2">
    <w:name w:val="head 2"/>
    <w:rsid w:val="00411419"/>
    <w:pPr>
      <w:spacing w:before="115" w:after="20" w:line="260" w:lineRule="exact"/>
    </w:pPr>
    <w:rPr>
      <w:rFonts w:ascii="Helvetica" w:hAnsi="Helvetica"/>
      <w:b/>
      <w:sz w:val="21"/>
      <w:lang w:val="en-US" w:eastAsia="en-US"/>
    </w:rPr>
  </w:style>
  <w:style w:type="character" w:styleId="UnresolvedMention">
    <w:name w:val="Unresolved Mention"/>
    <w:basedOn w:val="DefaultParagraphFont"/>
    <w:uiPriority w:val="99"/>
    <w:semiHidden/>
    <w:unhideWhenUsed/>
    <w:rsid w:val="00D15000"/>
    <w:rPr>
      <w:color w:val="605E5C"/>
      <w:shd w:val="clear" w:color="auto" w:fill="E1DFDD"/>
    </w:rPr>
  </w:style>
  <w:style w:type="paragraph" w:customStyle="1" w:styleId="BibliographicCitation">
    <w:name w:val="Bibliographic Citation"/>
    <w:basedOn w:val="Normal"/>
    <w:link w:val="BibliographicCitationChar"/>
    <w:uiPriority w:val="1"/>
    <w:qFormat/>
    <w:rsid w:val="17E62A88"/>
    <w:pPr>
      <w:spacing w:before="60" w:after="60" w:line="480" w:lineRule="auto"/>
      <w:ind w:left="432" w:hanging="432"/>
    </w:pPr>
    <w:rPr>
      <w:rFonts w:eastAsia="Calibri"/>
      <w:lang w:eastAsia="ko-KR"/>
    </w:rPr>
  </w:style>
  <w:style w:type="paragraph" w:customStyle="1" w:styleId="BibliographicCitationArticle">
    <w:name w:val="Bibliographic Citation:Article"/>
    <w:basedOn w:val="Normal"/>
    <w:uiPriority w:val="1"/>
    <w:qFormat/>
    <w:rsid w:val="17E62A88"/>
    <w:pPr>
      <w:spacing w:before="60" w:after="60" w:line="480" w:lineRule="auto"/>
      <w:ind w:left="432" w:hanging="432"/>
    </w:pPr>
    <w:rPr>
      <w:rFonts w:eastAsia="Calibri"/>
      <w:lang w:eastAsia="ko-KR"/>
    </w:rPr>
  </w:style>
  <w:style w:type="paragraph" w:customStyle="1" w:styleId="BibliographicCitationBook">
    <w:name w:val="Bibliographic Citation:Book"/>
    <w:basedOn w:val="Normal"/>
    <w:uiPriority w:val="1"/>
    <w:qFormat/>
    <w:rsid w:val="17E62A88"/>
    <w:pPr>
      <w:spacing w:before="60" w:after="60" w:line="480" w:lineRule="auto"/>
      <w:ind w:left="432" w:hanging="432"/>
    </w:pPr>
    <w:rPr>
      <w:rFonts w:eastAsia="Calibri"/>
      <w:lang w:eastAsia="ko-KR"/>
    </w:rPr>
  </w:style>
  <w:style w:type="paragraph" w:customStyle="1" w:styleId="BibliographicCitationChapter">
    <w:name w:val="Bibliographic Citation:Chapter"/>
    <w:basedOn w:val="Normal"/>
    <w:uiPriority w:val="1"/>
    <w:qFormat/>
    <w:rsid w:val="17E62A88"/>
    <w:pPr>
      <w:spacing w:before="60" w:after="60" w:line="480" w:lineRule="auto"/>
      <w:ind w:left="432" w:hanging="432"/>
    </w:pPr>
    <w:rPr>
      <w:rFonts w:eastAsia="Calibri"/>
      <w:lang w:eastAsia="ko-KR"/>
    </w:rPr>
  </w:style>
  <w:style w:type="paragraph" w:customStyle="1" w:styleId="BibliographicCitationPeriodical">
    <w:name w:val="Bibliographic Citation:Periodical"/>
    <w:basedOn w:val="Normal"/>
    <w:uiPriority w:val="1"/>
    <w:qFormat/>
    <w:rsid w:val="17E62A88"/>
    <w:pPr>
      <w:spacing w:before="60" w:after="60" w:line="480" w:lineRule="auto"/>
      <w:ind w:left="432" w:hanging="432"/>
    </w:pPr>
    <w:rPr>
      <w:rFonts w:eastAsia="Calibri"/>
      <w:lang w:eastAsia="ko-KR"/>
    </w:rPr>
  </w:style>
  <w:style w:type="character" w:customStyle="1" w:styleId="CitationArticleTitle">
    <w:name w:val="Citation Article Title"/>
    <w:basedOn w:val="DefaultParagraphFont"/>
    <w:uiPriority w:val="1"/>
    <w:rsid w:val="17E62A88"/>
    <w:rPr>
      <w:color w:val="0000FF"/>
      <w:sz w:val="24"/>
      <w:szCs w:val="24"/>
    </w:rPr>
  </w:style>
  <w:style w:type="character" w:customStyle="1" w:styleId="CitationChapterTitle">
    <w:name w:val="Citation Chapter Title"/>
    <w:basedOn w:val="DefaultParagraphFont"/>
    <w:uiPriority w:val="1"/>
    <w:rsid w:val="17E62A88"/>
    <w:rPr>
      <w:color w:val="00B0F0"/>
      <w:sz w:val="24"/>
      <w:szCs w:val="24"/>
    </w:rPr>
  </w:style>
  <w:style w:type="character" w:customStyle="1" w:styleId="CitationPages">
    <w:name w:val="Citation Page(s)"/>
    <w:basedOn w:val="DefaultParagraphFont"/>
    <w:uiPriority w:val="1"/>
    <w:rsid w:val="17E62A88"/>
    <w:rPr>
      <w:color w:val="A82800"/>
      <w:sz w:val="24"/>
      <w:szCs w:val="24"/>
    </w:rPr>
  </w:style>
  <w:style w:type="character" w:customStyle="1" w:styleId="CitationPlaceofPublication">
    <w:name w:val="Citation Place of Publication"/>
    <w:basedOn w:val="DefaultParagraphFont"/>
    <w:uiPriority w:val="1"/>
    <w:rsid w:val="17E62A88"/>
    <w:rPr>
      <w:color w:val="993366"/>
      <w:sz w:val="24"/>
      <w:szCs w:val="24"/>
    </w:rPr>
  </w:style>
  <w:style w:type="character" w:customStyle="1" w:styleId="CitationPublisher">
    <w:name w:val="Citation Publisher"/>
    <w:basedOn w:val="DefaultParagraphFont"/>
    <w:uiPriority w:val="1"/>
    <w:rsid w:val="17E62A88"/>
    <w:rPr>
      <w:color w:val="333399"/>
      <w:sz w:val="24"/>
      <w:szCs w:val="24"/>
    </w:rPr>
  </w:style>
  <w:style w:type="character" w:customStyle="1" w:styleId="CitationSourceTitle">
    <w:name w:val="Citation Source Title"/>
    <w:basedOn w:val="DefaultParagraphFont"/>
    <w:uiPriority w:val="1"/>
    <w:rsid w:val="17E62A88"/>
    <w:rPr>
      <w:i w:val="0"/>
      <w:iCs w:val="0"/>
      <w:color w:val="FF0000"/>
      <w:sz w:val="24"/>
      <w:szCs w:val="24"/>
    </w:rPr>
  </w:style>
  <w:style w:type="character" w:customStyle="1" w:styleId="CitationYear">
    <w:name w:val="Citation Year"/>
    <w:basedOn w:val="DefaultParagraphFont"/>
    <w:uiPriority w:val="1"/>
    <w:rsid w:val="17E62A88"/>
    <w:rPr>
      <w:i w:val="0"/>
      <w:iCs w:val="0"/>
      <w:color w:val="99CC00"/>
      <w:sz w:val="24"/>
      <w:szCs w:val="24"/>
    </w:rPr>
  </w:style>
  <w:style w:type="character" w:customStyle="1" w:styleId="NameGiven">
    <w:name w:val="Name Given"/>
    <w:basedOn w:val="DefaultParagraphFont"/>
    <w:uiPriority w:val="1"/>
    <w:rsid w:val="17E62A88"/>
    <w:rPr>
      <w:color w:val="993300"/>
      <w:sz w:val="24"/>
      <w:szCs w:val="24"/>
    </w:rPr>
  </w:style>
  <w:style w:type="character" w:customStyle="1" w:styleId="NameSurname">
    <w:name w:val="Name Surname"/>
    <w:basedOn w:val="DefaultParagraphFont"/>
    <w:uiPriority w:val="1"/>
    <w:rsid w:val="17E62A88"/>
    <w:rPr>
      <w:b w:val="0"/>
      <w:bCs w:val="0"/>
      <w:i w:val="0"/>
      <w:iCs w:val="0"/>
      <w:caps w:val="0"/>
      <w:smallCaps w:val="0"/>
      <w:strike w:val="0"/>
      <w:dstrike w:val="0"/>
      <w:color w:val="808000"/>
      <w:sz w:val="24"/>
      <w:szCs w:val="24"/>
      <w:vertAlign w:val="baseline"/>
    </w:rPr>
  </w:style>
  <w:style w:type="character" w:customStyle="1" w:styleId="BibliographicCitationChar">
    <w:name w:val="Bibliographic Citation Char"/>
    <w:basedOn w:val="DefaultParagraphFont"/>
    <w:link w:val="BibliographicCitation"/>
    <w:uiPriority w:val="1"/>
    <w:rsid w:val="17E62A88"/>
    <w:rPr>
      <w:rFonts w:ascii="Times New Roman" w:eastAsia="Calibri" w:hAnsi="Times New Roman" w:cs="Times New Roman"/>
      <w:sz w:val="24"/>
      <w:szCs w:val="24"/>
      <w:lang w:val="en-US" w:eastAsia="ko-KR"/>
    </w:rPr>
  </w:style>
  <w:style w:type="character" w:customStyle="1" w:styleId="URL">
    <w:name w:val="URL"/>
    <w:basedOn w:val="DefaultParagraphFont"/>
    <w:uiPriority w:val="20"/>
    <w:rsid w:val="17E62A88"/>
    <w:rPr>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3627</Characters>
  <Application>Microsoft Office Word</Application>
  <DocSecurity>0</DocSecurity>
  <Lines>30</Lines>
  <Paragraphs>8</Paragraphs>
  <ScaleCrop>false</ScaleCrop>
  <Company>Oxford University Press Canada</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On the Easter Edge of the Mainland</dc:title>
  <dc:creator>End User</dc:creator>
  <cp:lastModifiedBy>Thompson, Lauren</cp:lastModifiedBy>
  <cp:revision>5</cp:revision>
  <dcterms:created xsi:type="dcterms:W3CDTF">2023-03-01T16:44:00Z</dcterms:created>
  <dcterms:modified xsi:type="dcterms:W3CDTF">2023-03-01T17:18:00Z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2022-05-27T16:33:35Z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ac122c04-fb32-45a8-b7b0-eabfe6159a3f</vt:lpwstr>
  </property>
  <property fmtid="{D5CDD505-2E9C-101B-9397-08002B2CF9AE}" pid="8" name="MSIP_Label_be5cb09a-2992-49d6-8ac9-5f63e7b1ad2f_ContentBits">
    <vt:lpwstr>0</vt:lpwstr>
  </property>
</Properties>
</file>