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9387" w14:textId="77777777" w:rsidR="006C07FE" w:rsidRPr="007A7974" w:rsidRDefault="006C07FE" w:rsidP="006C07FE">
      <w:pPr>
        <w:spacing w:after="0" w:line="240" w:lineRule="auto"/>
        <w:jc w:val="center"/>
        <w:rPr>
          <w:rFonts w:ascii="Palatino Linotype" w:hAnsi="Palatino Linotype" w:cstheme="minorHAnsi"/>
          <w:sz w:val="20"/>
          <w:szCs w:val="20"/>
        </w:rPr>
      </w:pPr>
      <w:bookmarkStart w:id="0" w:name="_Hlk107467232"/>
      <w:r w:rsidRPr="007A7974">
        <w:rPr>
          <w:rFonts w:ascii="Palatino Linotype" w:hAnsi="Palatino Linotype" w:cstheme="minorHAnsi"/>
          <w:sz w:val="20"/>
          <w:szCs w:val="20"/>
        </w:rPr>
        <w:t>AMERICAN CONSTITUTIONALISM</w:t>
      </w:r>
    </w:p>
    <w:p w14:paraId="25389CB4" w14:textId="77777777" w:rsidR="006C07FE" w:rsidRPr="007A7974" w:rsidRDefault="006C07FE" w:rsidP="006C07FE">
      <w:pPr>
        <w:spacing w:after="0" w:line="240" w:lineRule="auto"/>
        <w:jc w:val="center"/>
        <w:rPr>
          <w:rFonts w:ascii="Palatino Linotype" w:hAnsi="Palatino Linotype" w:cstheme="minorHAnsi"/>
          <w:sz w:val="20"/>
          <w:szCs w:val="20"/>
        </w:rPr>
      </w:pPr>
      <w:r w:rsidRPr="007A7974">
        <w:rPr>
          <w:rFonts w:ascii="Palatino Linotype" w:hAnsi="Palatino Linotype" w:cstheme="minorHAnsi"/>
          <w:sz w:val="20"/>
          <w:szCs w:val="20"/>
        </w:rPr>
        <w:t>VOLUME II:  RIGHTS AND LIBERTIES</w:t>
      </w:r>
    </w:p>
    <w:p w14:paraId="07E06622" w14:textId="77777777" w:rsidR="006C07FE" w:rsidRPr="007A7974" w:rsidRDefault="006C07FE" w:rsidP="006C07FE">
      <w:pPr>
        <w:spacing w:after="0" w:line="240" w:lineRule="auto"/>
        <w:jc w:val="center"/>
        <w:rPr>
          <w:rFonts w:ascii="Palatino Linotype" w:hAnsi="Palatino Linotype" w:cstheme="minorHAnsi"/>
          <w:sz w:val="20"/>
          <w:szCs w:val="20"/>
        </w:rPr>
      </w:pPr>
      <w:r w:rsidRPr="007A7974">
        <w:rPr>
          <w:rFonts w:ascii="Palatino Linotype" w:hAnsi="Palatino Linotype" w:cstheme="minorHAnsi"/>
          <w:sz w:val="20"/>
          <w:szCs w:val="20"/>
        </w:rPr>
        <w:t>Howard Gillman • Mark A. Graber • Keith E. Whittington</w:t>
      </w:r>
    </w:p>
    <w:p w14:paraId="46BAD76E" w14:textId="77777777" w:rsidR="006C07FE" w:rsidRPr="007A7974" w:rsidRDefault="006C07FE" w:rsidP="006C07FE">
      <w:pPr>
        <w:spacing w:after="0" w:line="240" w:lineRule="auto"/>
        <w:jc w:val="center"/>
        <w:rPr>
          <w:rFonts w:ascii="Palatino Linotype" w:hAnsi="Palatino Linotype" w:cstheme="minorHAnsi"/>
          <w:sz w:val="20"/>
          <w:szCs w:val="20"/>
        </w:rPr>
      </w:pPr>
    </w:p>
    <w:p w14:paraId="08E76FD4" w14:textId="77777777" w:rsidR="006C07FE" w:rsidRPr="007A7974" w:rsidRDefault="006C07FE" w:rsidP="006C07FE">
      <w:pPr>
        <w:spacing w:after="0" w:line="240" w:lineRule="auto"/>
        <w:jc w:val="center"/>
        <w:rPr>
          <w:rFonts w:ascii="Palatino Linotype" w:hAnsi="Palatino Linotype" w:cstheme="minorHAnsi"/>
          <w:sz w:val="20"/>
          <w:szCs w:val="20"/>
        </w:rPr>
      </w:pPr>
      <w:r w:rsidRPr="007A7974">
        <w:rPr>
          <w:rFonts w:ascii="Palatino Linotype" w:hAnsi="Palatino Linotype" w:cstheme="minorHAnsi"/>
          <w:sz w:val="20"/>
          <w:szCs w:val="20"/>
        </w:rPr>
        <w:t>Supplementary Material</w:t>
      </w:r>
    </w:p>
    <w:p w14:paraId="31B9DBD4" w14:textId="77777777" w:rsidR="006C07FE" w:rsidRPr="007A7974" w:rsidRDefault="006C07FE" w:rsidP="006C07FE">
      <w:pPr>
        <w:spacing w:after="0" w:line="240" w:lineRule="auto"/>
        <w:jc w:val="center"/>
        <w:rPr>
          <w:rFonts w:ascii="Palatino Linotype" w:hAnsi="Palatino Linotype" w:cstheme="minorHAnsi"/>
          <w:sz w:val="20"/>
          <w:szCs w:val="20"/>
        </w:rPr>
      </w:pPr>
    </w:p>
    <w:p w14:paraId="42331641" w14:textId="71DA49F8" w:rsidR="006C07FE" w:rsidRPr="007A7974" w:rsidRDefault="006C07FE" w:rsidP="006C07FE">
      <w:pPr>
        <w:spacing w:after="0" w:line="240" w:lineRule="auto"/>
        <w:jc w:val="center"/>
        <w:rPr>
          <w:rFonts w:ascii="Palatino Linotype" w:hAnsi="Palatino Linotype" w:cstheme="minorHAnsi"/>
          <w:sz w:val="20"/>
          <w:szCs w:val="20"/>
        </w:rPr>
      </w:pPr>
      <w:r w:rsidRPr="007A7974">
        <w:rPr>
          <w:rFonts w:ascii="Palatino Linotype" w:hAnsi="Palatino Linotype" w:cstheme="minorHAnsi"/>
          <w:sz w:val="20"/>
          <w:szCs w:val="20"/>
        </w:rPr>
        <w:t>Chapter 12:  The Contemporary Era – Individual Rights/Personal Freedom and Public Morality/Abortion</w:t>
      </w:r>
    </w:p>
    <w:p w14:paraId="3CE984F8" w14:textId="77777777" w:rsidR="006C07FE" w:rsidRPr="007A7974" w:rsidRDefault="006C07FE" w:rsidP="006C07FE">
      <w:pPr>
        <w:spacing w:after="0" w:line="240" w:lineRule="auto"/>
        <w:jc w:val="center"/>
        <w:rPr>
          <w:rFonts w:ascii="Palatino Linotype" w:hAnsi="Palatino Linotype" w:cstheme="minorHAnsi"/>
          <w:sz w:val="20"/>
          <w:szCs w:val="20"/>
        </w:rPr>
      </w:pPr>
    </w:p>
    <w:p w14:paraId="659EF143" w14:textId="77777777" w:rsidR="006C07FE" w:rsidRPr="007A7974" w:rsidRDefault="00566A42" w:rsidP="006C07FE">
      <w:pPr>
        <w:spacing w:after="0" w:line="240" w:lineRule="auto"/>
        <w:jc w:val="center"/>
        <w:rPr>
          <w:rFonts w:ascii="Palatino Linotype" w:hAnsi="Palatino Linotype" w:cstheme="minorHAnsi"/>
          <w:sz w:val="20"/>
          <w:szCs w:val="20"/>
        </w:rPr>
      </w:pPr>
      <w:r w:rsidRPr="007A7974">
        <w:rPr>
          <w:rFonts w:ascii="Palatino Linotype" w:hAnsi="Palatino Linotype" w:cstheme="minorHAnsi"/>
          <w:sz w:val="20"/>
          <w:szCs w:val="20"/>
        </w:rPr>
        <w:pict w14:anchorId="3251C7D1">
          <v:rect id="_x0000_i1025" style="width:468pt;height:1.5pt" o:hralign="center" o:hrstd="t" o:hrnoshade="t" o:hr="t" fillcolor="black [3213]" stroked="f"/>
        </w:pict>
      </w:r>
    </w:p>
    <w:p w14:paraId="1D9A8902" w14:textId="27510227" w:rsidR="006C07FE" w:rsidRPr="007A7974" w:rsidRDefault="006C07FE" w:rsidP="006C07FE">
      <w:pPr>
        <w:shd w:val="clear" w:color="auto" w:fill="FFFFFF"/>
        <w:spacing w:after="0" w:line="240" w:lineRule="auto"/>
        <w:jc w:val="center"/>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b/>
          <w:bCs/>
          <w:sz w:val="20"/>
          <w:szCs w:val="20"/>
        </w:rPr>
        <w:t>Whole Woman’s Health v. Jackson I, ___ U.S. ___</w:t>
      </w:r>
      <w:r w:rsidRPr="007A7974">
        <w:rPr>
          <w:rFonts w:ascii="Palatino Linotype" w:eastAsia="Times New Roman" w:hAnsi="Palatino Linotype" w:cs="Times New Roman"/>
          <w:sz w:val="20"/>
          <w:szCs w:val="20"/>
        </w:rPr>
        <w:t xml:space="preserve"> (2021)</w:t>
      </w:r>
    </w:p>
    <w:p w14:paraId="4C86DA42" w14:textId="77777777" w:rsidR="006C07FE" w:rsidRPr="007A7974" w:rsidRDefault="00566A42" w:rsidP="006C07FE">
      <w:pPr>
        <w:spacing w:after="0" w:line="240" w:lineRule="auto"/>
        <w:jc w:val="center"/>
        <w:rPr>
          <w:rFonts w:ascii="Palatino Linotype" w:hAnsi="Palatino Linotype" w:cstheme="minorHAnsi"/>
          <w:sz w:val="20"/>
          <w:szCs w:val="20"/>
        </w:rPr>
      </w:pPr>
      <w:r w:rsidRPr="007A7974">
        <w:rPr>
          <w:rFonts w:ascii="Palatino Linotype" w:hAnsi="Palatino Linotype" w:cstheme="minorHAnsi"/>
          <w:sz w:val="20"/>
          <w:szCs w:val="20"/>
        </w:rPr>
        <w:pict w14:anchorId="066B7412">
          <v:rect id="_x0000_i1026" style="width:468pt;height:1.5pt" o:hralign="center" o:hrstd="t" o:hrnoshade="t" o:hr="t" fillcolor="black [3213]" stroked="f"/>
        </w:pict>
      </w:r>
    </w:p>
    <w:p w14:paraId="6C6FE938" w14:textId="77777777" w:rsidR="006C07FE" w:rsidRPr="007A7974" w:rsidRDefault="006C07FE" w:rsidP="006C07FE">
      <w:pPr>
        <w:spacing w:after="0" w:line="240" w:lineRule="auto"/>
        <w:rPr>
          <w:rFonts w:ascii="Palatino Linotype" w:eastAsia="Times New Roman" w:hAnsi="Palatino Linotype" w:cstheme="minorHAnsi"/>
          <w:sz w:val="20"/>
          <w:szCs w:val="20"/>
        </w:rPr>
      </w:pPr>
    </w:p>
    <w:bookmarkEnd w:id="0"/>
    <w:p w14:paraId="5A52B81E" w14:textId="7CCF27FF" w:rsidR="00250755" w:rsidRPr="007A7974" w:rsidRDefault="00250755" w:rsidP="00250755">
      <w:pPr>
        <w:shd w:val="clear" w:color="auto" w:fill="FFFFFF"/>
        <w:spacing w:after="0" w:line="240" w:lineRule="auto"/>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i/>
          <w:iCs/>
          <w:sz w:val="20"/>
          <w:szCs w:val="20"/>
        </w:rPr>
        <w:t xml:space="preserve">Whole Woman’s Health provides abortion services in Texas.  The Texas state legislature in 2021 passed the Texas Heartbeat Act, otherwise known as S.B. 8.  That measure permitted any private citizen to sue for damages aby person who performed or assisted an abortion where the unborn had a detectable heartbeat.  The unborn (fetuses to pro-choice advocates, unborn children to pro-life advocates) have detectable heartbeats very early in pregnancies, long before they are viable outside the womb.  The instant S.B. 8 became law, Whole Woman’s Health filed a lawsuit against Austin Jackson, a Texas state judge, Penny Clarkston, a state-court clerk, Ken Paxton, the attorney general of Texas, Stephen Carlton, the executive director of the Texas Medical Board, Mark Lee Dickson, a private person, and others.  The suit asked courts for an injunction against S.B. 8 on the ground that the law violated the right to an abortion protected by the due process clause of the Fourteen Amendment, as interpreted by </w:t>
      </w:r>
      <w:r w:rsidRPr="007A7974">
        <w:rPr>
          <w:rFonts w:ascii="Palatino Linotype" w:eastAsia="Times New Roman" w:hAnsi="Palatino Linotype" w:cs="Times New Roman"/>
          <w:sz w:val="20"/>
          <w:szCs w:val="20"/>
          <w:bdr w:val="none" w:sz="0" w:space="0" w:color="auto" w:frame="1"/>
        </w:rPr>
        <w:t xml:space="preserve">Roe v. Wade </w:t>
      </w:r>
      <w:r w:rsidRPr="007A7974">
        <w:rPr>
          <w:rFonts w:ascii="Palatino Linotype" w:eastAsia="Times New Roman" w:hAnsi="Palatino Linotype" w:cs="Times New Roman"/>
          <w:i/>
          <w:iCs/>
          <w:sz w:val="20"/>
          <w:szCs w:val="20"/>
          <w:bdr w:val="none" w:sz="0" w:space="0" w:color="auto" w:frame="1"/>
        </w:rPr>
        <w:t>(1973)</w:t>
      </w:r>
      <w:r w:rsidRPr="007A7974">
        <w:rPr>
          <w:rFonts w:ascii="Palatino Linotype" w:eastAsia="Times New Roman" w:hAnsi="Palatino Linotype" w:cs="Times New Roman"/>
          <w:i/>
          <w:iCs/>
          <w:sz w:val="20"/>
          <w:szCs w:val="20"/>
        </w:rPr>
        <w:t xml:space="preserve"> and</w:t>
      </w:r>
      <w:r w:rsidRPr="007A7974">
        <w:rPr>
          <w:rFonts w:ascii="Palatino Linotype" w:eastAsia="Times New Roman" w:hAnsi="Palatino Linotype" w:cs="Times New Roman"/>
          <w:sz w:val="20"/>
          <w:szCs w:val="20"/>
        </w:rPr>
        <w:t> </w:t>
      </w:r>
      <w:r w:rsidRPr="007A7974">
        <w:rPr>
          <w:rFonts w:ascii="Palatino Linotype" w:eastAsia="Times New Roman" w:hAnsi="Palatino Linotype" w:cs="Times New Roman"/>
          <w:sz w:val="20"/>
          <w:szCs w:val="20"/>
          <w:bdr w:val="none" w:sz="0" w:space="0" w:color="auto" w:frame="1"/>
        </w:rPr>
        <w:t xml:space="preserve">Planned Parenthood of Southeastern Pa. v. Casey </w:t>
      </w:r>
      <w:r w:rsidRPr="007A7974">
        <w:rPr>
          <w:rFonts w:ascii="Palatino Linotype" w:eastAsia="Times New Roman" w:hAnsi="Palatino Linotype" w:cs="Times New Roman"/>
          <w:i/>
          <w:iCs/>
          <w:sz w:val="20"/>
          <w:szCs w:val="20"/>
          <w:bdr w:val="none" w:sz="0" w:space="0" w:color="auto" w:frame="1"/>
        </w:rPr>
        <w:t>(1992)</w:t>
      </w:r>
      <w:r w:rsidRPr="007A7974">
        <w:rPr>
          <w:rFonts w:ascii="Palatino Linotype" w:eastAsia="Times New Roman" w:hAnsi="Palatino Linotype" w:cs="Times New Roman"/>
          <w:i/>
          <w:iCs/>
          <w:sz w:val="20"/>
          <w:szCs w:val="20"/>
        </w:rPr>
        <w:t>.  The district court issued a temporary injunction, barring implementation of S,B. 8, but that injunction was removed by the Court of Appeals for the Fifth Circuit.  Whole Woman’s Health appealed to the Supreme Court of the United States.</w:t>
      </w:r>
    </w:p>
    <w:p w14:paraId="301ABFD9" w14:textId="2A04B804" w:rsidR="00250755" w:rsidRPr="007A7974" w:rsidRDefault="00250755" w:rsidP="00250755">
      <w:pPr>
        <w:shd w:val="clear" w:color="auto" w:fill="FFFFFF"/>
        <w:spacing w:after="0" w:line="240" w:lineRule="auto"/>
        <w:textAlignment w:val="baseline"/>
        <w:rPr>
          <w:rFonts w:ascii="Palatino Linotype" w:eastAsia="Times New Roman" w:hAnsi="Palatino Linotype" w:cs="Times New Roman"/>
          <w:i/>
          <w:iCs/>
          <w:sz w:val="20"/>
          <w:szCs w:val="20"/>
        </w:rPr>
      </w:pPr>
      <w:r w:rsidRPr="007A7974">
        <w:rPr>
          <w:rFonts w:ascii="Palatino Linotype" w:eastAsia="Times New Roman" w:hAnsi="Palatino Linotype" w:cs="Times New Roman"/>
          <w:i/>
          <w:iCs/>
          <w:sz w:val="20"/>
          <w:szCs w:val="20"/>
        </w:rPr>
        <w:tab/>
        <w:t>The Supreme Court of the United States by a 5-4 vote refused to remove the stay or otherwise issue injunctive relief.  The unsigned majority opinion noted that determining who would win on the</w:t>
      </w:r>
      <w:r w:rsidR="001D782E" w:rsidRPr="007A7974">
        <w:rPr>
          <w:rFonts w:ascii="Palatino Linotype" w:eastAsia="Times New Roman" w:hAnsi="Palatino Linotype" w:cs="Times New Roman"/>
          <w:i/>
          <w:iCs/>
          <w:sz w:val="20"/>
          <w:szCs w:val="20"/>
        </w:rPr>
        <w:t xml:space="preserve"> merits was impossible in light of the novelty of the Texas statutory scheme.  All four dissenters wrote short opinions claiming that the Texas law was clearly unconstitutional.  If </w:t>
      </w:r>
      <w:r w:rsidR="001D782E" w:rsidRPr="007A7974">
        <w:rPr>
          <w:rFonts w:ascii="Palatino Linotype" w:eastAsia="Times New Roman" w:hAnsi="Palatino Linotype" w:cs="Times New Roman"/>
          <w:sz w:val="20"/>
          <w:szCs w:val="20"/>
        </w:rPr>
        <w:t xml:space="preserve">Roe v. Wade </w:t>
      </w:r>
      <w:r w:rsidR="001D782E" w:rsidRPr="007A7974">
        <w:rPr>
          <w:rFonts w:ascii="Palatino Linotype" w:eastAsia="Times New Roman" w:hAnsi="Palatino Linotype" w:cs="Times New Roman"/>
          <w:i/>
          <w:iCs/>
          <w:sz w:val="20"/>
          <w:szCs w:val="20"/>
        </w:rPr>
        <w:t xml:space="preserve">was good law, does the Texas law present difficult constitutional issues? What are those issues?  How would the various judges resolve those issues?  Could New York pass a law authorizing private citizens to bring lawsuits against persons who carried guns in public consistent with the Supreme Court’s ruling in </w:t>
      </w:r>
      <w:r w:rsidR="001D782E" w:rsidRPr="007A7974">
        <w:rPr>
          <w:rFonts w:ascii="Palatino Linotype" w:eastAsia="Times New Roman" w:hAnsi="Palatino Linotype" w:cs="Times New Roman"/>
          <w:sz w:val="20"/>
          <w:szCs w:val="20"/>
        </w:rPr>
        <w:t xml:space="preserve">New York State Rifle &amp; Pistol, Inc. v. Bruen </w:t>
      </w:r>
      <w:r w:rsidR="001D782E" w:rsidRPr="007A7974">
        <w:rPr>
          <w:rFonts w:ascii="Palatino Linotype" w:eastAsia="Times New Roman" w:hAnsi="Palatino Linotype" w:cs="Times New Roman"/>
          <w:i/>
          <w:iCs/>
          <w:sz w:val="20"/>
          <w:szCs w:val="20"/>
        </w:rPr>
        <w:t>(2022)?</w:t>
      </w:r>
    </w:p>
    <w:p w14:paraId="12144899" w14:textId="1A49E83B" w:rsidR="001D782E" w:rsidRPr="007A7974" w:rsidRDefault="001D782E" w:rsidP="00250755">
      <w:pPr>
        <w:shd w:val="clear" w:color="auto" w:fill="FFFFFF"/>
        <w:spacing w:after="0" w:line="240" w:lineRule="auto"/>
        <w:textAlignment w:val="baseline"/>
        <w:rPr>
          <w:rFonts w:ascii="Palatino Linotype" w:eastAsia="Times New Roman" w:hAnsi="Palatino Linotype" w:cs="Times New Roman"/>
          <w:i/>
          <w:iCs/>
          <w:sz w:val="20"/>
          <w:szCs w:val="20"/>
          <w:u w:val="single"/>
        </w:rPr>
      </w:pPr>
      <w:r w:rsidRPr="007A7974">
        <w:rPr>
          <w:rFonts w:ascii="Palatino Linotype" w:eastAsia="Times New Roman" w:hAnsi="Palatino Linotype" w:cs="Times New Roman"/>
          <w:i/>
          <w:iCs/>
          <w:sz w:val="20"/>
          <w:szCs w:val="20"/>
        </w:rPr>
        <w:tab/>
        <w:t xml:space="preserve">Two months after handing down </w:t>
      </w:r>
      <w:r w:rsidRPr="007A7974">
        <w:rPr>
          <w:rFonts w:ascii="Palatino Linotype" w:eastAsia="Times New Roman" w:hAnsi="Palatino Linotype" w:cs="Times New Roman"/>
          <w:sz w:val="20"/>
          <w:szCs w:val="20"/>
        </w:rPr>
        <w:t xml:space="preserve">Whole Woman’s Health v. Jackson I, </w:t>
      </w:r>
      <w:r w:rsidRPr="007A7974">
        <w:rPr>
          <w:rFonts w:ascii="Palatino Linotype" w:eastAsia="Times New Roman" w:hAnsi="Palatino Linotype" w:cs="Times New Roman"/>
          <w:i/>
          <w:iCs/>
          <w:sz w:val="20"/>
          <w:szCs w:val="20"/>
        </w:rPr>
        <w:t xml:space="preserve">the Supreme Court in </w:t>
      </w:r>
      <w:r w:rsidRPr="007A7974">
        <w:rPr>
          <w:rFonts w:ascii="Palatino Linotype" w:eastAsia="Times New Roman" w:hAnsi="Palatino Linotype" w:cs="Times New Roman"/>
          <w:sz w:val="20"/>
          <w:szCs w:val="20"/>
        </w:rPr>
        <w:t xml:space="preserve">Whole Woman’s Health v. Jackson II </w:t>
      </w:r>
      <w:r w:rsidRPr="007A7974">
        <w:rPr>
          <w:rFonts w:ascii="Palatino Linotype" w:eastAsia="Times New Roman" w:hAnsi="Palatino Linotype" w:cs="Times New Roman"/>
          <w:i/>
          <w:iCs/>
          <w:sz w:val="20"/>
          <w:szCs w:val="20"/>
        </w:rPr>
        <w:t xml:space="preserve">(2021) held that </w:t>
      </w:r>
      <w:r w:rsidR="006C07FE" w:rsidRPr="007A7974">
        <w:rPr>
          <w:rFonts w:ascii="Palatino Linotype" w:eastAsia="Times New Roman" w:hAnsi="Palatino Linotype" w:cs="Times New Roman"/>
          <w:i/>
          <w:iCs/>
          <w:sz w:val="20"/>
          <w:szCs w:val="20"/>
        </w:rPr>
        <w:t xml:space="preserve">persons could sue Texas health officials, but not state law clerks and the state attorney general.  The Supreme Court in </w:t>
      </w:r>
      <w:r w:rsidR="006C07FE" w:rsidRPr="007A7974">
        <w:rPr>
          <w:rFonts w:ascii="Palatino Linotype" w:eastAsia="Times New Roman" w:hAnsi="Palatino Linotype" w:cs="Times New Roman"/>
          <w:sz w:val="20"/>
          <w:szCs w:val="20"/>
        </w:rPr>
        <w:t xml:space="preserve">Dobbs v. Jackson Women’s Health Organization </w:t>
      </w:r>
      <w:r w:rsidR="006C07FE" w:rsidRPr="007A7974">
        <w:rPr>
          <w:rFonts w:ascii="Palatino Linotype" w:eastAsia="Times New Roman" w:hAnsi="Palatino Linotype" w:cs="Times New Roman"/>
          <w:i/>
          <w:iCs/>
          <w:sz w:val="20"/>
          <w:szCs w:val="20"/>
        </w:rPr>
        <w:t xml:space="preserve">(2022) overruled </w:t>
      </w:r>
      <w:r w:rsidR="006C07FE" w:rsidRPr="007A7974">
        <w:rPr>
          <w:rFonts w:ascii="Palatino Linotype" w:eastAsia="Times New Roman" w:hAnsi="Palatino Linotype" w:cs="Times New Roman"/>
          <w:sz w:val="20"/>
          <w:szCs w:val="20"/>
        </w:rPr>
        <w:t xml:space="preserve">Roe v. Wade </w:t>
      </w:r>
      <w:r w:rsidR="006C07FE" w:rsidRPr="007A7974">
        <w:rPr>
          <w:rFonts w:ascii="Palatino Linotype" w:eastAsia="Times New Roman" w:hAnsi="Palatino Linotype" w:cs="Times New Roman"/>
          <w:i/>
          <w:iCs/>
          <w:sz w:val="20"/>
          <w:szCs w:val="20"/>
        </w:rPr>
        <w:t>(1973) when holding women had no constitutional right to an abortion.  Might S.B. 1 nevertheless be unconstitutional even if women have no constitutional right to an abortion</w:t>
      </w:r>
      <w:r w:rsidR="00566A42">
        <w:rPr>
          <w:rFonts w:ascii="Palatino Linotype" w:eastAsia="Times New Roman" w:hAnsi="Palatino Linotype" w:cs="Times New Roman"/>
          <w:i/>
          <w:iCs/>
          <w:sz w:val="20"/>
          <w:szCs w:val="20"/>
        </w:rPr>
        <w:t>?</w:t>
      </w:r>
    </w:p>
    <w:p w14:paraId="4C0249C9" w14:textId="77777777" w:rsidR="00250755" w:rsidRPr="007A7974" w:rsidRDefault="00250755" w:rsidP="00511E44">
      <w:pPr>
        <w:shd w:val="clear" w:color="auto" w:fill="FFFFFF"/>
        <w:spacing w:after="0" w:line="240" w:lineRule="auto"/>
        <w:textAlignment w:val="baseline"/>
        <w:rPr>
          <w:rFonts w:ascii="Palatino Linotype" w:eastAsia="Times New Roman" w:hAnsi="Palatino Linotype" w:cs="Times New Roman"/>
          <w:sz w:val="20"/>
          <w:szCs w:val="20"/>
        </w:rPr>
      </w:pPr>
    </w:p>
    <w:p w14:paraId="5F4B6BB8" w14:textId="326E4964" w:rsidR="00511E44" w:rsidRPr="007A7974" w:rsidRDefault="00511E44" w:rsidP="00511E44">
      <w:pPr>
        <w:shd w:val="clear" w:color="auto" w:fill="FFFFFF"/>
        <w:spacing w:after="0" w:line="240" w:lineRule="auto"/>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The application for injunctive relief or, in the alternative, to vacate stays of the district court proceedings presented to Justice </w:t>
      </w:r>
      <w:hyperlink r:id="rId4" w:history="1">
        <w:r w:rsidRPr="007A7974">
          <w:rPr>
            <w:rFonts w:ascii="Palatino Linotype" w:eastAsia="Times New Roman" w:hAnsi="Palatino Linotype" w:cs="Times New Roman"/>
            <w:sz w:val="20"/>
            <w:szCs w:val="20"/>
            <w:bdr w:val="none" w:sz="0" w:space="0" w:color="auto" w:frame="1"/>
          </w:rPr>
          <w:t>ALITO</w:t>
        </w:r>
      </w:hyperlink>
      <w:r w:rsidRPr="007A7974">
        <w:rPr>
          <w:rFonts w:ascii="Palatino Linotype" w:eastAsia="Times New Roman" w:hAnsi="Palatino Linotype" w:cs="Times New Roman"/>
          <w:sz w:val="20"/>
          <w:szCs w:val="20"/>
        </w:rPr>
        <w:t xml:space="preserve"> and by him referred to the Court is denied. To prevail in an application for a stay or an injunction, an applicant must carry the burden of making a “strong showing” that it is “likely to succeed on the merits,” that it will be “irreparably injured absent a stay,” that the balance of the equities favors it, and that a stay is consistent with the public interest.  The applicants now before us have raised serious questions regarding the constitutionality of the Texas law at issue. But their application also presents complex and novel antecedent procedural questions on which they have not carried their burden. For example, federal courts enjoy the power to enjoin individuals tasked with enforcing laws, not the laws themselves.  And it is unclear whether the named defendants in this lawsuit can or will seek to enforce the Texas law against the applicants in a manner that might permit our intervention.  The State has represented that neither it nor its executive employees possess the authority to enforce the Texas law </w:t>
      </w:r>
      <w:r w:rsidRPr="007A7974">
        <w:rPr>
          <w:rFonts w:ascii="Palatino Linotype" w:eastAsia="Times New Roman" w:hAnsi="Palatino Linotype" w:cs="Times New Roman"/>
          <w:sz w:val="20"/>
          <w:szCs w:val="20"/>
        </w:rPr>
        <w:lastRenderedPageBreak/>
        <w:t>either directly or indirectly. Nor is it clear whether, under existing precedent, this Court can issue an injunction against state judges asked to decide a lawsuit under Texas's law. Finally, the sole private-citizen respondent before us has filed an affidavit stating that he has no present intention to enforce the law. In light of such issues, we cannot say the applicants have met their burden to prevail in an injunction or stay application. In reaching this conclusion, we stress that we do not purport to resolve definitively any jurisdictional or substantive claim in the applicants' lawsuit. In particular, this order is not based on any conclusion about the constitutionality of Texas's law, and in no way limits other procedurally proper challenges to the Texas law, including in Texas state courts.</w:t>
      </w:r>
    </w:p>
    <w:p w14:paraId="065F281C" w14:textId="77777777" w:rsidR="00511E44" w:rsidRPr="007A7974" w:rsidRDefault="00511E44" w:rsidP="00511E44">
      <w:pPr>
        <w:shd w:val="clear" w:color="auto" w:fill="FFFFFF"/>
        <w:spacing w:after="0" w:line="240" w:lineRule="auto"/>
        <w:textAlignment w:val="baseline"/>
        <w:rPr>
          <w:rFonts w:ascii="Palatino Linotype" w:eastAsia="Times New Roman" w:hAnsi="Palatino Linotype" w:cs="Times New Roman"/>
          <w:sz w:val="20"/>
          <w:szCs w:val="20"/>
        </w:rPr>
      </w:pPr>
    </w:p>
    <w:p w14:paraId="0985A200" w14:textId="77777777" w:rsidR="00511E44" w:rsidRPr="007A7974" w:rsidRDefault="00511E44" w:rsidP="00511E44">
      <w:pPr>
        <w:shd w:val="clear" w:color="auto" w:fill="FFFFFF"/>
        <w:spacing w:after="0" w:line="240" w:lineRule="auto"/>
        <w:textAlignment w:val="baseline"/>
        <w:rPr>
          <w:rFonts w:ascii="Palatino Linotype" w:eastAsia="Times New Roman" w:hAnsi="Palatino Linotype" w:cs="Times New Roman"/>
          <w:sz w:val="20"/>
          <w:szCs w:val="20"/>
        </w:rPr>
      </w:pPr>
    </w:p>
    <w:p w14:paraId="6B7059C4" w14:textId="0B926050" w:rsidR="00511E44" w:rsidRPr="007A7974" w:rsidRDefault="00511E44" w:rsidP="00511E44">
      <w:pPr>
        <w:shd w:val="clear" w:color="auto" w:fill="FFFFFF"/>
        <w:spacing w:after="0" w:line="240" w:lineRule="auto"/>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Chief Justice </w:t>
      </w:r>
      <w:hyperlink r:id="rId5" w:history="1">
        <w:r w:rsidRPr="007A7974">
          <w:rPr>
            <w:rFonts w:ascii="Palatino Linotype" w:eastAsia="Times New Roman" w:hAnsi="Palatino Linotype" w:cs="Times New Roman"/>
            <w:sz w:val="20"/>
            <w:szCs w:val="20"/>
            <w:bdr w:val="none" w:sz="0" w:space="0" w:color="auto" w:frame="1"/>
          </w:rPr>
          <w:t>ROBERTS</w:t>
        </w:r>
      </w:hyperlink>
      <w:r w:rsidRPr="007A7974">
        <w:rPr>
          <w:rFonts w:ascii="Palatino Linotype" w:eastAsia="Times New Roman" w:hAnsi="Palatino Linotype" w:cs="Times New Roman"/>
          <w:sz w:val="20"/>
          <w:szCs w:val="20"/>
        </w:rPr>
        <w:t>, with whom Justice </w:t>
      </w:r>
      <w:hyperlink r:id="rId6" w:history="1">
        <w:r w:rsidRPr="007A7974">
          <w:rPr>
            <w:rFonts w:ascii="Palatino Linotype" w:eastAsia="Times New Roman" w:hAnsi="Palatino Linotype" w:cs="Times New Roman"/>
            <w:sz w:val="20"/>
            <w:szCs w:val="20"/>
            <w:bdr w:val="none" w:sz="0" w:space="0" w:color="auto" w:frame="1"/>
          </w:rPr>
          <w:t>BREYER</w:t>
        </w:r>
      </w:hyperlink>
      <w:r w:rsidRPr="007A7974">
        <w:rPr>
          <w:rFonts w:ascii="Palatino Linotype" w:eastAsia="Times New Roman" w:hAnsi="Palatino Linotype" w:cs="Times New Roman"/>
          <w:sz w:val="20"/>
          <w:szCs w:val="20"/>
        </w:rPr>
        <w:t> and Justice </w:t>
      </w:r>
      <w:hyperlink r:id="rId7" w:history="1">
        <w:r w:rsidRPr="007A7974">
          <w:rPr>
            <w:rFonts w:ascii="Palatino Linotype" w:eastAsia="Times New Roman" w:hAnsi="Palatino Linotype" w:cs="Times New Roman"/>
            <w:sz w:val="20"/>
            <w:szCs w:val="20"/>
            <w:bdr w:val="none" w:sz="0" w:space="0" w:color="auto" w:frame="1"/>
          </w:rPr>
          <w:t>KAGAN</w:t>
        </w:r>
      </w:hyperlink>
      <w:r w:rsidRPr="007A7974">
        <w:rPr>
          <w:rFonts w:ascii="Palatino Linotype" w:eastAsia="Times New Roman" w:hAnsi="Palatino Linotype" w:cs="Times New Roman"/>
          <w:sz w:val="20"/>
          <w:szCs w:val="20"/>
        </w:rPr>
        <w:t> join, dissenting.</w:t>
      </w:r>
    </w:p>
    <w:p w14:paraId="52754BC0" w14:textId="77777777" w:rsidR="00511E44" w:rsidRPr="007A7974" w:rsidRDefault="00511E44" w:rsidP="00511E44">
      <w:pPr>
        <w:shd w:val="clear" w:color="auto" w:fill="FFFFFF"/>
        <w:spacing w:after="0" w:line="240" w:lineRule="auto"/>
        <w:textAlignment w:val="baseline"/>
        <w:rPr>
          <w:rFonts w:ascii="Palatino Linotype" w:eastAsia="Times New Roman" w:hAnsi="Palatino Linotype" w:cs="Times New Roman"/>
          <w:sz w:val="20"/>
          <w:szCs w:val="20"/>
        </w:rPr>
      </w:pPr>
    </w:p>
    <w:p w14:paraId="5030B1EF" w14:textId="66A491AB" w:rsidR="00511E44" w:rsidRPr="007A7974" w:rsidRDefault="00511E44" w:rsidP="00511E44">
      <w:pPr>
        <w:shd w:val="clear" w:color="auto" w:fill="FFFFFF"/>
        <w:spacing w:after="0" w:line="240" w:lineRule="auto"/>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The statutory scheme before the Court is not only unusual, but unprecedented. The legislature has imposed a prohibition on abortions after roughly six weeks, and then essentially delegated enforcement of that prohibition to the populace at large. The desired consequence appears to be to insulate the State from responsibility for implementing and enforcing the regulatory regime.</w:t>
      </w:r>
    </w:p>
    <w:p w14:paraId="7726EFDE" w14:textId="34E329C9" w:rsidR="00511E44" w:rsidRPr="007A7974" w:rsidRDefault="00511E44" w:rsidP="00511E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The State defendants argue that they cannot be restrained from enforcing their rules because they do not enforce them in the first place. I would grant preliminary relief to preserve the status quo ante—before the law went into effect—so that the courts may consider whether a state can avoid responsibility for its laws in such a manner. Defendants argue that existing doctrines preclude judicial intervention, and they may be correct.  But the consequences of approving the state action, both in this particular case and as a model for action in other areas, counsel at least preliminary judicial consideration before the program devised by the State takes effect.</w:t>
      </w:r>
    </w:p>
    <w:p w14:paraId="2BCD13E2" w14:textId="18DD1243" w:rsidR="00511E44" w:rsidRPr="007A7974" w:rsidRDefault="00511E44" w:rsidP="00511E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We are at this point asked to resolve these novel questions—at least preliminarily—in the first instance, in the course of two days, without the benefit of consideration by the District Court or Court of Appeals. We are also asked to do so without ordinary merits briefing and without oral argument. These questions are particularly difficult, including for example whether the exception to sovereign immunity recognized in </w:t>
      </w:r>
      <w:r w:rsidRPr="007A7974">
        <w:rPr>
          <w:rFonts w:ascii="Palatino Linotype" w:eastAsia="Times New Roman" w:hAnsi="Palatino Linotype" w:cs="Times New Roman"/>
          <w:i/>
          <w:iCs/>
          <w:sz w:val="20"/>
          <w:szCs w:val="20"/>
          <w:bdr w:val="none" w:sz="0" w:space="0" w:color="auto" w:frame="1"/>
        </w:rPr>
        <w:t>Ex parte Young</w:t>
      </w:r>
      <w:r w:rsidRPr="007A7974">
        <w:rPr>
          <w:rFonts w:ascii="Palatino Linotype" w:eastAsia="Times New Roman" w:hAnsi="Palatino Linotype" w:cs="Times New Roman"/>
          <w:sz w:val="20"/>
          <w:szCs w:val="20"/>
          <w:bdr w:val="none" w:sz="0" w:space="0" w:color="auto" w:frame="1"/>
        </w:rPr>
        <w:t xml:space="preserve"> (1908)</w:t>
      </w:r>
      <w:r w:rsidRPr="007A7974">
        <w:rPr>
          <w:rFonts w:ascii="Palatino Linotype" w:eastAsia="Times New Roman" w:hAnsi="Palatino Linotype" w:cs="Times New Roman"/>
          <w:sz w:val="20"/>
          <w:szCs w:val="20"/>
        </w:rPr>
        <w:t>, should extend to state court judges in circumstances such as these.</w:t>
      </w:r>
    </w:p>
    <w:p w14:paraId="74126689" w14:textId="14D0720D" w:rsidR="00511E44" w:rsidRPr="007A7974" w:rsidRDefault="00511E44" w:rsidP="00511E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 . . .</w:t>
      </w:r>
    </w:p>
    <w:p w14:paraId="6038EAA2" w14:textId="77777777" w:rsidR="00A73BF4" w:rsidRPr="007A7974" w:rsidRDefault="00A73BF4" w:rsidP="00511E44">
      <w:pPr>
        <w:shd w:val="clear" w:color="auto" w:fill="FFFFFF"/>
        <w:spacing w:after="0" w:line="240" w:lineRule="auto"/>
        <w:textAlignment w:val="baseline"/>
        <w:rPr>
          <w:rFonts w:ascii="Palatino Linotype" w:eastAsia="Times New Roman" w:hAnsi="Palatino Linotype" w:cs="Times New Roman"/>
          <w:sz w:val="20"/>
          <w:szCs w:val="20"/>
        </w:rPr>
      </w:pPr>
    </w:p>
    <w:p w14:paraId="7A3F3C0A" w14:textId="2DB508D4" w:rsidR="00511E44" w:rsidRPr="007A7974" w:rsidRDefault="00511E44" w:rsidP="00511E44">
      <w:pPr>
        <w:shd w:val="clear" w:color="auto" w:fill="FFFFFF"/>
        <w:spacing w:after="0" w:line="240" w:lineRule="auto"/>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Justice </w:t>
      </w:r>
      <w:hyperlink r:id="rId8" w:history="1">
        <w:r w:rsidRPr="007A7974">
          <w:rPr>
            <w:rFonts w:ascii="Palatino Linotype" w:eastAsia="Times New Roman" w:hAnsi="Palatino Linotype" w:cs="Times New Roman"/>
            <w:sz w:val="20"/>
            <w:szCs w:val="20"/>
            <w:bdr w:val="none" w:sz="0" w:space="0" w:color="auto" w:frame="1"/>
          </w:rPr>
          <w:t>BREYER</w:t>
        </w:r>
      </w:hyperlink>
      <w:r w:rsidRPr="007A7974">
        <w:rPr>
          <w:rFonts w:ascii="Palatino Linotype" w:eastAsia="Times New Roman" w:hAnsi="Palatino Linotype" w:cs="Times New Roman"/>
          <w:sz w:val="20"/>
          <w:szCs w:val="20"/>
        </w:rPr>
        <w:t>, with whom Justice </w:t>
      </w:r>
      <w:hyperlink r:id="rId9" w:history="1">
        <w:r w:rsidRPr="007A7974">
          <w:rPr>
            <w:rFonts w:ascii="Palatino Linotype" w:eastAsia="Times New Roman" w:hAnsi="Palatino Linotype" w:cs="Times New Roman"/>
            <w:sz w:val="20"/>
            <w:szCs w:val="20"/>
            <w:bdr w:val="none" w:sz="0" w:space="0" w:color="auto" w:frame="1"/>
          </w:rPr>
          <w:t>SOTOMAYOR</w:t>
        </w:r>
      </w:hyperlink>
      <w:r w:rsidRPr="007A7974">
        <w:rPr>
          <w:rFonts w:ascii="Palatino Linotype" w:eastAsia="Times New Roman" w:hAnsi="Palatino Linotype" w:cs="Times New Roman"/>
          <w:sz w:val="20"/>
          <w:szCs w:val="20"/>
        </w:rPr>
        <w:t> and Justice </w:t>
      </w:r>
      <w:hyperlink r:id="rId10" w:history="1">
        <w:r w:rsidRPr="007A7974">
          <w:rPr>
            <w:rFonts w:ascii="Palatino Linotype" w:eastAsia="Times New Roman" w:hAnsi="Palatino Linotype" w:cs="Times New Roman"/>
            <w:sz w:val="20"/>
            <w:szCs w:val="20"/>
            <w:bdr w:val="none" w:sz="0" w:space="0" w:color="auto" w:frame="1"/>
          </w:rPr>
          <w:t>KAGAN</w:t>
        </w:r>
      </w:hyperlink>
      <w:r w:rsidRPr="007A7974">
        <w:rPr>
          <w:rFonts w:ascii="Palatino Linotype" w:eastAsia="Times New Roman" w:hAnsi="Palatino Linotype" w:cs="Times New Roman"/>
          <w:sz w:val="20"/>
          <w:szCs w:val="20"/>
        </w:rPr>
        <w:t> join, dissenting.</w:t>
      </w:r>
    </w:p>
    <w:p w14:paraId="15208390" w14:textId="77777777" w:rsidR="00A73BF4" w:rsidRPr="007A7974" w:rsidRDefault="00A73BF4" w:rsidP="00511E44">
      <w:pPr>
        <w:shd w:val="clear" w:color="auto" w:fill="FFFFFF"/>
        <w:spacing w:after="0" w:line="240" w:lineRule="auto"/>
        <w:textAlignment w:val="baseline"/>
        <w:rPr>
          <w:rFonts w:ascii="Palatino Linotype" w:eastAsia="Times New Roman" w:hAnsi="Palatino Linotype" w:cs="Times New Roman"/>
          <w:sz w:val="20"/>
          <w:szCs w:val="20"/>
        </w:rPr>
      </w:pPr>
    </w:p>
    <w:p w14:paraId="048DCA75" w14:textId="1DE1D42B" w:rsidR="00511E44" w:rsidRPr="007A7974" w:rsidRDefault="00511E44" w:rsidP="00A73BF4">
      <w:pPr>
        <w:shd w:val="clear" w:color="auto" w:fill="FFFFFF"/>
        <w:spacing w:after="0" w:line="240" w:lineRule="auto"/>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I agree with THE CHIEF JUSTICE, Justice SOTOMAYOR, and Justice KAGAN. Texas's law delegates to private individuals the power to prevent a woman from obtaining an abortion during the first stage of pregnancy. But a woman has a federal constitutional right to obtain an abortion during that first stage. And a “State cannot delegate ... a veto power [over the right to obtain an abortion] which the state itself is absolutely and totally prohibited from exercising during the first trimester of pregnancy.”  Indeed, we have made clear that “since the State cannot regulate or proscribe abortion during the first stage ... the State cannot delegate authority to any particular person ... to prevent abortion during that same period.”  The applicants persuasively argue that Texas's law does precisely that.</w:t>
      </w:r>
    </w:p>
    <w:p w14:paraId="4E9C9A4F" w14:textId="767ECBEE" w:rsidR="00511E44" w:rsidRPr="007A7974" w:rsidRDefault="00511E44" w:rsidP="00511E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 xml:space="preserve">The very bringing into effect of Texas's law may well threaten the applicants with imminent and serious harm. One of the clinic applicants has stated on its website that “[d]ue to Texas' SB 8 law,” it is “unable to provide abortion procedures at this time.” And the applicants, with supporting affidavits, claim that clinics will be unable to run the financial and other risks that come from waiting for a private person to sue them under the Texas law; they will simply close, depriving care to more than half the women seeking abortions in Texas clinics. We have permitted those whom a law threatens with constitutional harm to bring pre-enforcement challenges to the law where the harm is less serious and the threat of enforcement less certain than the harm (and the threat) here. </w:t>
      </w:r>
    </w:p>
    <w:p w14:paraId="68D89E31" w14:textId="4D4EC998" w:rsidR="00511E44" w:rsidRPr="007A7974" w:rsidRDefault="00511E44" w:rsidP="00511E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lastRenderedPageBreak/>
        <w:t>I recognize that Texas's law delegates the State's power to prevent abortions not to one person (such as a district attorney) or to a few persons (such as a group of government officials or private citizens) but to any person. But I do not see why that fact should make a critical legal difference. That delegation still threatens to invade a constitutional right, and the coming into effect of that delegation still threatens imminent harm. Normally, where a legal right is “ ‘invaded,’ ” the law provides “ ‘a legal remedy by suit or action at law.’ ”  It should prove possible to apply procedures adequate to that task here, perhaps by permitting lawsuits against a subset of delegatees (say, those particularly likely to exercise the delegated powers), or perhaps by permitting lawsuits against officials whose actions are necessary to implement the statute's enforcement powers. There may be other not-very-new procedural bottles that can also adequately hold what is, in essence, very old and very important legal wine: The ability to ask the Judiciary to protect an individual from the invasion of a constitutional right—an invasion that threatens immediate and serious injury.</w:t>
      </w:r>
    </w:p>
    <w:p w14:paraId="6298A681" w14:textId="5A8C3ECB" w:rsidR="00A73BF4" w:rsidRPr="007A7974" w:rsidRDefault="00A73BF4" w:rsidP="00511E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 xml:space="preserve">. . . . </w:t>
      </w:r>
    </w:p>
    <w:p w14:paraId="4C888DCE" w14:textId="77777777" w:rsidR="00A73BF4" w:rsidRPr="007A7974" w:rsidRDefault="00A73BF4" w:rsidP="00A73BF4">
      <w:pPr>
        <w:shd w:val="clear" w:color="auto" w:fill="FFFFFF"/>
        <w:spacing w:after="0" w:line="240" w:lineRule="auto"/>
        <w:textAlignment w:val="baseline"/>
        <w:rPr>
          <w:rFonts w:ascii="Palatino Linotype" w:eastAsia="Times New Roman" w:hAnsi="Palatino Linotype" w:cs="Times New Roman"/>
          <w:sz w:val="20"/>
          <w:szCs w:val="20"/>
        </w:rPr>
      </w:pPr>
    </w:p>
    <w:p w14:paraId="51D80C89" w14:textId="5151DC98" w:rsidR="00511E44" w:rsidRPr="007A7974" w:rsidRDefault="00511E44" w:rsidP="00A73BF4">
      <w:pPr>
        <w:shd w:val="clear" w:color="auto" w:fill="FFFFFF"/>
        <w:spacing w:after="0" w:line="240" w:lineRule="auto"/>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Justice </w:t>
      </w:r>
      <w:hyperlink r:id="rId11" w:history="1">
        <w:r w:rsidRPr="007A7974">
          <w:rPr>
            <w:rFonts w:ascii="Palatino Linotype" w:eastAsia="Times New Roman" w:hAnsi="Palatino Linotype" w:cs="Times New Roman"/>
            <w:sz w:val="20"/>
            <w:szCs w:val="20"/>
            <w:bdr w:val="none" w:sz="0" w:space="0" w:color="auto" w:frame="1"/>
          </w:rPr>
          <w:t>SOTOMAYOR</w:t>
        </w:r>
      </w:hyperlink>
      <w:r w:rsidRPr="007A7974">
        <w:rPr>
          <w:rFonts w:ascii="Palatino Linotype" w:eastAsia="Times New Roman" w:hAnsi="Palatino Linotype" w:cs="Times New Roman"/>
          <w:sz w:val="20"/>
          <w:szCs w:val="20"/>
        </w:rPr>
        <w:t>, with whom Justice </w:t>
      </w:r>
      <w:hyperlink r:id="rId12" w:history="1">
        <w:r w:rsidRPr="007A7974">
          <w:rPr>
            <w:rFonts w:ascii="Palatino Linotype" w:eastAsia="Times New Roman" w:hAnsi="Palatino Linotype" w:cs="Times New Roman"/>
            <w:sz w:val="20"/>
            <w:szCs w:val="20"/>
            <w:bdr w:val="none" w:sz="0" w:space="0" w:color="auto" w:frame="1"/>
          </w:rPr>
          <w:t>BREYER</w:t>
        </w:r>
      </w:hyperlink>
      <w:r w:rsidRPr="007A7974">
        <w:rPr>
          <w:rFonts w:ascii="Palatino Linotype" w:eastAsia="Times New Roman" w:hAnsi="Palatino Linotype" w:cs="Times New Roman"/>
          <w:sz w:val="20"/>
          <w:szCs w:val="20"/>
        </w:rPr>
        <w:t> and Justice </w:t>
      </w:r>
      <w:hyperlink r:id="rId13" w:history="1">
        <w:r w:rsidRPr="007A7974">
          <w:rPr>
            <w:rFonts w:ascii="Palatino Linotype" w:eastAsia="Times New Roman" w:hAnsi="Palatino Linotype" w:cs="Times New Roman"/>
            <w:sz w:val="20"/>
            <w:szCs w:val="20"/>
            <w:bdr w:val="none" w:sz="0" w:space="0" w:color="auto" w:frame="1"/>
          </w:rPr>
          <w:t>KAGAN</w:t>
        </w:r>
      </w:hyperlink>
      <w:r w:rsidRPr="007A7974">
        <w:rPr>
          <w:rFonts w:ascii="Palatino Linotype" w:eastAsia="Times New Roman" w:hAnsi="Palatino Linotype" w:cs="Times New Roman"/>
          <w:sz w:val="20"/>
          <w:szCs w:val="20"/>
        </w:rPr>
        <w:t> join, dissenting.</w:t>
      </w:r>
    </w:p>
    <w:p w14:paraId="235F8042" w14:textId="77777777" w:rsidR="00A73BF4" w:rsidRPr="007A7974" w:rsidRDefault="00A73BF4" w:rsidP="00A73BF4">
      <w:pPr>
        <w:shd w:val="clear" w:color="auto" w:fill="FFFFFF"/>
        <w:spacing w:after="0" w:line="240" w:lineRule="auto"/>
        <w:textAlignment w:val="baseline"/>
        <w:rPr>
          <w:rFonts w:ascii="Palatino Linotype" w:eastAsia="Times New Roman" w:hAnsi="Palatino Linotype" w:cs="Times New Roman"/>
          <w:sz w:val="20"/>
          <w:szCs w:val="20"/>
        </w:rPr>
      </w:pPr>
    </w:p>
    <w:p w14:paraId="6865BBF5" w14:textId="51962452" w:rsidR="00511E44" w:rsidRPr="007A7974" w:rsidRDefault="00511E44" w:rsidP="00A73BF4">
      <w:pPr>
        <w:shd w:val="clear" w:color="auto" w:fill="FFFFFF"/>
        <w:spacing w:after="0" w:line="240" w:lineRule="auto"/>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The Court's order is stunning. Presented with an application to enjoin a flagrantly unconstitutional law engineered to prohibit women from exercising their constitutional rights and evade judicial scrutiny, a majority of Justices have opted to bury their heads in the sand. </w:t>
      </w:r>
      <w:r w:rsidR="00A73BF4" w:rsidRPr="007A7974">
        <w:rPr>
          <w:rFonts w:ascii="Palatino Linotype" w:eastAsia="Times New Roman" w:hAnsi="Palatino Linotype" w:cs="Times New Roman"/>
          <w:sz w:val="20"/>
          <w:szCs w:val="20"/>
        </w:rPr>
        <w:t xml:space="preserve">. . . </w:t>
      </w:r>
    </w:p>
    <w:p w14:paraId="2A5ED539" w14:textId="77777777" w:rsidR="00A73BF4" w:rsidRPr="007A7974" w:rsidRDefault="00A73BF4" w:rsidP="00511E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 . . .</w:t>
      </w:r>
    </w:p>
    <w:p w14:paraId="74097EC3" w14:textId="1326A721" w:rsidR="00511E44" w:rsidRPr="007A7974" w:rsidRDefault="00511E44" w:rsidP="00511E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The Act is clearly unconstitutional under existing precedents. The respondents do not even try to argue otherwise. Nor could they: No federal appellate court has upheld such a comprehensive prohibition on abortions before viability under current law.</w:t>
      </w:r>
    </w:p>
    <w:p w14:paraId="2B50EB30" w14:textId="104D8B9A" w:rsidR="00511E44" w:rsidRPr="007A7974" w:rsidRDefault="00511E44" w:rsidP="00511E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The Texas Legislature was well aware of this binding precedent. To circumvent it, the Legislature took the extraordinary step of enlisting private citizens to do what the State could not. The Act authorizes any private citizen to file a lawsuit against any person who provides an abortion in violation of the Act, “aids or abets” such an abortion (including by paying for it) regardless of whether they know the abortion is prohibited under the Act, or even intends to engage in such conduct.</w:t>
      </w:r>
      <w:r w:rsidR="00A73BF4" w:rsidRPr="007A7974">
        <w:rPr>
          <w:rFonts w:ascii="Palatino Linotype" w:eastAsia="Times New Roman" w:hAnsi="Palatino Linotype" w:cs="Times New Roman"/>
          <w:sz w:val="20"/>
          <w:szCs w:val="20"/>
        </w:rPr>
        <w:t xml:space="preserve">. . </w:t>
      </w:r>
      <w:r w:rsidRPr="007A7974">
        <w:rPr>
          <w:rFonts w:ascii="Palatino Linotype" w:eastAsia="Times New Roman" w:hAnsi="Palatino Linotype" w:cs="Times New Roman"/>
          <w:i/>
          <w:iCs/>
          <w:sz w:val="20"/>
          <w:szCs w:val="20"/>
          <w:bdr w:val="none" w:sz="0" w:space="0" w:color="auto" w:frame="1"/>
        </w:rPr>
        <w:t>.</w:t>
      </w:r>
      <w:r w:rsidRPr="007A7974">
        <w:rPr>
          <w:rFonts w:ascii="Palatino Linotype" w:eastAsia="Times New Roman" w:hAnsi="Palatino Linotype" w:cs="Times New Roman"/>
          <w:sz w:val="20"/>
          <w:szCs w:val="20"/>
        </w:rPr>
        <w:t> In effect, the Texas Legislature has deputized the State's citizens as bounty hunters, offering them cash prizes for civilly prosecuting their neighbors' medical procedures.</w:t>
      </w:r>
    </w:p>
    <w:p w14:paraId="5A5B5D16" w14:textId="0A38571D" w:rsidR="00511E44" w:rsidRPr="007A7974" w:rsidRDefault="00511E44" w:rsidP="00511E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The Legislature fashioned this scheme because federal constitutional challenges to state laws ordinarily are brought against state officers who are in charge of enforcing the law. By prohibiting state officers from enforcing the Act directly and relying instead on citizen bounty hunters, the Legislature sought to make it more complicated for federal courts to enjoin the Act on a statewide basis.</w:t>
      </w:r>
    </w:p>
    <w:p w14:paraId="22A19CDE" w14:textId="1143DE25" w:rsidR="00511E44" w:rsidRPr="007A7974" w:rsidRDefault="00511E44" w:rsidP="00511E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 xml:space="preserve">Taken together, the Act is a breathtaking act of defiance—of the Constitution, of this Court's precedents, and of the rights of women seeking abortions throughout Texas. </w:t>
      </w:r>
      <w:r w:rsidR="00A73BF4" w:rsidRPr="007A7974">
        <w:rPr>
          <w:rFonts w:ascii="Palatino Linotype" w:eastAsia="Times New Roman" w:hAnsi="Palatino Linotype" w:cs="Times New Roman"/>
          <w:sz w:val="20"/>
          <w:szCs w:val="20"/>
        </w:rPr>
        <w:t xml:space="preserve">. . . </w:t>
      </w:r>
      <w:r w:rsidRPr="007A7974">
        <w:rPr>
          <w:rFonts w:ascii="Palatino Linotype" w:eastAsia="Times New Roman" w:hAnsi="Palatino Linotype" w:cs="Times New Roman"/>
          <w:sz w:val="20"/>
          <w:szCs w:val="20"/>
        </w:rPr>
        <w:t>Today, the Court finally tells the Nation that it declined to act because, in short, the State's gambit worked. The structure of the State's scheme, the Court reasons, raises “complex and novel antecedent procedural questions” that counsel against granting the application,  just as the State intended. This is untenable. It cannot be the case that a State can evade federal judicial scrutiny by outsourcing the enforcement of unconstitutional laws to its citizenry. At a minimum, this Court should have stayed implementation of the Act to allow the lower courts to evaluate these issues in the normal course.  Instead, the Court has rewarded the State's effort to delay federal review of a plainly unconstitutional statute, enacted in disregard of the Court's precedents, through procedural entanglements of the State's own creation.</w:t>
      </w:r>
    </w:p>
    <w:p w14:paraId="2D0BA360" w14:textId="77777777" w:rsidR="00511E44" w:rsidRPr="007A7974" w:rsidRDefault="00511E44" w:rsidP="00511E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The Court should not be so content to ignore its constitutional obligations to protect not only the rights of women, but also the sanctity of its precedents and of the rule of law.</w:t>
      </w:r>
    </w:p>
    <w:p w14:paraId="4F5B26FE" w14:textId="77777777" w:rsidR="00A73BF4" w:rsidRPr="007A7974" w:rsidRDefault="00A73BF4" w:rsidP="00A73BF4">
      <w:pPr>
        <w:shd w:val="clear" w:color="auto" w:fill="FFFFFF"/>
        <w:spacing w:after="0" w:line="240" w:lineRule="auto"/>
        <w:textAlignment w:val="baseline"/>
        <w:rPr>
          <w:rFonts w:ascii="Palatino Linotype" w:eastAsia="Times New Roman" w:hAnsi="Palatino Linotype" w:cs="Times New Roman"/>
          <w:sz w:val="20"/>
          <w:szCs w:val="20"/>
        </w:rPr>
      </w:pPr>
    </w:p>
    <w:p w14:paraId="1143E718" w14:textId="76F3BFD4" w:rsidR="00511E44" w:rsidRPr="007A7974" w:rsidRDefault="00511E44" w:rsidP="00A73BF4">
      <w:pPr>
        <w:shd w:val="clear" w:color="auto" w:fill="FFFFFF"/>
        <w:spacing w:after="0" w:line="240" w:lineRule="auto"/>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Justice </w:t>
      </w:r>
      <w:hyperlink r:id="rId14" w:history="1">
        <w:r w:rsidRPr="007A7974">
          <w:rPr>
            <w:rFonts w:ascii="Palatino Linotype" w:eastAsia="Times New Roman" w:hAnsi="Palatino Linotype" w:cs="Times New Roman"/>
            <w:sz w:val="20"/>
            <w:szCs w:val="20"/>
            <w:bdr w:val="none" w:sz="0" w:space="0" w:color="auto" w:frame="1"/>
          </w:rPr>
          <w:t>KAGAN</w:t>
        </w:r>
      </w:hyperlink>
      <w:r w:rsidRPr="007A7974">
        <w:rPr>
          <w:rFonts w:ascii="Palatino Linotype" w:eastAsia="Times New Roman" w:hAnsi="Palatino Linotype" w:cs="Times New Roman"/>
          <w:sz w:val="20"/>
          <w:szCs w:val="20"/>
        </w:rPr>
        <w:t>, with whom Justice </w:t>
      </w:r>
      <w:hyperlink r:id="rId15" w:history="1">
        <w:r w:rsidRPr="007A7974">
          <w:rPr>
            <w:rFonts w:ascii="Palatino Linotype" w:eastAsia="Times New Roman" w:hAnsi="Palatino Linotype" w:cs="Times New Roman"/>
            <w:sz w:val="20"/>
            <w:szCs w:val="20"/>
            <w:bdr w:val="none" w:sz="0" w:space="0" w:color="auto" w:frame="1"/>
          </w:rPr>
          <w:t>BREYER</w:t>
        </w:r>
      </w:hyperlink>
      <w:r w:rsidRPr="007A7974">
        <w:rPr>
          <w:rFonts w:ascii="Palatino Linotype" w:eastAsia="Times New Roman" w:hAnsi="Palatino Linotype" w:cs="Times New Roman"/>
          <w:sz w:val="20"/>
          <w:szCs w:val="20"/>
        </w:rPr>
        <w:t> and Justice </w:t>
      </w:r>
      <w:hyperlink r:id="rId16" w:history="1">
        <w:r w:rsidRPr="007A7974">
          <w:rPr>
            <w:rFonts w:ascii="Palatino Linotype" w:eastAsia="Times New Roman" w:hAnsi="Palatino Linotype" w:cs="Times New Roman"/>
            <w:sz w:val="20"/>
            <w:szCs w:val="20"/>
            <w:bdr w:val="none" w:sz="0" w:space="0" w:color="auto" w:frame="1"/>
          </w:rPr>
          <w:t>SOTOMAYOR</w:t>
        </w:r>
      </w:hyperlink>
      <w:r w:rsidRPr="007A7974">
        <w:rPr>
          <w:rFonts w:ascii="Palatino Linotype" w:eastAsia="Times New Roman" w:hAnsi="Palatino Linotype" w:cs="Times New Roman"/>
          <w:sz w:val="20"/>
          <w:szCs w:val="20"/>
        </w:rPr>
        <w:t> join, dissenting.</w:t>
      </w:r>
    </w:p>
    <w:p w14:paraId="001314E4" w14:textId="77777777" w:rsidR="00A73BF4" w:rsidRPr="007A7974" w:rsidRDefault="00A73BF4" w:rsidP="00A73BF4">
      <w:pPr>
        <w:shd w:val="clear" w:color="auto" w:fill="FFFFFF"/>
        <w:spacing w:after="0" w:line="240" w:lineRule="auto"/>
        <w:textAlignment w:val="baseline"/>
        <w:rPr>
          <w:rFonts w:ascii="Palatino Linotype" w:eastAsia="Times New Roman" w:hAnsi="Palatino Linotype" w:cs="Times New Roman"/>
          <w:sz w:val="20"/>
          <w:szCs w:val="20"/>
        </w:rPr>
      </w:pPr>
    </w:p>
    <w:p w14:paraId="75054E32" w14:textId="64C62EEC" w:rsidR="00511E44" w:rsidRPr="007A7974" w:rsidRDefault="00511E44" w:rsidP="00A73BF4">
      <w:pPr>
        <w:shd w:val="clear" w:color="auto" w:fill="FFFFFF"/>
        <w:spacing w:after="0" w:line="240" w:lineRule="auto"/>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Without full briefing or argument, and after less than 72 hours' thought, this Court greenlights the operation of Texas's patently unconstitutional law banning most abortions. The Court thus rewards Texas's scheme to insulate its law from judicial review by deputizing private parties to carry out unconstitutional restrictions on the State's behalf. As of last night, and because of this Court's ruling, Texas law prohibits abortions for the vast majority of women who seek them—in clear, and indeed undisputed, conflict with </w:t>
      </w:r>
      <w:hyperlink r:id="rId17" w:history="1">
        <w:r w:rsidRPr="007A7974">
          <w:rPr>
            <w:rFonts w:ascii="Palatino Linotype" w:eastAsia="Times New Roman" w:hAnsi="Palatino Linotype" w:cs="Times New Roman"/>
            <w:i/>
            <w:iCs/>
            <w:sz w:val="20"/>
            <w:szCs w:val="20"/>
            <w:bdr w:val="none" w:sz="0" w:space="0" w:color="auto" w:frame="1"/>
          </w:rPr>
          <w:t>Roe</w:t>
        </w:r>
        <w:r w:rsidR="00A73BF4" w:rsidRPr="007A7974">
          <w:rPr>
            <w:rFonts w:ascii="Palatino Linotype" w:eastAsia="Times New Roman" w:hAnsi="Palatino Linotype" w:cs="Times New Roman"/>
            <w:i/>
            <w:iCs/>
            <w:sz w:val="20"/>
            <w:szCs w:val="20"/>
            <w:bdr w:val="none" w:sz="0" w:space="0" w:color="auto" w:frame="1"/>
          </w:rPr>
          <w:t xml:space="preserve"> v. Wade </w:t>
        </w:r>
        <w:r w:rsidR="00A73BF4" w:rsidRPr="007A7974">
          <w:rPr>
            <w:rFonts w:ascii="Palatino Linotype" w:eastAsia="Times New Roman" w:hAnsi="Palatino Linotype" w:cs="Times New Roman"/>
            <w:sz w:val="20"/>
            <w:szCs w:val="20"/>
            <w:bdr w:val="none" w:sz="0" w:space="0" w:color="auto" w:frame="1"/>
          </w:rPr>
          <w:t>(19</w:t>
        </w:r>
        <w:r w:rsidR="00250755" w:rsidRPr="007A7974">
          <w:rPr>
            <w:rFonts w:ascii="Palatino Linotype" w:eastAsia="Times New Roman" w:hAnsi="Palatino Linotype" w:cs="Times New Roman"/>
            <w:sz w:val="20"/>
            <w:szCs w:val="20"/>
            <w:bdr w:val="none" w:sz="0" w:space="0" w:color="auto" w:frame="1"/>
          </w:rPr>
          <w:t>73)</w:t>
        </w:r>
        <w:r w:rsidRPr="007A7974">
          <w:rPr>
            <w:rFonts w:ascii="Palatino Linotype" w:eastAsia="Times New Roman" w:hAnsi="Palatino Linotype" w:cs="Times New Roman"/>
            <w:i/>
            <w:iCs/>
            <w:sz w:val="20"/>
            <w:szCs w:val="20"/>
            <w:bdr w:val="none" w:sz="0" w:space="0" w:color="auto" w:frame="1"/>
          </w:rPr>
          <w:t> </w:t>
        </w:r>
      </w:hyperlink>
      <w:r w:rsidRPr="007A7974">
        <w:rPr>
          <w:rFonts w:ascii="Palatino Linotype" w:eastAsia="Times New Roman" w:hAnsi="Palatino Linotype" w:cs="Times New Roman"/>
          <w:sz w:val="20"/>
          <w:szCs w:val="20"/>
        </w:rPr>
        <w:t>and </w:t>
      </w:r>
      <w:r w:rsidR="00250755" w:rsidRPr="007A7974">
        <w:rPr>
          <w:rFonts w:ascii="Palatino Linotype" w:eastAsia="Times New Roman" w:hAnsi="Palatino Linotype" w:cs="Times New Roman"/>
          <w:i/>
          <w:iCs/>
          <w:noProof/>
          <w:sz w:val="20"/>
          <w:szCs w:val="20"/>
          <w:bdr w:val="none" w:sz="0" w:space="0" w:color="auto" w:frame="1"/>
        </w:rPr>
        <w:t xml:space="preserve">Planned Parenthood of Southeastern Pennsylvania v. </w:t>
      </w:r>
      <w:hyperlink r:id="rId18" w:history="1">
        <w:r w:rsidRPr="007A7974">
          <w:rPr>
            <w:rFonts w:ascii="Palatino Linotype" w:eastAsia="Times New Roman" w:hAnsi="Palatino Linotype" w:cs="Times New Roman"/>
            <w:i/>
            <w:iCs/>
            <w:sz w:val="20"/>
            <w:szCs w:val="20"/>
            <w:bdr w:val="none" w:sz="0" w:space="0" w:color="auto" w:frame="1"/>
          </w:rPr>
          <w:t>Casey</w:t>
        </w:r>
      </w:hyperlink>
      <w:r w:rsidR="00250755" w:rsidRPr="007A7974">
        <w:rPr>
          <w:rFonts w:ascii="Palatino Linotype" w:eastAsia="Times New Roman" w:hAnsi="Palatino Linotype" w:cs="Times New Roman"/>
          <w:sz w:val="20"/>
          <w:szCs w:val="20"/>
        </w:rPr>
        <w:t xml:space="preserve"> (1992).</w:t>
      </w:r>
    </w:p>
    <w:p w14:paraId="6795C321" w14:textId="22030BD9" w:rsidR="00511E44" w:rsidRPr="007A7974" w:rsidRDefault="00511E44" w:rsidP="00511E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A7974">
        <w:rPr>
          <w:rFonts w:ascii="Palatino Linotype" w:eastAsia="Times New Roman" w:hAnsi="Palatino Linotype" w:cs="Times New Roman"/>
          <w:sz w:val="20"/>
          <w:szCs w:val="20"/>
        </w:rPr>
        <w:t xml:space="preserve">Today's ruling illustrates just how far the Court's “shadow-docket” decisions may depart from the usual principles of appellate process. That ruling, as everyone must agree, is of great consequence. Yet the majority has acted without any guidance from the Court of Appeals—which is right now considering the same issues. It has reviewed only the most cursory party submissions, and then only hastily. And it barely bothers to explain its conclusion—that a challenge to an obviously unconstitutional abortion regulation backed by a wholly unprecedented enforcement scheme is unlikely to prevail. In all these ways, the majority's decision is emblematic of too much of this Court's shadow-docket decisionmaking—which every day becomes more unreasoned, inconsistent, and impossible to defend. </w:t>
      </w:r>
    </w:p>
    <w:p w14:paraId="3AFECC19" w14:textId="77777777" w:rsidR="00511E44" w:rsidRPr="007A7974" w:rsidRDefault="00511E44" w:rsidP="00511E44">
      <w:pPr>
        <w:spacing w:after="0" w:line="240" w:lineRule="auto"/>
        <w:ind w:firstLine="720"/>
        <w:rPr>
          <w:rFonts w:ascii="Palatino Linotype" w:hAnsi="Palatino Linotype" w:cs="Times New Roman"/>
          <w:sz w:val="20"/>
          <w:szCs w:val="20"/>
        </w:rPr>
      </w:pPr>
    </w:p>
    <w:sectPr w:rsidR="00511E44" w:rsidRPr="007A7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44"/>
    <w:rsid w:val="001D782E"/>
    <w:rsid w:val="00250755"/>
    <w:rsid w:val="002C7CB2"/>
    <w:rsid w:val="00506757"/>
    <w:rsid w:val="00511E44"/>
    <w:rsid w:val="00566A42"/>
    <w:rsid w:val="006C07FE"/>
    <w:rsid w:val="006D033A"/>
    <w:rsid w:val="007A7974"/>
    <w:rsid w:val="00A7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9D3400"/>
  <w15:chartTrackingRefBased/>
  <w15:docId w15:val="{6C955AD4-F31E-4FBC-97BF-BB89C640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51224">
      <w:bodyDiv w:val="1"/>
      <w:marLeft w:val="0"/>
      <w:marRight w:val="0"/>
      <w:marTop w:val="0"/>
      <w:marBottom w:val="0"/>
      <w:divBdr>
        <w:top w:val="none" w:sz="0" w:space="0" w:color="auto"/>
        <w:left w:val="none" w:sz="0" w:space="0" w:color="auto"/>
        <w:bottom w:val="none" w:sz="0" w:space="0" w:color="auto"/>
        <w:right w:val="none" w:sz="0" w:space="0" w:color="auto"/>
      </w:divBdr>
      <w:divsChild>
        <w:div w:id="1418554468">
          <w:marLeft w:val="0"/>
          <w:marRight w:val="0"/>
          <w:marTop w:val="0"/>
          <w:marBottom w:val="0"/>
          <w:divBdr>
            <w:top w:val="none" w:sz="0" w:space="0" w:color="auto"/>
            <w:left w:val="none" w:sz="0" w:space="0" w:color="auto"/>
            <w:bottom w:val="none" w:sz="0" w:space="0" w:color="auto"/>
            <w:right w:val="none" w:sz="0" w:space="0" w:color="auto"/>
          </w:divBdr>
          <w:divsChild>
            <w:div w:id="773356558">
              <w:marLeft w:val="0"/>
              <w:marRight w:val="0"/>
              <w:marTop w:val="0"/>
              <w:marBottom w:val="0"/>
              <w:divBdr>
                <w:top w:val="none" w:sz="0" w:space="0" w:color="auto"/>
                <w:left w:val="none" w:sz="0" w:space="0" w:color="auto"/>
                <w:bottom w:val="none" w:sz="0" w:space="0" w:color="auto"/>
                <w:right w:val="none" w:sz="0" w:space="0" w:color="auto"/>
              </w:divBdr>
              <w:divsChild>
                <w:div w:id="276955931">
                  <w:marLeft w:val="0"/>
                  <w:marRight w:val="0"/>
                  <w:marTop w:val="0"/>
                  <w:marBottom w:val="0"/>
                  <w:divBdr>
                    <w:top w:val="none" w:sz="0" w:space="0" w:color="auto"/>
                    <w:left w:val="none" w:sz="0" w:space="0" w:color="auto"/>
                    <w:bottom w:val="none" w:sz="0" w:space="0" w:color="auto"/>
                    <w:right w:val="none" w:sz="0" w:space="0" w:color="auto"/>
                  </w:divBdr>
                  <w:divsChild>
                    <w:div w:id="47462915">
                      <w:marLeft w:val="0"/>
                      <w:marRight w:val="0"/>
                      <w:marTop w:val="0"/>
                      <w:marBottom w:val="0"/>
                      <w:divBdr>
                        <w:top w:val="none" w:sz="0" w:space="0" w:color="auto"/>
                        <w:left w:val="none" w:sz="0" w:space="0" w:color="auto"/>
                        <w:bottom w:val="none" w:sz="0" w:space="0" w:color="auto"/>
                        <w:right w:val="none" w:sz="0" w:space="0" w:color="auto"/>
                      </w:divBdr>
                      <w:divsChild>
                        <w:div w:id="217252777">
                          <w:marLeft w:val="0"/>
                          <w:marRight w:val="0"/>
                          <w:marTop w:val="0"/>
                          <w:marBottom w:val="0"/>
                          <w:divBdr>
                            <w:top w:val="none" w:sz="0" w:space="0" w:color="auto"/>
                            <w:left w:val="none" w:sz="0" w:space="0" w:color="auto"/>
                            <w:bottom w:val="none" w:sz="0" w:space="0" w:color="auto"/>
                            <w:right w:val="none" w:sz="0" w:space="0" w:color="auto"/>
                          </w:divBdr>
                          <w:divsChild>
                            <w:div w:id="1865704912">
                              <w:marLeft w:val="0"/>
                              <w:marRight w:val="0"/>
                              <w:marTop w:val="0"/>
                              <w:marBottom w:val="0"/>
                              <w:divBdr>
                                <w:top w:val="none" w:sz="0" w:space="0" w:color="auto"/>
                                <w:left w:val="none" w:sz="0" w:space="0" w:color="auto"/>
                                <w:bottom w:val="none" w:sz="0" w:space="0" w:color="auto"/>
                                <w:right w:val="none" w:sz="0" w:space="0" w:color="auto"/>
                              </w:divBdr>
                              <w:divsChild>
                                <w:div w:id="5155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351537">
          <w:marLeft w:val="0"/>
          <w:marRight w:val="0"/>
          <w:marTop w:val="0"/>
          <w:marBottom w:val="0"/>
          <w:divBdr>
            <w:top w:val="none" w:sz="0" w:space="0" w:color="auto"/>
            <w:left w:val="none" w:sz="0" w:space="0" w:color="auto"/>
            <w:bottom w:val="none" w:sz="0" w:space="0" w:color="auto"/>
            <w:right w:val="none" w:sz="0" w:space="0" w:color="auto"/>
          </w:divBdr>
          <w:divsChild>
            <w:div w:id="391199168">
              <w:marLeft w:val="0"/>
              <w:marRight w:val="0"/>
              <w:marTop w:val="0"/>
              <w:marBottom w:val="0"/>
              <w:divBdr>
                <w:top w:val="none" w:sz="0" w:space="0" w:color="auto"/>
                <w:left w:val="none" w:sz="0" w:space="0" w:color="auto"/>
                <w:bottom w:val="none" w:sz="0" w:space="0" w:color="auto"/>
                <w:right w:val="none" w:sz="0" w:space="0" w:color="auto"/>
              </w:divBdr>
              <w:divsChild>
                <w:div w:id="1300721025">
                  <w:marLeft w:val="0"/>
                  <w:marRight w:val="0"/>
                  <w:marTop w:val="0"/>
                  <w:marBottom w:val="0"/>
                  <w:divBdr>
                    <w:top w:val="none" w:sz="0" w:space="0" w:color="auto"/>
                    <w:left w:val="none" w:sz="0" w:space="0" w:color="auto"/>
                    <w:bottom w:val="none" w:sz="0" w:space="0" w:color="auto"/>
                    <w:right w:val="none" w:sz="0" w:space="0" w:color="auto"/>
                  </w:divBdr>
                  <w:divsChild>
                    <w:div w:id="1769933420">
                      <w:marLeft w:val="0"/>
                      <w:marRight w:val="0"/>
                      <w:marTop w:val="0"/>
                      <w:marBottom w:val="0"/>
                      <w:divBdr>
                        <w:top w:val="none" w:sz="0" w:space="0" w:color="auto"/>
                        <w:left w:val="none" w:sz="0" w:space="0" w:color="auto"/>
                        <w:bottom w:val="none" w:sz="0" w:space="0" w:color="auto"/>
                        <w:right w:val="none" w:sz="0" w:space="0" w:color="auto"/>
                      </w:divBdr>
                    </w:div>
                    <w:div w:id="344750614">
                      <w:marLeft w:val="0"/>
                      <w:marRight w:val="0"/>
                      <w:marTop w:val="0"/>
                      <w:marBottom w:val="0"/>
                      <w:divBdr>
                        <w:top w:val="none" w:sz="0" w:space="0" w:color="auto"/>
                        <w:left w:val="none" w:sz="0" w:space="0" w:color="auto"/>
                        <w:bottom w:val="none" w:sz="0" w:space="0" w:color="auto"/>
                        <w:right w:val="none" w:sz="0" w:space="0" w:color="auto"/>
                      </w:divBdr>
                      <w:divsChild>
                        <w:div w:id="1164858628">
                          <w:marLeft w:val="0"/>
                          <w:marRight w:val="0"/>
                          <w:marTop w:val="0"/>
                          <w:marBottom w:val="0"/>
                          <w:divBdr>
                            <w:top w:val="none" w:sz="0" w:space="0" w:color="auto"/>
                            <w:left w:val="none" w:sz="0" w:space="0" w:color="auto"/>
                            <w:bottom w:val="none" w:sz="0" w:space="0" w:color="auto"/>
                            <w:right w:val="none" w:sz="0" w:space="0" w:color="auto"/>
                          </w:divBdr>
                          <w:divsChild>
                            <w:div w:id="1168599448">
                              <w:marLeft w:val="0"/>
                              <w:marRight w:val="0"/>
                              <w:marTop w:val="0"/>
                              <w:marBottom w:val="0"/>
                              <w:divBdr>
                                <w:top w:val="none" w:sz="0" w:space="0" w:color="auto"/>
                                <w:left w:val="none" w:sz="0" w:space="0" w:color="auto"/>
                                <w:bottom w:val="none" w:sz="0" w:space="0" w:color="auto"/>
                                <w:right w:val="none" w:sz="0" w:space="0" w:color="auto"/>
                              </w:divBdr>
                              <w:divsChild>
                                <w:div w:id="1284535336">
                                  <w:marLeft w:val="0"/>
                                  <w:marRight w:val="0"/>
                                  <w:marTop w:val="0"/>
                                  <w:marBottom w:val="0"/>
                                  <w:divBdr>
                                    <w:top w:val="none" w:sz="0" w:space="0" w:color="auto"/>
                                    <w:left w:val="none" w:sz="0" w:space="0" w:color="auto"/>
                                    <w:bottom w:val="none" w:sz="0" w:space="0" w:color="auto"/>
                                    <w:right w:val="none" w:sz="0" w:space="0" w:color="auto"/>
                                  </w:divBdr>
                                </w:div>
                              </w:divsChild>
                            </w:div>
                            <w:div w:id="1199780516">
                              <w:marLeft w:val="0"/>
                              <w:marRight w:val="0"/>
                              <w:marTop w:val="0"/>
                              <w:marBottom w:val="0"/>
                              <w:divBdr>
                                <w:top w:val="none" w:sz="0" w:space="0" w:color="auto"/>
                                <w:left w:val="none" w:sz="0" w:space="0" w:color="auto"/>
                                <w:bottom w:val="none" w:sz="0" w:space="0" w:color="auto"/>
                                <w:right w:val="none" w:sz="0" w:space="0" w:color="auto"/>
                              </w:divBdr>
                              <w:divsChild>
                                <w:div w:id="516231451">
                                  <w:marLeft w:val="0"/>
                                  <w:marRight w:val="0"/>
                                  <w:marTop w:val="0"/>
                                  <w:marBottom w:val="0"/>
                                  <w:divBdr>
                                    <w:top w:val="none" w:sz="0" w:space="0" w:color="auto"/>
                                    <w:left w:val="none" w:sz="0" w:space="0" w:color="auto"/>
                                    <w:bottom w:val="none" w:sz="0" w:space="0" w:color="auto"/>
                                    <w:right w:val="none" w:sz="0" w:space="0" w:color="auto"/>
                                  </w:divBdr>
                                </w:div>
                              </w:divsChild>
                            </w:div>
                            <w:div w:id="560673726">
                              <w:marLeft w:val="0"/>
                              <w:marRight w:val="0"/>
                              <w:marTop w:val="0"/>
                              <w:marBottom w:val="0"/>
                              <w:divBdr>
                                <w:top w:val="none" w:sz="0" w:space="0" w:color="auto"/>
                                <w:left w:val="none" w:sz="0" w:space="0" w:color="auto"/>
                                <w:bottom w:val="none" w:sz="0" w:space="0" w:color="auto"/>
                                <w:right w:val="none" w:sz="0" w:space="0" w:color="auto"/>
                              </w:divBdr>
                              <w:divsChild>
                                <w:div w:id="1116559070">
                                  <w:marLeft w:val="0"/>
                                  <w:marRight w:val="0"/>
                                  <w:marTop w:val="0"/>
                                  <w:marBottom w:val="0"/>
                                  <w:divBdr>
                                    <w:top w:val="none" w:sz="0" w:space="0" w:color="auto"/>
                                    <w:left w:val="none" w:sz="0" w:space="0" w:color="auto"/>
                                    <w:bottom w:val="none" w:sz="0" w:space="0" w:color="auto"/>
                                    <w:right w:val="none" w:sz="0" w:space="0" w:color="auto"/>
                                  </w:divBdr>
                                </w:div>
                              </w:divsChild>
                            </w:div>
                            <w:div w:id="1285192675">
                              <w:marLeft w:val="0"/>
                              <w:marRight w:val="0"/>
                              <w:marTop w:val="0"/>
                              <w:marBottom w:val="0"/>
                              <w:divBdr>
                                <w:top w:val="none" w:sz="0" w:space="0" w:color="auto"/>
                                <w:left w:val="none" w:sz="0" w:space="0" w:color="auto"/>
                                <w:bottom w:val="none" w:sz="0" w:space="0" w:color="auto"/>
                                <w:right w:val="none" w:sz="0" w:space="0" w:color="auto"/>
                              </w:divBdr>
                              <w:divsChild>
                                <w:div w:id="450124992">
                                  <w:marLeft w:val="0"/>
                                  <w:marRight w:val="0"/>
                                  <w:marTop w:val="0"/>
                                  <w:marBottom w:val="0"/>
                                  <w:divBdr>
                                    <w:top w:val="none" w:sz="0" w:space="0" w:color="auto"/>
                                    <w:left w:val="none" w:sz="0" w:space="0" w:color="auto"/>
                                    <w:bottom w:val="none" w:sz="0" w:space="0" w:color="auto"/>
                                    <w:right w:val="none" w:sz="0" w:space="0" w:color="auto"/>
                                  </w:divBdr>
                                </w:div>
                              </w:divsChild>
                            </w:div>
                            <w:div w:id="1855530292">
                              <w:marLeft w:val="0"/>
                              <w:marRight w:val="0"/>
                              <w:marTop w:val="0"/>
                              <w:marBottom w:val="0"/>
                              <w:divBdr>
                                <w:top w:val="none" w:sz="0" w:space="0" w:color="auto"/>
                                <w:left w:val="none" w:sz="0" w:space="0" w:color="auto"/>
                                <w:bottom w:val="none" w:sz="0" w:space="0" w:color="auto"/>
                                <w:right w:val="none" w:sz="0" w:space="0" w:color="auto"/>
                              </w:divBdr>
                              <w:divsChild>
                                <w:div w:id="15192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509166">
          <w:marLeft w:val="0"/>
          <w:marRight w:val="0"/>
          <w:marTop w:val="0"/>
          <w:marBottom w:val="0"/>
          <w:divBdr>
            <w:top w:val="none" w:sz="0" w:space="0" w:color="auto"/>
            <w:left w:val="none" w:sz="0" w:space="0" w:color="auto"/>
            <w:bottom w:val="none" w:sz="0" w:space="0" w:color="auto"/>
            <w:right w:val="none" w:sz="0" w:space="0" w:color="auto"/>
          </w:divBdr>
          <w:divsChild>
            <w:div w:id="437873616">
              <w:marLeft w:val="0"/>
              <w:marRight w:val="0"/>
              <w:marTop w:val="0"/>
              <w:marBottom w:val="0"/>
              <w:divBdr>
                <w:top w:val="none" w:sz="0" w:space="0" w:color="auto"/>
                <w:left w:val="none" w:sz="0" w:space="0" w:color="auto"/>
                <w:bottom w:val="none" w:sz="0" w:space="0" w:color="auto"/>
                <w:right w:val="none" w:sz="0" w:space="0" w:color="auto"/>
              </w:divBdr>
              <w:divsChild>
                <w:div w:id="1672174913">
                  <w:marLeft w:val="0"/>
                  <w:marRight w:val="0"/>
                  <w:marTop w:val="0"/>
                  <w:marBottom w:val="0"/>
                  <w:divBdr>
                    <w:top w:val="none" w:sz="0" w:space="0" w:color="auto"/>
                    <w:left w:val="none" w:sz="0" w:space="0" w:color="auto"/>
                    <w:bottom w:val="none" w:sz="0" w:space="0" w:color="auto"/>
                    <w:right w:val="none" w:sz="0" w:space="0" w:color="auto"/>
                  </w:divBdr>
                  <w:divsChild>
                    <w:div w:id="1437359189">
                      <w:marLeft w:val="0"/>
                      <w:marRight w:val="0"/>
                      <w:marTop w:val="0"/>
                      <w:marBottom w:val="0"/>
                      <w:divBdr>
                        <w:top w:val="none" w:sz="0" w:space="0" w:color="auto"/>
                        <w:left w:val="none" w:sz="0" w:space="0" w:color="auto"/>
                        <w:bottom w:val="none" w:sz="0" w:space="0" w:color="auto"/>
                        <w:right w:val="none" w:sz="0" w:space="0" w:color="auto"/>
                      </w:divBdr>
                    </w:div>
                    <w:div w:id="1504206050">
                      <w:marLeft w:val="0"/>
                      <w:marRight w:val="0"/>
                      <w:marTop w:val="0"/>
                      <w:marBottom w:val="0"/>
                      <w:divBdr>
                        <w:top w:val="none" w:sz="0" w:space="0" w:color="auto"/>
                        <w:left w:val="none" w:sz="0" w:space="0" w:color="auto"/>
                        <w:bottom w:val="none" w:sz="0" w:space="0" w:color="auto"/>
                        <w:right w:val="none" w:sz="0" w:space="0" w:color="auto"/>
                      </w:divBdr>
                      <w:divsChild>
                        <w:div w:id="911280277">
                          <w:marLeft w:val="0"/>
                          <w:marRight w:val="0"/>
                          <w:marTop w:val="0"/>
                          <w:marBottom w:val="0"/>
                          <w:divBdr>
                            <w:top w:val="none" w:sz="0" w:space="0" w:color="auto"/>
                            <w:left w:val="none" w:sz="0" w:space="0" w:color="auto"/>
                            <w:bottom w:val="none" w:sz="0" w:space="0" w:color="auto"/>
                            <w:right w:val="none" w:sz="0" w:space="0" w:color="auto"/>
                          </w:divBdr>
                          <w:divsChild>
                            <w:div w:id="887842296">
                              <w:marLeft w:val="0"/>
                              <w:marRight w:val="0"/>
                              <w:marTop w:val="0"/>
                              <w:marBottom w:val="0"/>
                              <w:divBdr>
                                <w:top w:val="none" w:sz="0" w:space="0" w:color="auto"/>
                                <w:left w:val="none" w:sz="0" w:space="0" w:color="auto"/>
                                <w:bottom w:val="none" w:sz="0" w:space="0" w:color="auto"/>
                                <w:right w:val="none" w:sz="0" w:space="0" w:color="auto"/>
                              </w:divBdr>
                              <w:divsChild>
                                <w:div w:id="1503932477">
                                  <w:marLeft w:val="0"/>
                                  <w:marRight w:val="0"/>
                                  <w:marTop w:val="0"/>
                                  <w:marBottom w:val="0"/>
                                  <w:divBdr>
                                    <w:top w:val="none" w:sz="0" w:space="0" w:color="auto"/>
                                    <w:left w:val="none" w:sz="0" w:space="0" w:color="auto"/>
                                    <w:bottom w:val="none" w:sz="0" w:space="0" w:color="auto"/>
                                    <w:right w:val="none" w:sz="0" w:space="0" w:color="auto"/>
                                  </w:divBdr>
                                </w:div>
                              </w:divsChild>
                            </w:div>
                            <w:div w:id="301152804">
                              <w:marLeft w:val="0"/>
                              <w:marRight w:val="0"/>
                              <w:marTop w:val="0"/>
                              <w:marBottom w:val="0"/>
                              <w:divBdr>
                                <w:top w:val="none" w:sz="0" w:space="0" w:color="auto"/>
                                <w:left w:val="none" w:sz="0" w:space="0" w:color="auto"/>
                                <w:bottom w:val="none" w:sz="0" w:space="0" w:color="auto"/>
                                <w:right w:val="none" w:sz="0" w:space="0" w:color="auto"/>
                              </w:divBdr>
                              <w:divsChild>
                                <w:div w:id="2091190159">
                                  <w:marLeft w:val="0"/>
                                  <w:marRight w:val="0"/>
                                  <w:marTop w:val="0"/>
                                  <w:marBottom w:val="0"/>
                                  <w:divBdr>
                                    <w:top w:val="none" w:sz="0" w:space="0" w:color="auto"/>
                                    <w:left w:val="none" w:sz="0" w:space="0" w:color="auto"/>
                                    <w:bottom w:val="none" w:sz="0" w:space="0" w:color="auto"/>
                                    <w:right w:val="none" w:sz="0" w:space="0" w:color="auto"/>
                                  </w:divBdr>
                                </w:div>
                              </w:divsChild>
                            </w:div>
                            <w:div w:id="2110618402">
                              <w:marLeft w:val="0"/>
                              <w:marRight w:val="0"/>
                              <w:marTop w:val="0"/>
                              <w:marBottom w:val="0"/>
                              <w:divBdr>
                                <w:top w:val="none" w:sz="0" w:space="0" w:color="auto"/>
                                <w:left w:val="none" w:sz="0" w:space="0" w:color="auto"/>
                                <w:bottom w:val="none" w:sz="0" w:space="0" w:color="auto"/>
                                <w:right w:val="none" w:sz="0" w:space="0" w:color="auto"/>
                              </w:divBdr>
                              <w:divsChild>
                                <w:div w:id="406419838">
                                  <w:marLeft w:val="0"/>
                                  <w:marRight w:val="0"/>
                                  <w:marTop w:val="0"/>
                                  <w:marBottom w:val="0"/>
                                  <w:divBdr>
                                    <w:top w:val="none" w:sz="0" w:space="0" w:color="auto"/>
                                    <w:left w:val="none" w:sz="0" w:space="0" w:color="auto"/>
                                    <w:bottom w:val="none" w:sz="0" w:space="0" w:color="auto"/>
                                    <w:right w:val="none" w:sz="0" w:space="0" w:color="auto"/>
                                  </w:divBdr>
                                </w:div>
                              </w:divsChild>
                            </w:div>
                            <w:div w:id="1668899090">
                              <w:marLeft w:val="0"/>
                              <w:marRight w:val="0"/>
                              <w:marTop w:val="0"/>
                              <w:marBottom w:val="0"/>
                              <w:divBdr>
                                <w:top w:val="none" w:sz="0" w:space="0" w:color="auto"/>
                                <w:left w:val="none" w:sz="0" w:space="0" w:color="auto"/>
                                <w:bottom w:val="none" w:sz="0" w:space="0" w:color="auto"/>
                                <w:right w:val="none" w:sz="0" w:space="0" w:color="auto"/>
                              </w:divBdr>
                              <w:divsChild>
                                <w:div w:id="1743982936">
                                  <w:marLeft w:val="0"/>
                                  <w:marRight w:val="0"/>
                                  <w:marTop w:val="0"/>
                                  <w:marBottom w:val="0"/>
                                  <w:divBdr>
                                    <w:top w:val="none" w:sz="0" w:space="0" w:color="auto"/>
                                    <w:left w:val="none" w:sz="0" w:space="0" w:color="auto"/>
                                    <w:bottom w:val="none" w:sz="0" w:space="0" w:color="auto"/>
                                    <w:right w:val="none" w:sz="0" w:space="0" w:color="auto"/>
                                  </w:divBdr>
                                </w:div>
                              </w:divsChild>
                            </w:div>
                            <w:div w:id="967933330">
                              <w:marLeft w:val="0"/>
                              <w:marRight w:val="0"/>
                              <w:marTop w:val="0"/>
                              <w:marBottom w:val="0"/>
                              <w:divBdr>
                                <w:top w:val="none" w:sz="0" w:space="0" w:color="auto"/>
                                <w:left w:val="none" w:sz="0" w:space="0" w:color="auto"/>
                                <w:bottom w:val="none" w:sz="0" w:space="0" w:color="auto"/>
                                <w:right w:val="none" w:sz="0" w:space="0" w:color="auto"/>
                              </w:divBdr>
                              <w:divsChild>
                                <w:div w:id="625430448">
                                  <w:marLeft w:val="0"/>
                                  <w:marRight w:val="0"/>
                                  <w:marTop w:val="0"/>
                                  <w:marBottom w:val="0"/>
                                  <w:divBdr>
                                    <w:top w:val="none" w:sz="0" w:space="0" w:color="auto"/>
                                    <w:left w:val="none" w:sz="0" w:space="0" w:color="auto"/>
                                    <w:bottom w:val="none" w:sz="0" w:space="0" w:color="auto"/>
                                    <w:right w:val="none" w:sz="0" w:space="0" w:color="auto"/>
                                  </w:divBdr>
                                </w:div>
                              </w:divsChild>
                            </w:div>
                            <w:div w:id="893925625">
                              <w:marLeft w:val="0"/>
                              <w:marRight w:val="0"/>
                              <w:marTop w:val="0"/>
                              <w:marBottom w:val="0"/>
                              <w:divBdr>
                                <w:top w:val="none" w:sz="0" w:space="0" w:color="auto"/>
                                <w:left w:val="none" w:sz="0" w:space="0" w:color="auto"/>
                                <w:bottom w:val="none" w:sz="0" w:space="0" w:color="auto"/>
                                <w:right w:val="none" w:sz="0" w:space="0" w:color="auto"/>
                              </w:divBdr>
                              <w:divsChild>
                                <w:div w:id="21086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87641">
          <w:marLeft w:val="0"/>
          <w:marRight w:val="0"/>
          <w:marTop w:val="0"/>
          <w:marBottom w:val="0"/>
          <w:divBdr>
            <w:top w:val="none" w:sz="0" w:space="0" w:color="auto"/>
            <w:left w:val="none" w:sz="0" w:space="0" w:color="auto"/>
            <w:bottom w:val="none" w:sz="0" w:space="0" w:color="auto"/>
            <w:right w:val="none" w:sz="0" w:space="0" w:color="auto"/>
          </w:divBdr>
          <w:divsChild>
            <w:div w:id="321811324">
              <w:marLeft w:val="0"/>
              <w:marRight w:val="0"/>
              <w:marTop w:val="0"/>
              <w:marBottom w:val="0"/>
              <w:divBdr>
                <w:top w:val="none" w:sz="0" w:space="0" w:color="auto"/>
                <w:left w:val="none" w:sz="0" w:space="0" w:color="auto"/>
                <w:bottom w:val="none" w:sz="0" w:space="0" w:color="auto"/>
                <w:right w:val="none" w:sz="0" w:space="0" w:color="auto"/>
              </w:divBdr>
              <w:divsChild>
                <w:div w:id="1629818214">
                  <w:marLeft w:val="0"/>
                  <w:marRight w:val="0"/>
                  <w:marTop w:val="0"/>
                  <w:marBottom w:val="0"/>
                  <w:divBdr>
                    <w:top w:val="none" w:sz="0" w:space="0" w:color="auto"/>
                    <w:left w:val="none" w:sz="0" w:space="0" w:color="auto"/>
                    <w:bottom w:val="none" w:sz="0" w:space="0" w:color="auto"/>
                    <w:right w:val="none" w:sz="0" w:space="0" w:color="auto"/>
                  </w:divBdr>
                  <w:divsChild>
                    <w:div w:id="462847435">
                      <w:marLeft w:val="0"/>
                      <w:marRight w:val="0"/>
                      <w:marTop w:val="0"/>
                      <w:marBottom w:val="0"/>
                      <w:divBdr>
                        <w:top w:val="none" w:sz="0" w:space="0" w:color="auto"/>
                        <w:left w:val="none" w:sz="0" w:space="0" w:color="auto"/>
                        <w:bottom w:val="none" w:sz="0" w:space="0" w:color="auto"/>
                        <w:right w:val="none" w:sz="0" w:space="0" w:color="auto"/>
                      </w:divBdr>
                    </w:div>
                    <w:div w:id="2061466909">
                      <w:marLeft w:val="0"/>
                      <w:marRight w:val="0"/>
                      <w:marTop w:val="0"/>
                      <w:marBottom w:val="0"/>
                      <w:divBdr>
                        <w:top w:val="none" w:sz="0" w:space="0" w:color="auto"/>
                        <w:left w:val="none" w:sz="0" w:space="0" w:color="auto"/>
                        <w:bottom w:val="none" w:sz="0" w:space="0" w:color="auto"/>
                        <w:right w:val="none" w:sz="0" w:space="0" w:color="auto"/>
                      </w:divBdr>
                      <w:divsChild>
                        <w:div w:id="1672827586">
                          <w:marLeft w:val="0"/>
                          <w:marRight w:val="0"/>
                          <w:marTop w:val="0"/>
                          <w:marBottom w:val="0"/>
                          <w:divBdr>
                            <w:top w:val="none" w:sz="0" w:space="0" w:color="auto"/>
                            <w:left w:val="none" w:sz="0" w:space="0" w:color="auto"/>
                            <w:bottom w:val="none" w:sz="0" w:space="0" w:color="auto"/>
                            <w:right w:val="none" w:sz="0" w:space="0" w:color="auto"/>
                          </w:divBdr>
                          <w:divsChild>
                            <w:div w:id="848445814">
                              <w:marLeft w:val="0"/>
                              <w:marRight w:val="0"/>
                              <w:marTop w:val="0"/>
                              <w:marBottom w:val="0"/>
                              <w:divBdr>
                                <w:top w:val="none" w:sz="0" w:space="0" w:color="auto"/>
                                <w:left w:val="none" w:sz="0" w:space="0" w:color="auto"/>
                                <w:bottom w:val="none" w:sz="0" w:space="0" w:color="auto"/>
                                <w:right w:val="none" w:sz="0" w:space="0" w:color="auto"/>
                              </w:divBdr>
                              <w:divsChild>
                                <w:div w:id="2022122309">
                                  <w:marLeft w:val="0"/>
                                  <w:marRight w:val="0"/>
                                  <w:marTop w:val="0"/>
                                  <w:marBottom w:val="0"/>
                                  <w:divBdr>
                                    <w:top w:val="none" w:sz="0" w:space="0" w:color="auto"/>
                                    <w:left w:val="none" w:sz="0" w:space="0" w:color="auto"/>
                                    <w:bottom w:val="none" w:sz="0" w:space="0" w:color="auto"/>
                                    <w:right w:val="none" w:sz="0" w:space="0" w:color="auto"/>
                                  </w:divBdr>
                                </w:div>
                              </w:divsChild>
                            </w:div>
                            <w:div w:id="970596751">
                              <w:marLeft w:val="0"/>
                              <w:marRight w:val="0"/>
                              <w:marTop w:val="0"/>
                              <w:marBottom w:val="0"/>
                              <w:divBdr>
                                <w:top w:val="none" w:sz="0" w:space="0" w:color="auto"/>
                                <w:left w:val="none" w:sz="0" w:space="0" w:color="auto"/>
                                <w:bottom w:val="none" w:sz="0" w:space="0" w:color="auto"/>
                                <w:right w:val="none" w:sz="0" w:space="0" w:color="auto"/>
                              </w:divBdr>
                              <w:divsChild>
                                <w:div w:id="2030833940">
                                  <w:marLeft w:val="0"/>
                                  <w:marRight w:val="0"/>
                                  <w:marTop w:val="0"/>
                                  <w:marBottom w:val="0"/>
                                  <w:divBdr>
                                    <w:top w:val="none" w:sz="0" w:space="0" w:color="auto"/>
                                    <w:left w:val="none" w:sz="0" w:space="0" w:color="auto"/>
                                    <w:bottom w:val="none" w:sz="0" w:space="0" w:color="auto"/>
                                    <w:right w:val="none" w:sz="0" w:space="0" w:color="auto"/>
                                  </w:divBdr>
                                </w:div>
                              </w:divsChild>
                            </w:div>
                            <w:div w:id="440760959">
                              <w:marLeft w:val="0"/>
                              <w:marRight w:val="0"/>
                              <w:marTop w:val="0"/>
                              <w:marBottom w:val="0"/>
                              <w:divBdr>
                                <w:top w:val="none" w:sz="0" w:space="0" w:color="auto"/>
                                <w:left w:val="none" w:sz="0" w:space="0" w:color="auto"/>
                                <w:bottom w:val="none" w:sz="0" w:space="0" w:color="auto"/>
                                <w:right w:val="none" w:sz="0" w:space="0" w:color="auto"/>
                              </w:divBdr>
                              <w:divsChild>
                                <w:div w:id="33117748">
                                  <w:marLeft w:val="0"/>
                                  <w:marRight w:val="0"/>
                                  <w:marTop w:val="0"/>
                                  <w:marBottom w:val="0"/>
                                  <w:divBdr>
                                    <w:top w:val="none" w:sz="0" w:space="0" w:color="auto"/>
                                    <w:left w:val="none" w:sz="0" w:space="0" w:color="auto"/>
                                    <w:bottom w:val="none" w:sz="0" w:space="0" w:color="auto"/>
                                    <w:right w:val="none" w:sz="0" w:space="0" w:color="auto"/>
                                  </w:divBdr>
                                </w:div>
                              </w:divsChild>
                            </w:div>
                            <w:div w:id="696463758">
                              <w:marLeft w:val="0"/>
                              <w:marRight w:val="0"/>
                              <w:marTop w:val="0"/>
                              <w:marBottom w:val="0"/>
                              <w:divBdr>
                                <w:top w:val="none" w:sz="0" w:space="0" w:color="auto"/>
                                <w:left w:val="none" w:sz="0" w:space="0" w:color="auto"/>
                                <w:bottom w:val="none" w:sz="0" w:space="0" w:color="auto"/>
                                <w:right w:val="none" w:sz="0" w:space="0" w:color="auto"/>
                              </w:divBdr>
                              <w:divsChild>
                                <w:div w:id="2133548336">
                                  <w:marLeft w:val="0"/>
                                  <w:marRight w:val="0"/>
                                  <w:marTop w:val="0"/>
                                  <w:marBottom w:val="0"/>
                                  <w:divBdr>
                                    <w:top w:val="none" w:sz="0" w:space="0" w:color="auto"/>
                                    <w:left w:val="none" w:sz="0" w:space="0" w:color="auto"/>
                                    <w:bottom w:val="none" w:sz="0" w:space="0" w:color="auto"/>
                                    <w:right w:val="none" w:sz="0" w:space="0" w:color="auto"/>
                                  </w:divBdr>
                                </w:div>
                              </w:divsChild>
                            </w:div>
                            <w:div w:id="1999454950">
                              <w:marLeft w:val="0"/>
                              <w:marRight w:val="0"/>
                              <w:marTop w:val="0"/>
                              <w:marBottom w:val="0"/>
                              <w:divBdr>
                                <w:top w:val="none" w:sz="0" w:space="0" w:color="auto"/>
                                <w:left w:val="none" w:sz="0" w:space="0" w:color="auto"/>
                                <w:bottom w:val="none" w:sz="0" w:space="0" w:color="auto"/>
                                <w:right w:val="none" w:sz="0" w:space="0" w:color="auto"/>
                              </w:divBdr>
                              <w:divsChild>
                                <w:div w:id="763694501">
                                  <w:marLeft w:val="0"/>
                                  <w:marRight w:val="0"/>
                                  <w:marTop w:val="0"/>
                                  <w:marBottom w:val="0"/>
                                  <w:divBdr>
                                    <w:top w:val="none" w:sz="0" w:space="0" w:color="auto"/>
                                    <w:left w:val="none" w:sz="0" w:space="0" w:color="auto"/>
                                    <w:bottom w:val="none" w:sz="0" w:space="0" w:color="auto"/>
                                    <w:right w:val="none" w:sz="0" w:space="0" w:color="auto"/>
                                  </w:divBdr>
                                </w:div>
                              </w:divsChild>
                            </w:div>
                            <w:div w:id="1064178662">
                              <w:marLeft w:val="0"/>
                              <w:marRight w:val="0"/>
                              <w:marTop w:val="0"/>
                              <w:marBottom w:val="0"/>
                              <w:divBdr>
                                <w:top w:val="none" w:sz="0" w:space="0" w:color="auto"/>
                                <w:left w:val="none" w:sz="0" w:space="0" w:color="auto"/>
                                <w:bottom w:val="none" w:sz="0" w:space="0" w:color="auto"/>
                                <w:right w:val="none" w:sz="0" w:space="0" w:color="auto"/>
                              </w:divBdr>
                              <w:divsChild>
                                <w:div w:id="249704756">
                                  <w:marLeft w:val="0"/>
                                  <w:marRight w:val="0"/>
                                  <w:marTop w:val="0"/>
                                  <w:marBottom w:val="0"/>
                                  <w:divBdr>
                                    <w:top w:val="none" w:sz="0" w:space="0" w:color="auto"/>
                                    <w:left w:val="none" w:sz="0" w:space="0" w:color="auto"/>
                                    <w:bottom w:val="none" w:sz="0" w:space="0" w:color="auto"/>
                                    <w:right w:val="none" w:sz="0" w:space="0" w:color="auto"/>
                                  </w:divBdr>
                                </w:div>
                              </w:divsChild>
                            </w:div>
                            <w:div w:id="2071659172">
                              <w:marLeft w:val="0"/>
                              <w:marRight w:val="0"/>
                              <w:marTop w:val="0"/>
                              <w:marBottom w:val="0"/>
                              <w:divBdr>
                                <w:top w:val="none" w:sz="0" w:space="0" w:color="auto"/>
                                <w:left w:val="none" w:sz="0" w:space="0" w:color="auto"/>
                                <w:bottom w:val="none" w:sz="0" w:space="0" w:color="auto"/>
                                <w:right w:val="none" w:sz="0" w:space="0" w:color="auto"/>
                              </w:divBdr>
                              <w:divsChild>
                                <w:div w:id="1841391393">
                                  <w:marLeft w:val="0"/>
                                  <w:marRight w:val="0"/>
                                  <w:marTop w:val="0"/>
                                  <w:marBottom w:val="0"/>
                                  <w:divBdr>
                                    <w:top w:val="none" w:sz="0" w:space="0" w:color="auto"/>
                                    <w:left w:val="none" w:sz="0" w:space="0" w:color="auto"/>
                                    <w:bottom w:val="none" w:sz="0" w:space="0" w:color="auto"/>
                                    <w:right w:val="none" w:sz="0" w:space="0" w:color="auto"/>
                                  </w:divBdr>
                                </w:div>
                              </w:divsChild>
                            </w:div>
                            <w:div w:id="645933055">
                              <w:marLeft w:val="0"/>
                              <w:marRight w:val="0"/>
                              <w:marTop w:val="0"/>
                              <w:marBottom w:val="0"/>
                              <w:divBdr>
                                <w:top w:val="none" w:sz="0" w:space="0" w:color="auto"/>
                                <w:left w:val="none" w:sz="0" w:space="0" w:color="auto"/>
                                <w:bottom w:val="none" w:sz="0" w:space="0" w:color="auto"/>
                                <w:right w:val="none" w:sz="0" w:space="0" w:color="auto"/>
                              </w:divBdr>
                              <w:divsChild>
                                <w:div w:id="1231428464">
                                  <w:marLeft w:val="0"/>
                                  <w:marRight w:val="0"/>
                                  <w:marTop w:val="0"/>
                                  <w:marBottom w:val="0"/>
                                  <w:divBdr>
                                    <w:top w:val="none" w:sz="0" w:space="0" w:color="auto"/>
                                    <w:left w:val="none" w:sz="0" w:space="0" w:color="auto"/>
                                    <w:bottom w:val="none" w:sz="0" w:space="0" w:color="auto"/>
                                    <w:right w:val="none" w:sz="0" w:space="0" w:color="auto"/>
                                  </w:divBdr>
                                </w:div>
                              </w:divsChild>
                            </w:div>
                            <w:div w:id="1362590598">
                              <w:marLeft w:val="0"/>
                              <w:marRight w:val="0"/>
                              <w:marTop w:val="0"/>
                              <w:marBottom w:val="0"/>
                              <w:divBdr>
                                <w:top w:val="none" w:sz="0" w:space="0" w:color="auto"/>
                                <w:left w:val="none" w:sz="0" w:space="0" w:color="auto"/>
                                <w:bottom w:val="none" w:sz="0" w:space="0" w:color="auto"/>
                                <w:right w:val="none" w:sz="0" w:space="0" w:color="auto"/>
                              </w:divBdr>
                              <w:divsChild>
                                <w:div w:id="19575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281829">
          <w:marLeft w:val="0"/>
          <w:marRight w:val="0"/>
          <w:marTop w:val="0"/>
          <w:marBottom w:val="0"/>
          <w:divBdr>
            <w:top w:val="none" w:sz="0" w:space="0" w:color="auto"/>
            <w:left w:val="none" w:sz="0" w:space="0" w:color="auto"/>
            <w:bottom w:val="none" w:sz="0" w:space="0" w:color="auto"/>
            <w:right w:val="none" w:sz="0" w:space="0" w:color="auto"/>
          </w:divBdr>
          <w:divsChild>
            <w:div w:id="1813911857">
              <w:marLeft w:val="0"/>
              <w:marRight w:val="0"/>
              <w:marTop w:val="0"/>
              <w:marBottom w:val="0"/>
              <w:divBdr>
                <w:top w:val="none" w:sz="0" w:space="0" w:color="auto"/>
                <w:left w:val="none" w:sz="0" w:space="0" w:color="auto"/>
                <w:bottom w:val="none" w:sz="0" w:space="0" w:color="auto"/>
                <w:right w:val="none" w:sz="0" w:space="0" w:color="auto"/>
              </w:divBdr>
              <w:divsChild>
                <w:div w:id="825321679">
                  <w:marLeft w:val="0"/>
                  <w:marRight w:val="0"/>
                  <w:marTop w:val="0"/>
                  <w:marBottom w:val="0"/>
                  <w:divBdr>
                    <w:top w:val="none" w:sz="0" w:space="0" w:color="auto"/>
                    <w:left w:val="none" w:sz="0" w:space="0" w:color="auto"/>
                    <w:bottom w:val="none" w:sz="0" w:space="0" w:color="auto"/>
                    <w:right w:val="none" w:sz="0" w:space="0" w:color="auto"/>
                  </w:divBdr>
                  <w:divsChild>
                    <w:div w:id="1053501503">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sChild>
                        <w:div w:id="1675642301">
                          <w:marLeft w:val="0"/>
                          <w:marRight w:val="0"/>
                          <w:marTop w:val="0"/>
                          <w:marBottom w:val="0"/>
                          <w:divBdr>
                            <w:top w:val="none" w:sz="0" w:space="0" w:color="auto"/>
                            <w:left w:val="none" w:sz="0" w:space="0" w:color="auto"/>
                            <w:bottom w:val="none" w:sz="0" w:space="0" w:color="auto"/>
                            <w:right w:val="none" w:sz="0" w:space="0" w:color="auto"/>
                          </w:divBdr>
                          <w:divsChild>
                            <w:div w:id="455832892">
                              <w:marLeft w:val="0"/>
                              <w:marRight w:val="0"/>
                              <w:marTop w:val="0"/>
                              <w:marBottom w:val="0"/>
                              <w:divBdr>
                                <w:top w:val="none" w:sz="0" w:space="0" w:color="auto"/>
                                <w:left w:val="none" w:sz="0" w:space="0" w:color="auto"/>
                                <w:bottom w:val="none" w:sz="0" w:space="0" w:color="auto"/>
                                <w:right w:val="none" w:sz="0" w:space="0" w:color="auto"/>
                              </w:divBdr>
                              <w:divsChild>
                                <w:div w:id="114256737">
                                  <w:marLeft w:val="0"/>
                                  <w:marRight w:val="0"/>
                                  <w:marTop w:val="0"/>
                                  <w:marBottom w:val="0"/>
                                  <w:divBdr>
                                    <w:top w:val="none" w:sz="0" w:space="0" w:color="auto"/>
                                    <w:left w:val="none" w:sz="0" w:space="0" w:color="auto"/>
                                    <w:bottom w:val="none" w:sz="0" w:space="0" w:color="auto"/>
                                    <w:right w:val="none" w:sz="0" w:space="0" w:color="auto"/>
                                  </w:divBdr>
                                </w:div>
                              </w:divsChild>
                            </w:div>
                            <w:div w:id="387463081">
                              <w:marLeft w:val="0"/>
                              <w:marRight w:val="0"/>
                              <w:marTop w:val="0"/>
                              <w:marBottom w:val="0"/>
                              <w:divBdr>
                                <w:top w:val="none" w:sz="0" w:space="0" w:color="auto"/>
                                <w:left w:val="none" w:sz="0" w:space="0" w:color="auto"/>
                                <w:bottom w:val="none" w:sz="0" w:space="0" w:color="auto"/>
                                <w:right w:val="none" w:sz="0" w:space="0" w:color="auto"/>
                              </w:divBdr>
                              <w:divsChild>
                                <w:div w:id="7256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54766801&amp;originatingDoc=Ia83988ccbc9a11ebbea4f0dc9fb69570&amp;refType=RQ&amp;originationContext=document&amp;transitionType=DocumentItem&amp;ppcid=e6127a2597a742ffb9be5fba563e9851&amp;contextData=(sc.Default)&amp;analyticGuid=Ia83988ccbc9a11ebbea4f0dc9fb69570" TargetMode="External"/><Relationship Id="rId13" Type="http://schemas.openxmlformats.org/officeDocument/2006/relationships/hyperlink" Target="https://1.next.westlaw.com/Link/Document/FullText?findType=h&amp;pubNum=176284&amp;cite=0301239401&amp;originatingDoc=Ia83988ccbc9a11ebbea4f0dc9fb69570&amp;refType=RQ&amp;originationContext=document&amp;transitionType=DocumentItem&amp;ppcid=e6127a2597a742ffb9be5fba563e9851&amp;contextData=(sc.Default)&amp;analyticGuid=Ia83988ccbc9a11ebbea4f0dc9fb69570" TargetMode="External"/><Relationship Id="rId18" Type="http://schemas.openxmlformats.org/officeDocument/2006/relationships/hyperlink" Target="https://1.next.westlaw.com/Link/Document/FullText?findType=Y&amp;serNum=1992116314&amp;pubNum=0000780&amp;originatingDoc=Ia83988ccbc9a11ebbea4f0dc9fb69570&amp;refType=RP&amp;originationContext=document&amp;transitionType=DocumentItem&amp;ppcid=e6127a2597a742ffb9be5fba563e9851&amp;contextData=(sc.Default)"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301239401&amp;originatingDoc=Ia83988ccbc9a11ebbea4f0dc9fb69570&amp;refType=RQ&amp;originationContext=document&amp;transitionType=DocumentItem&amp;ppcid=e6127a2597a742ffb9be5fba563e9851&amp;contextData=(sc.Default)&amp;analyticGuid=Ia83988ccbc9a11ebbea4f0dc9fb69570" TargetMode="External"/><Relationship Id="rId12" Type="http://schemas.openxmlformats.org/officeDocument/2006/relationships/hyperlink" Target="https://1.next.westlaw.com/Link/Document/FullText?findType=h&amp;pubNum=176284&amp;cite=0254766801&amp;originatingDoc=Ia83988ccbc9a11ebbea4f0dc9fb69570&amp;refType=RQ&amp;originationContext=document&amp;transitionType=DocumentItem&amp;ppcid=e6127a2597a742ffb9be5fba563e9851&amp;contextData=(sc.Default)&amp;analyticGuid=Ia83988ccbc9a11ebbea4f0dc9fb69570" TargetMode="External"/><Relationship Id="rId17" Type="http://schemas.openxmlformats.org/officeDocument/2006/relationships/hyperlink" Target="https://1.next.westlaw.com/Link/Document/FullText?findType=Y&amp;serNum=1973126316&amp;pubNum=0000780&amp;originatingDoc=Ia83988ccbc9a11ebbea4f0dc9fb69570&amp;refType=RP&amp;originationContext=document&amp;transitionType=DocumentItem&amp;ppcid=e6127a2597a742ffb9be5fba563e9851&amp;contextData=(sc.Default)" TargetMode="External"/><Relationship Id="rId2" Type="http://schemas.openxmlformats.org/officeDocument/2006/relationships/settings" Target="settings.xml"/><Relationship Id="rId16" Type="http://schemas.openxmlformats.org/officeDocument/2006/relationships/hyperlink" Target="https://1.next.westlaw.com/Link/Document/FullText?findType=h&amp;pubNum=176284&amp;cite=0145172701&amp;originatingDoc=Ia83988ccbc9a11ebbea4f0dc9fb69570&amp;refType=RQ&amp;originationContext=document&amp;transitionType=DocumentItem&amp;ppcid=e6127a2597a742ffb9be5fba563e9851&amp;contextData=(sc.Default)&amp;analyticGuid=Ia83988ccbc9a11ebbea4f0dc9fb6957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next.westlaw.com/Link/Document/FullText?findType=h&amp;pubNum=176284&amp;cite=0254766801&amp;originatingDoc=Ia83988ccbc9a11ebbea4f0dc9fb69570&amp;refType=RQ&amp;originationContext=document&amp;transitionType=DocumentItem&amp;ppcid=e6127a2597a742ffb9be5fba563e9851&amp;contextData=(sc.Default)&amp;analyticGuid=Ia83988ccbc9a11ebbea4f0dc9fb69570" TargetMode="External"/><Relationship Id="rId11" Type="http://schemas.openxmlformats.org/officeDocument/2006/relationships/hyperlink" Target="https://1.next.westlaw.com/Link/Document/FullText?findType=h&amp;pubNum=176284&amp;cite=0145172701&amp;originatingDoc=Ia83988ccbc9a11ebbea4f0dc9fb69570&amp;refType=RQ&amp;originationContext=document&amp;transitionType=DocumentItem&amp;ppcid=e6127a2597a742ffb9be5fba563e9851&amp;contextData=(sc.Default)&amp;analyticGuid=Ia83988ccbc9a11ebbea4f0dc9fb69570" TargetMode="External"/><Relationship Id="rId5" Type="http://schemas.openxmlformats.org/officeDocument/2006/relationships/hyperlink" Target="https://1.next.westlaw.com/Link/Document/FullText?findType=h&amp;pubNum=176284&amp;cite=0258116001&amp;originatingDoc=Ia83988ccbc9a11ebbea4f0dc9fb69570&amp;refType=RQ&amp;originationContext=document&amp;transitionType=DocumentItem&amp;ppcid=e6127a2597a742ffb9be5fba563e9851&amp;contextData=(sc.Default)&amp;analyticGuid=Ia83988ccbc9a11ebbea4f0dc9fb69570" TargetMode="External"/><Relationship Id="rId15" Type="http://schemas.openxmlformats.org/officeDocument/2006/relationships/hyperlink" Target="https://1.next.westlaw.com/Link/Document/FullText?findType=h&amp;pubNum=176284&amp;cite=0254766801&amp;originatingDoc=Ia83988ccbc9a11ebbea4f0dc9fb69570&amp;refType=RQ&amp;originationContext=document&amp;transitionType=DocumentItem&amp;ppcid=e6127a2597a742ffb9be5fba563e9851&amp;contextData=(sc.Default)&amp;analyticGuid=Ia83988ccbc9a11ebbea4f0dc9fb69570" TargetMode="External"/><Relationship Id="rId10" Type="http://schemas.openxmlformats.org/officeDocument/2006/relationships/hyperlink" Target="https://1.next.westlaw.com/Link/Document/FullText?findType=h&amp;pubNum=176284&amp;cite=0301239401&amp;originatingDoc=Ia83988ccbc9a11ebbea4f0dc9fb69570&amp;refType=RQ&amp;originationContext=document&amp;transitionType=DocumentItem&amp;ppcid=e6127a2597a742ffb9be5fba563e9851&amp;contextData=(sc.Default)&amp;analyticGuid=Ia83988ccbc9a11ebbea4f0dc9fb69570" TargetMode="External"/><Relationship Id="rId19" Type="http://schemas.openxmlformats.org/officeDocument/2006/relationships/fontTable" Target="fontTable.xml"/><Relationship Id="rId4" Type="http://schemas.openxmlformats.org/officeDocument/2006/relationships/hyperlink" Target="https://1.next.westlaw.com/Link/Document/FullText?findType=h&amp;pubNum=176284&amp;cite=0153052401&amp;originatingDoc=Ia83988ccbc9a11ebbea4f0dc9fb69570&amp;refType=RQ&amp;originationContext=document&amp;transitionType=DocumentItem&amp;ppcid=e6127a2597a742ffb9be5fba563e9851&amp;contextData=(sc.Default)&amp;analyticGuid=Ia83988ccbc9a11ebbea4f0dc9fb69570" TargetMode="External"/><Relationship Id="rId9" Type="http://schemas.openxmlformats.org/officeDocument/2006/relationships/hyperlink" Target="https://1.next.westlaw.com/Link/Document/FullText?findType=h&amp;pubNum=176284&amp;cite=0145172701&amp;originatingDoc=Ia83988ccbc9a11ebbea4f0dc9fb69570&amp;refType=RQ&amp;originationContext=document&amp;transitionType=DocumentItem&amp;ppcid=e6127a2597a742ffb9be5fba563e9851&amp;contextData=(sc.Default)&amp;analyticGuid=Ia83988ccbc9a11ebbea4f0dc9fb69570" TargetMode="External"/><Relationship Id="rId14" Type="http://schemas.openxmlformats.org/officeDocument/2006/relationships/hyperlink" Target="https://1.next.westlaw.com/Link/Document/FullText?findType=h&amp;pubNum=176284&amp;cite=0301239401&amp;originatingDoc=Ia83988ccbc9a11ebbea4f0dc9fb69570&amp;refType=RQ&amp;originationContext=document&amp;transitionType=DocumentItem&amp;ppcid=e6127a2597a742ffb9be5fba563e9851&amp;contextData=(sc.Default)&amp;analyticGuid=Ia83988ccbc9a11ebbea4f0dc9fb69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Felix Torres</cp:lastModifiedBy>
  <cp:revision>6</cp:revision>
  <dcterms:created xsi:type="dcterms:W3CDTF">2022-07-01T11:28:00Z</dcterms:created>
  <dcterms:modified xsi:type="dcterms:W3CDTF">2023-01-26T21:04:00Z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2023-01-26T20:39:42Z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4c0d8e6c-ad89-4034-b686-05dcfde1f34d</vt:lpwstr>
  </property>
  <property fmtid="{D5CDD505-2E9C-101B-9397-08002B2CF9AE}" pid="8" name="MSIP_Label_be5cb09a-2992-49d6-8ac9-5f63e7b1ad2f_ContentBits">
    <vt:lpwstr>0</vt:lpwstr>
  </property>
</Properties>
</file>