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28F1" w14:textId="77777777" w:rsidR="00101523" w:rsidRPr="007C534B" w:rsidRDefault="00101523" w:rsidP="00101523">
      <w:pPr>
        <w:jc w:val="center"/>
        <w:rPr>
          <w:rFonts w:ascii="Palatino Linotype" w:hAnsi="Palatino Linotype" w:cs="Calibri"/>
          <w:sz w:val="20"/>
          <w:szCs w:val="20"/>
        </w:rPr>
      </w:pPr>
      <w:r w:rsidRPr="007C534B">
        <w:rPr>
          <w:rFonts w:ascii="Palatino Linotype" w:hAnsi="Palatino Linotype" w:cs="Calibri"/>
          <w:sz w:val="20"/>
          <w:szCs w:val="20"/>
        </w:rPr>
        <w:t>AMERICAN CONSTITUTIONALISM</w:t>
      </w:r>
    </w:p>
    <w:p w14:paraId="77978E4C" w14:textId="204628A1" w:rsidR="00101523" w:rsidRPr="007C534B" w:rsidRDefault="00101523" w:rsidP="00101523">
      <w:pPr>
        <w:jc w:val="center"/>
        <w:rPr>
          <w:rFonts w:ascii="Palatino Linotype" w:hAnsi="Palatino Linotype" w:cs="Calibri"/>
          <w:sz w:val="20"/>
          <w:szCs w:val="20"/>
        </w:rPr>
      </w:pPr>
      <w:r w:rsidRPr="007C534B">
        <w:rPr>
          <w:rFonts w:ascii="Palatino Linotype" w:hAnsi="Palatino Linotype" w:cs="Calibri"/>
          <w:sz w:val="20"/>
          <w:szCs w:val="20"/>
        </w:rPr>
        <w:t xml:space="preserve">VOLUME </w:t>
      </w:r>
      <w:r w:rsidR="00393A7B" w:rsidRPr="007C534B">
        <w:rPr>
          <w:rFonts w:ascii="Palatino Linotype" w:hAnsi="Palatino Linotype" w:cs="Calibri"/>
          <w:sz w:val="20"/>
          <w:szCs w:val="20"/>
        </w:rPr>
        <w:t>I</w:t>
      </w:r>
      <w:r w:rsidRPr="007C534B">
        <w:rPr>
          <w:rFonts w:ascii="Palatino Linotype" w:hAnsi="Palatino Linotype" w:cs="Calibri"/>
          <w:sz w:val="20"/>
          <w:szCs w:val="20"/>
        </w:rPr>
        <w:t xml:space="preserve">:  </w:t>
      </w:r>
      <w:r w:rsidR="00B155B1" w:rsidRPr="007C534B">
        <w:rPr>
          <w:rFonts w:ascii="Palatino Linotype" w:hAnsi="Palatino Linotype" w:cs="Calibri"/>
          <w:sz w:val="20"/>
          <w:szCs w:val="20"/>
        </w:rPr>
        <w:t>STRUCTURES AND POWERS</w:t>
      </w:r>
    </w:p>
    <w:p w14:paraId="0C3AF76B" w14:textId="77777777" w:rsidR="00101523" w:rsidRPr="007C534B" w:rsidRDefault="00101523" w:rsidP="00101523">
      <w:pPr>
        <w:jc w:val="center"/>
        <w:rPr>
          <w:rFonts w:ascii="Palatino Linotype" w:hAnsi="Palatino Linotype" w:cs="Calibri"/>
          <w:sz w:val="20"/>
          <w:szCs w:val="20"/>
        </w:rPr>
      </w:pPr>
      <w:r w:rsidRPr="007C534B">
        <w:rPr>
          <w:rFonts w:ascii="Palatino Linotype" w:hAnsi="Palatino Linotype" w:cs="Calibri"/>
          <w:sz w:val="20"/>
          <w:szCs w:val="20"/>
        </w:rPr>
        <w:t>Howard Gillman • Mark A. Graber • Keith E. Whittington</w:t>
      </w:r>
    </w:p>
    <w:p w14:paraId="4D327672" w14:textId="77777777" w:rsidR="00101523" w:rsidRPr="007C534B" w:rsidRDefault="00101523" w:rsidP="00101523">
      <w:pPr>
        <w:jc w:val="center"/>
        <w:rPr>
          <w:rFonts w:ascii="Palatino Linotype" w:hAnsi="Palatino Linotype" w:cs="Calibri"/>
          <w:sz w:val="20"/>
          <w:szCs w:val="20"/>
        </w:rPr>
      </w:pPr>
    </w:p>
    <w:p w14:paraId="23F6E48F" w14:textId="77777777" w:rsidR="00101523" w:rsidRPr="007C534B" w:rsidRDefault="00101523" w:rsidP="00101523">
      <w:pPr>
        <w:jc w:val="center"/>
        <w:rPr>
          <w:rFonts w:ascii="Palatino Linotype" w:hAnsi="Palatino Linotype" w:cs="Calibri"/>
          <w:sz w:val="20"/>
          <w:szCs w:val="20"/>
        </w:rPr>
      </w:pPr>
      <w:r w:rsidRPr="007C534B">
        <w:rPr>
          <w:rFonts w:ascii="Palatino Linotype" w:hAnsi="Palatino Linotype" w:cs="Calibri"/>
          <w:sz w:val="20"/>
          <w:szCs w:val="20"/>
        </w:rPr>
        <w:t>Supplementary Material</w:t>
      </w:r>
    </w:p>
    <w:p w14:paraId="51AB0010" w14:textId="77777777" w:rsidR="00101523" w:rsidRPr="007C534B" w:rsidRDefault="00101523" w:rsidP="00101523">
      <w:pPr>
        <w:jc w:val="center"/>
        <w:rPr>
          <w:rFonts w:ascii="Palatino Linotype" w:hAnsi="Palatino Linotype" w:cs="Calibri"/>
          <w:sz w:val="20"/>
          <w:szCs w:val="20"/>
        </w:rPr>
      </w:pPr>
    </w:p>
    <w:p w14:paraId="282E55E8" w14:textId="0559D099" w:rsidR="00101523" w:rsidRPr="007C534B" w:rsidRDefault="00EE2339" w:rsidP="00101523">
      <w:pPr>
        <w:jc w:val="center"/>
        <w:rPr>
          <w:rFonts w:ascii="Palatino Linotype" w:hAnsi="Palatino Linotype" w:cs="Calibri"/>
          <w:sz w:val="20"/>
          <w:szCs w:val="20"/>
        </w:rPr>
      </w:pPr>
      <w:r w:rsidRPr="007C534B">
        <w:rPr>
          <w:rFonts w:ascii="Palatino Linotype" w:hAnsi="Palatino Linotype" w:cs="Calibri"/>
          <w:sz w:val="20"/>
          <w:szCs w:val="20"/>
        </w:rPr>
        <w:t xml:space="preserve">Chapter </w:t>
      </w:r>
      <w:r w:rsidR="00B155B1" w:rsidRPr="007C534B">
        <w:rPr>
          <w:rFonts w:ascii="Palatino Linotype" w:hAnsi="Palatino Linotype" w:cs="Calibri"/>
          <w:sz w:val="20"/>
          <w:szCs w:val="20"/>
        </w:rPr>
        <w:t>12</w:t>
      </w:r>
      <w:r w:rsidR="00101523" w:rsidRPr="007C534B">
        <w:rPr>
          <w:rFonts w:ascii="Palatino Linotype" w:hAnsi="Palatino Linotype" w:cs="Calibri"/>
          <w:sz w:val="20"/>
          <w:szCs w:val="20"/>
        </w:rPr>
        <w:t xml:space="preserve">:  </w:t>
      </w:r>
      <w:r w:rsidR="00F53FD4" w:rsidRPr="007C534B">
        <w:rPr>
          <w:rFonts w:ascii="Palatino Linotype" w:hAnsi="Palatino Linotype" w:cs="Calibri"/>
          <w:sz w:val="20"/>
          <w:szCs w:val="20"/>
        </w:rPr>
        <w:t xml:space="preserve">The </w:t>
      </w:r>
      <w:r w:rsidR="00B155B1" w:rsidRPr="007C534B">
        <w:rPr>
          <w:rFonts w:ascii="Palatino Linotype" w:hAnsi="Palatino Linotype" w:cs="Calibri"/>
          <w:sz w:val="20"/>
          <w:szCs w:val="20"/>
        </w:rPr>
        <w:t xml:space="preserve">Contemporary </w:t>
      </w:r>
      <w:r w:rsidR="00F53FD4" w:rsidRPr="007C534B">
        <w:rPr>
          <w:rFonts w:ascii="Palatino Linotype" w:hAnsi="Palatino Linotype" w:cs="Calibri"/>
          <w:sz w:val="20"/>
          <w:szCs w:val="20"/>
        </w:rPr>
        <w:t>Era</w:t>
      </w:r>
      <w:r w:rsidR="00101523" w:rsidRPr="007C534B">
        <w:rPr>
          <w:rFonts w:ascii="Palatino Linotype" w:hAnsi="Palatino Linotype" w:cs="Calibri"/>
          <w:sz w:val="20"/>
          <w:szCs w:val="20"/>
        </w:rPr>
        <w:t xml:space="preserve"> – </w:t>
      </w:r>
      <w:r w:rsidR="00E57089" w:rsidRPr="007C534B">
        <w:rPr>
          <w:rFonts w:ascii="Palatino Linotype" w:hAnsi="Palatino Linotype" w:cs="Calibri"/>
          <w:sz w:val="20"/>
          <w:szCs w:val="20"/>
        </w:rPr>
        <w:t>Judicial Power and Constitutional Authority/Judicial Structure and Selection</w:t>
      </w:r>
    </w:p>
    <w:p w14:paraId="14A274EF" w14:textId="77777777" w:rsidR="00101523" w:rsidRPr="007C534B" w:rsidRDefault="00101523" w:rsidP="00101523">
      <w:pPr>
        <w:jc w:val="center"/>
        <w:rPr>
          <w:rFonts w:ascii="Palatino Linotype" w:hAnsi="Palatino Linotype" w:cs="Calibri"/>
          <w:sz w:val="20"/>
          <w:szCs w:val="20"/>
        </w:rPr>
      </w:pPr>
    </w:p>
    <w:p w14:paraId="376CAB86" w14:textId="77777777" w:rsidR="00101523" w:rsidRPr="007C534B" w:rsidRDefault="00101523" w:rsidP="00101523">
      <w:pPr>
        <w:jc w:val="both"/>
        <w:rPr>
          <w:rFonts w:ascii="Palatino Linotype" w:hAnsi="Palatino Linotype" w:cs="Calibri"/>
          <w:sz w:val="20"/>
          <w:szCs w:val="20"/>
        </w:rPr>
      </w:pPr>
    </w:p>
    <w:p w14:paraId="5EFCFE15" w14:textId="77777777" w:rsidR="000E2F1A" w:rsidRPr="007C534B" w:rsidRDefault="007C534B">
      <w:pPr>
        <w:rPr>
          <w:rFonts w:ascii="Palatino Linotype" w:hAnsi="Palatino Linotype" w:cs="Calibri"/>
          <w:sz w:val="20"/>
          <w:szCs w:val="20"/>
        </w:rPr>
      </w:pPr>
      <w:r w:rsidRPr="007C534B">
        <w:rPr>
          <w:rFonts w:ascii="Palatino Linotype" w:hAnsi="Palatino Linotype" w:cs="Calibri"/>
          <w:sz w:val="20"/>
          <w:szCs w:val="20"/>
        </w:rPr>
        <w:pict w14:anchorId="16C402A0">
          <v:rect id="_x0000_i1025" style="width:468pt;height:1.5pt" o:hralign="center" o:hrstd="t" o:hrnoshade="t" o:hr="t" fillcolor="black [3213]" stroked="f"/>
        </w:pict>
      </w:r>
    </w:p>
    <w:p w14:paraId="2AAC53A2" w14:textId="2A5ABF7A" w:rsidR="00BE396A" w:rsidRPr="007C534B" w:rsidRDefault="00D57EDE" w:rsidP="000E2F1A">
      <w:pPr>
        <w:jc w:val="center"/>
        <w:rPr>
          <w:rFonts w:ascii="Palatino Linotype" w:hAnsi="Palatino Linotype" w:cs="Calibri"/>
          <w:sz w:val="20"/>
          <w:szCs w:val="20"/>
        </w:rPr>
      </w:pPr>
      <w:r w:rsidRPr="007C534B">
        <w:rPr>
          <w:rFonts w:ascii="Palatino Linotype" w:hAnsi="Palatino Linotype" w:cs="Calibri"/>
          <w:b/>
          <w:sz w:val="20"/>
          <w:szCs w:val="20"/>
        </w:rPr>
        <w:t>Presidential Commission on the Supreme Court of the United States</w:t>
      </w:r>
      <w:r w:rsidR="000A0C99" w:rsidRPr="007C534B">
        <w:rPr>
          <w:rFonts w:ascii="Palatino Linotype" w:hAnsi="Palatino Linotype" w:cs="Calibri"/>
          <w:b/>
          <w:sz w:val="20"/>
          <w:szCs w:val="20"/>
        </w:rPr>
        <w:t>, Final Report</w:t>
      </w:r>
      <w:r w:rsidR="001246B5" w:rsidRPr="007C534B">
        <w:rPr>
          <w:rFonts w:ascii="Palatino Linotype" w:hAnsi="Palatino Linotype" w:cs="Calibri"/>
          <w:sz w:val="20"/>
          <w:szCs w:val="20"/>
        </w:rPr>
        <w:t xml:space="preserve"> (</w:t>
      </w:r>
      <w:r w:rsidR="004A498D" w:rsidRPr="007C534B">
        <w:rPr>
          <w:rFonts w:ascii="Palatino Linotype" w:hAnsi="Palatino Linotype" w:cs="Calibri"/>
          <w:sz w:val="20"/>
          <w:szCs w:val="20"/>
        </w:rPr>
        <w:t>202</w:t>
      </w:r>
      <w:r w:rsidRPr="007C534B">
        <w:rPr>
          <w:rFonts w:ascii="Palatino Linotype" w:hAnsi="Palatino Linotype" w:cs="Calibri"/>
          <w:sz w:val="20"/>
          <w:szCs w:val="20"/>
        </w:rPr>
        <w:t>1</w:t>
      </w:r>
      <w:r w:rsidR="000E2F1A" w:rsidRPr="007C534B">
        <w:rPr>
          <w:rFonts w:ascii="Palatino Linotype" w:hAnsi="Palatino Linotype" w:cs="Calibri"/>
          <w:sz w:val="20"/>
          <w:szCs w:val="20"/>
        </w:rPr>
        <w:t>)</w:t>
      </w:r>
      <w:r w:rsidR="00E57089" w:rsidRPr="007C534B">
        <w:rPr>
          <w:rStyle w:val="FootnoteReference"/>
          <w:rFonts w:ascii="Palatino Linotype" w:hAnsi="Palatino Linotype" w:cs="Calibri"/>
          <w:sz w:val="20"/>
          <w:szCs w:val="20"/>
        </w:rPr>
        <w:footnoteReference w:id="1"/>
      </w:r>
    </w:p>
    <w:p w14:paraId="301125D3" w14:textId="77777777" w:rsidR="000E2F1A" w:rsidRPr="007C534B" w:rsidRDefault="007C534B">
      <w:pPr>
        <w:rPr>
          <w:rFonts w:ascii="Palatino Linotype" w:hAnsi="Palatino Linotype" w:cs="Calibri"/>
          <w:sz w:val="20"/>
          <w:szCs w:val="20"/>
        </w:rPr>
      </w:pPr>
      <w:r w:rsidRPr="007C534B">
        <w:rPr>
          <w:rFonts w:ascii="Palatino Linotype" w:hAnsi="Palatino Linotype" w:cs="Calibri"/>
          <w:sz w:val="20"/>
          <w:szCs w:val="20"/>
        </w:rPr>
        <w:pict w14:anchorId="78A5808C">
          <v:rect id="_x0000_i1026" style="width:468pt;height:1.5pt" o:hralign="center" o:hrstd="t" o:hrnoshade="t" o:hr="t" fillcolor="black [3213]" stroked="f"/>
        </w:pict>
      </w:r>
    </w:p>
    <w:p w14:paraId="1CE4DD6E" w14:textId="77777777" w:rsidR="000E2F1A" w:rsidRPr="007C534B" w:rsidRDefault="000E2F1A">
      <w:pPr>
        <w:rPr>
          <w:rFonts w:ascii="Palatino Linotype" w:hAnsi="Palatino Linotype" w:cs="Calibri"/>
          <w:sz w:val="20"/>
          <w:szCs w:val="20"/>
        </w:rPr>
      </w:pPr>
    </w:p>
    <w:p w14:paraId="3474B94E" w14:textId="0B46F96C" w:rsidR="000169F6" w:rsidRPr="007C534B" w:rsidRDefault="000169F6" w:rsidP="00EE78D4">
      <w:pPr>
        <w:ind w:firstLine="720"/>
        <w:jc w:val="both"/>
        <w:rPr>
          <w:rFonts w:ascii="Palatino Linotype" w:hAnsi="Palatino Linotype" w:cs="Calibri"/>
          <w:i/>
          <w:sz w:val="20"/>
          <w:szCs w:val="20"/>
        </w:rPr>
      </w:pPr>
      <w:r w:rsidRPr="007C534B">
        <w:rPr>
          <w:rFonts w:ascii="Palatino Linotype" w:hAnsi="Palatino Linotype" w:cs="Calibri"/>
          <w:i/>
          <w:sz w:val="20"/>
          <w:szCs w:val="20"/>
        </w:rPr>
        <w:t>After the decisive defeat of President Franklin Roosevelt’s Court-packing plan in 1937, the idea of expanding the size of the Supreme Court in order to affect its jurisprudence had largely been taken off the political table. It was put back on the table in the second decade of the twenty-first century. So much so that soon after assuming office President Joe Biden appointed a presidential commission to analyze the legality and pros and cons of various Court reform measures.</w:t>
      </w:r>
    </w:p>
    <w:p w14:paraId="3CDB49B3" w14:textId="02F3723E" w:rsidR="00D11B2F" w:rsidRPr="007C534B" w:rsidRDefault="00D11B2F" w:rsidP="00EE78D4">
      <w:pPr>
        <w:ind w:firstLine="720"/>
        <w:jc w:val="both"/>
        <w:rPr>
          <w:rFonts w:ascii="Palatino Linotype" w:hAnsi="Palatino Linotype" w:cs="Calibri"/>
          <w:i/>
          <w:sz w:val="20"/>
          <w:szCs w:val="20"/>
        </w:rPr>
      </w:pPr>
      <w:r w:rsidRPr="007C534B">
        <w:rPr>
          <w:rFonts w:ascii="Palatino Linotype" w:hAnsi="Palatino Linotype" w:cs="Calibri"/>
          <w:i/>
          <w:sz w:val="20"/>
          <w:szCs w:val="20"/>
        </w:rPr>
        <w:t>In 2016, Justice Antonin Scalia unexpectedly died, creating a vacancy during the final months of the Barack Obama presidency. The Republican majority in the Senate refused to act on his nomination of Judge Merrick Garland to fill the seat. The Republicans expected to retain majority of the Senate, but Democratic nominee Hillary Clinton was widely expected to succeed Obama in the White House. When Donald Trump unexpectedly won the White House in the 2016 election, he was able to fill the seat with Neil Gorsuch. Anthony Kennedy subsequently retired, and his seat was filled by Brett Kavanaugh. The death of Ruth Bader Ginsburg resulted in the appointment of Amy Coney Barrett. With Kennedy as a swing vote, the Garland nomination might have created a working liberal majority on the Court. Instead, the Barrett nomination gave the conservatives a firm 6-3 majority on the Court.</w:t>
      </w:r>
    </w:p>
    <w:p w14:paraId="50725DBC" w14:textId="4D385EF7" w:rsidR="00D11B2F" w:rsidRPr="007C534B" w:rsidRDefault="00D11B2F" w:rsidP="00EE78D4">
      <w:pPr>
        <w:ind w:firstLine="720"/>
        <w:jc w:val="both"/>
        <w:rPr>
          <w:rFonts w:ascii="Palatino Linotype" w:hAnsi="Palatino Linotype" w:cs="Calibri"/>
          <w:i/>
          <w:sz w:val="20"/>
          <w:szCs w:val="20"/>
        </w:rPr>
      </w:pPr>
      <w:r w:rsidRPr="007C534B">
        <w:rPr>
          <w:rFonts w:ascii="Palatino Linotype" w:hAnsi="Palatino Linotype" w:cs="Calibri"/>
          <w:i/>
          <w:sz w:val="20"/>
          <w:szCs w:val="20"/>
        </w:rPr>
        <w:t xml:space="preserve">During the Trump presidency, progressive activists began to insist the Democrats expand the size of the Supreme Court whenever they regained control of Congress and the White House. Those demands were loud enough that </w:t>
      </w:r>
      <w:r w:rsidR="00E60C90" w:rsidRPr="007C534B">
        <w:rPr>
          <w:rFonts w:ascii="Palatino Linotype" w:hAnsi="Palatino Linotype" w:cs="Calibri"/>
          <w:i/>
          <w:sz w:val="20"/>
          <w:szCs w:val="20"/>
        </w:rPr>
        <w:t>several</w:t>
      </w:r>
      <w:r w:rsidRPr="007C534B">
        <w:rPr>
          <w:rFonts w:ascii="Palatino Linotype" w:hAnsi="Palatino Linotype" w:cs="Calibri"/>
          <w:i/>
          <w:sz w:val="20"/>
          <w:szCs w:val="20"/>
        </w:rPr>
        <w:t xml:space="preserve"> Democratic candidates for president in 2020 indicated their support for taking such a step, but Joe Biden was noncommittal. As a senator, Biden had </w:t>
      </w:r>
      <w:r w:rsidR="00A45DAB" w:rsidRPr="007C534B">
        <w:rPr>
          <w:rFonts w:ascii="Palatino Linotype" w:hAnsi="Palatino Linotype" w:cs="Calibri"/>
          <w:i/>
          <w:sz w:val="20"/>
          <w:szCs w:val="20"/>
        </w:rPr>
        <w:t xml:space="preserve">repeatedly </w:t>
      </w:r>
      <w:r w:rsidRPr="007C534B">
        <w:rPr>
          <w:rFonts w:ascii="Palatino Linotype" w:hAnsi="Palatino Linotype" w:cs="Calibri"/>
          <w:i/>
          <w:sz w:val="20"/>
          <w:szCs w:val="20"/>
        </w:rPr>
        <w:t>denounced Co</w:t>
      </w:r>
      <w:r w:rsidR="00A45DAB" w:rsidRPr="007C534B">
        <w:rPr>
          <w:rFonts w:ascii="Palatino Linotype" w:hAnsi="Palatino Linotype" w:cs="Calibri"/>
          <w:i/>
          <w:sz w:val="20"/>
          <w:szCs w:val="20"/>
        </w:rPr>
        <w:t xml:space="preserve">urt-packing as a “terrible, terrible mistake” that “put into question . . . the independence of the most significant body in this country, the Supreme Court of the United States.” On the campaign trail in 2020, however, he promised to appoint a bipartisan commission to study the issue. Biden won the presidency in 2020, and more surprisingly the Democrats were able to tie the Senate, giving them a working majority with the tie-breaking vote of the vice president. Calls to expand the Court while Democrats enjoyed unified government intensified, and in April 2021 </w:t>
      </w:r>
      <w:r w:rsidR="005D4B87" w:rsidRPr="007C534B">
        <w:rPr>
          <w:rFonts w:ascii="Palatino Linotype" w:hAnsi="Palatino Linotype" w:cs="Calibri"/>
          <w:i/>
          <w:sz w:val="20"/>
          <w:szCs w:val="20"/>
        </w:rPr>
        <w:t xml:space="preserve">Biden followed </w:t>
      </w:r>
      <w:r w:rsidR="00A45DAB" w:rsidRPr="007C534B">
        <w:rPr>
          <w:rFonts w:ascii="Palatino Linotype" w:hAnsi="Palatino Linotype" w:cs="Calibri"/>
          <w:i/>
          <w:sz w:val="20"/>
          <w:szCs w:val="20"/>
        </w:rPr>
        <w:t xml:space="preserve">through with his campaign promise of </w:t>
      </w:r>
      <w:r w:rsidR="005D4B87" w:rsidRPr="007C534B">
        <w:rPr>
          <w:rFonts w:ascii="Palatino Linotype" w:hAnsi="Palatino Linotype" w:cs="Calibri"/>
          <w:i/>
          <w:sz w:val="20"/>
          <w:szCs w:val="20"/>
        </w:rPr>
        <w:t>appointing</w:t>
      </w:r>
      <w:r w:rsidR="00A45DAB" w:rsidRPr="007C534B">
        <w:rPr>
          <w:rFonts w:ascii="Palatino Linotype" w:hAnsi="Palatino Linotype" w:cs="Calibri"/>
          <w:i/>
          <w:sz w:val="20"/>
          <w:szCs w:val="20"/>
        </w:rPr>
        <w:t xml:space="preserve"> a presidential commission. It was unusually large for a presidential commission and dominated by law professors, but also included the president of the NAACP, three former judges and one political scientist. Some of the members had previously served as attorneys in the executive branch, but no members had previously held elective office. The commission included a handful of members from the po</w:t>
      </w:r>
      <w:r w:rsidR="005D4B87" w:rsidRPr="007C534B">
        <w:rPr>
          <w:rFonts w:ascii="Palatino Linotype" w:hAnsi="Palatino Linotype" w:cs="Calibri"/>
          <w:i/>
          <w:sz w:val="20"/>
          <w:szCs w:val="20"/>
        </w:rPr>
        <w:t>litical right (two of whom resigned during the course of the commission’s deliberations).</w:t>
      </w:r>
    </w:p>
    <w:p w14:paraId="36AAB94D" w14:textId="561B9FBC" w:rsidR="00AD0AAF" w:rsidRPr="007C534B" w:rsidRDefault="000169F6" w:rsidP="00EE78D4">
      <w:pPr>
        <w:ind w:firstLine="720"/>
        <w:jc w:val="both"/>
        <w:rPr>
          <w:rFonts w:ascii="Palatino Linotype" w:hAnsi="Palatino Linotype" w:cs="Calibri"/>
          <w:i/>
          <w:sz w:val="20"/>
          <w:szCs w:val="20"/>
        </w:rPr>
      </w:pPr>
      <w:r w:rsidRPr="007C534B">
        <w:rPr>
          <w:rFonts w:ascii="Palatino Linotype" w:hAnsi="Palatino Linotype" w:cs="Calibri"/>
          <w:i/>
          <w:sz w:val="20"/>
          <w:szCs w:val="20"/>
        </w:rPr>
        <w:t xml:space="preserve">The “Court-packing Commission” considered a wide range of reforms affecting various aspects of the Supreme Court’s operations, including, for example, limiting </w:t>
      </w:r>
      <w:r w:rsidR="00A45DAB" w:rsidRPr="007C534B">
        <w:rPr>
          <w:rFonts w:ascii="Palatino Linotype" w:hAnsi="Palatino Linotype" w:cs="Calibri"/>
          <w:i/>
          <w:sz w:val="20"/>
          <w:szCs w:val="20"/>
        </w:rPr>
        <w:t>the</w:t>
      </w:r>
      <w:r w:rsidRPr="007C534B">
        <w:rPr>
          <w:rFonts w:ascii="Palatino Linotype" w:hAnsi="Palatino Linotype" w:cs="Calibri"/>
          <w:i/>
          <w:sz w:val="20"/>
          <w:szCs w:val="20"/>
        </w:rPr>
        <w:t xml:space="preserve"> justices’ term of office to eighteen years, the reduction of the Court’s jurisdiction to hear cases, and the possibility of Congress being able to override judicial decisions. The most prominent feature of the report was a chapter on proposals to expand the size of the Court. The </w:t>
      </w:r>
      <w:r w:rsidRPr="007C534B">
        <w:rPr>
          <w:rFonts w:ascii="Palatino Linotype" w:hAnsi="Palatino Linotype" w:cs="Calibri"/>
          <w:i/>
          <w:sz w:val="20"/>
          <w:szCs w:val="20"/>
        </w:rPr>
        <w:lastRenderedPageBreak/>
        <w:t>commission was unable to reach consensus on the wisdom of Court-packing, but concluded that expanding the size of the Court was within the constitutional authority of Congress. The commission’s report laid out several arguments both for and against pursuing Court-packing during the Biden presidency. Progressives were broadly disappointed that the commission did not recommend expanding the size of the Court, and the administration refused to endorse such a measure.</w:t>
      </w:r>
      <w:r w:rsidR="00E60C90" w:rsidRPr="007C534B">
        <w:rPr>
          <w:rFonts w:ascii="Palatino Linotype" w:hAnsi="Palatino Linotype" w:cs="Calibri"/>
          <w:i/>
          <w:sz w:val="20"/>
          <w:szCs w:val="20"/>
        </w:rPr>
        <w:t xml:space="preserve"> The Democrats lost control of Congress in the midterm elections of 2022, ending the immediate prospect of altering the size of the Court.</w:t>
      </w:r>
    </w:p>
    <w:p w14:paraId="0ED1C5B6" w14:textId="77777777" w:rsidR="00EE78D4" w:rsidRPr="007C534B" w:rsidRDefault="00EE78D4" w:rsidP="004F7FE7">
      <w:pPr>
        <w:jc w:val="both"/>
        <w:rPr>
          <w:rFonts w:ascii="Palatino Linotype" w:hAnsi="Palatino Linotype" w:cs="Calibri"/>
          <w:sz w:val="20"/>
          <w:szCs w:val="20"/>
        </w:rPr>
      </w:pPr>
    </w:p>
    <w:p w14:paraId="73647A5B" w14:textId="2BFB4E13" w:rsidR="000B1156" w:rsidRPr="007C534B" w:rsidRDefault="002C6B71" w:rsidP="000B1156">
      <w:pPr>
        <w:autoSpaceDE w:val="0"/>
        <w:autoSpaceDN w:val="0"/>
        <w:adjustRightInd w:val="0"/>
        <w:ind w:firstLine="720"/>
        <w:rPr>
          <w:rFonts w:ascii="Palatino Linotype" w:hAnsi="Palatino Linotype" w:cs="Calibri"/>
          <w:sz w:val="20"/>
          <w:szCs w:val="20"/>
        </w:rPr>
      </w:pPr>
      <w:r w:rsidRPr="007C534B">
        <w:rPr>
          <w:rFonts w:ascii="Palatino Linotype" w:hAnsi="Palatino Linotype" w:cs="Calibri"/>
          <w:sz w:val="20"/>
          <w:szCs w:val="20"/>
        </w:rPr>
        <w:t>. . . .</w:t>
      </w:r>
    </w:p>
    <w:p w14:paraId="0135B15B" w14:textId="1BF72D1F" w:rsidR="00450B58" w:rsidRPr="007C534B" w:rsidRDefault="00B9271E" w:rsidP="000B1156">
      <w:pPr>
        <w:autoSpaceDE w:val="0"/>
        <w:autoSpaceDN w:val="0"/>
        <w:adjustRightInd w:val="0"/>
        <w:ind w:firstLine="720"/>
        <w:rPr>
          <w:rFonts w:ascii="Palatino Linotype" w:hAnsi="Palatino Linotype"/>
          <w:sz w:val="20"/>
          <w:szCs w:val="20"/>
        </w:rPr>
      </w:pPr>
      <w:r w:rsidRPr="007C534B">
        <w:rPr>
          <w:rFonts w:ascii="Palatino Linotype" w:hAnsi="Palatino Linotype"/>
          <w:sz w:val="20"/>
          <w:szCs w:val="20"/>
        </w:rPr>
        <w:t>Article III of the Constitution, which establishes the judiciary, requires that there be “one supreme Court” but does not specify the number of Justices that shall serve on that Court. Article I authorizes Congress to make all laws that are “necessary and proper” to carry out the powers conferred on various institutions of government, which include the Supreme Court. Determining the size of the Court that might be “necessary and proper” to its functioning seems well within Congress’s formal discretion.</w:t>
      </w:r>
    </w:p>
    <w:p w14:paraId="748AC5D1" w14:textId="36B9E181" w:rsidR="00B9271E" w:rsidRPr="007C534B" w:rsidRDefault="00B9271E" w:rsidP="000B1156">
      <w:pPr>
        <w:autoSpaceDE w:val="0"/>
        <w:autoSpaceDN w:val="0"/>
        <w:adjustRightInd w:val="0"/>
        <w:ind w:firstLine="720"/>
        <w:rPr>
          <w:rFonts w:ascii="Palatino Linotype" w:hAnsi="Palatino Linotype"/>
          <w:sz w:val="20"/>
          <w:szCs w:val="20"/>
        </w:rPr>
      </w:pPr>
      <w:r w:rsidRPr="007C534B">
        <w:rPr>
          <w:rFonts w:ascii="Palatino Linotype" w:hAnsi="Palatino Linotype"/>
          <w:sz w:val="20"/>
          <w:szCs w:val="20"/>
        </w:rPr>
        <w:t>. . . . Congress exercised that power on numerous occasions in the nation’s first century (in 1789, 1801, 1802, 1807, 1837, 1863, 1866, and 1869), expanding or contracting the Supreme Court’s size for both institutional and political reasons. On several occasions, Congress adjusted the Court’s size in large part to influence the future course of its decisions: The Federalists in 1801, the Democratic Republicans in 1802, the Republicans in the 1860s, and the Roosevelt administration in 1937 had this objective. President Roosevelt explained a few years after the failure of his 1937 plan that he turned to Court expansion to influence the Court in part because of its “undoubted constitutionality.” . . .</w:t>
      </w:r>
    </w:p>
    <w:p w14:paraId="140CDCA5" w14:textId="2897E510" w:rsidR="00B9271E" w:rsidRPr="007C534B" w:rsidRDefault="00B9271E" w:rsidP="000B1156">
      <w:pPr>
        <w:autoSpaceDE w:val="0"/>
        <w:autoSpaceDN w:val="0"/>
        <w:adjustRightInd w:val="0"/>
        <w:ind w:firstLine="720"/>
        <w:rPr>
          <w:rFonts w:ascii="Palatino Linotype" w:hAnsi="Palatino Linotype"/>
          <w:sz w:val="20"/>
          <w:szCs w:val="20"/>
        </w:rPr>
      </w:pPr>
      <w:r w:rsidRPr="007C534B">
        <w:rPr>
          <w:rFonts w:ascii="Palatino Linotype" w:hAnsi="Palatino Linotype"/>
          <w:sz w:val="20"/>
          <w:szCs w:val="20"/>
        </w:rPr>
        <w:t xml:space="preserve">During the Commission’s public hearings, one witness argued that, although Congress has broad power to modify the size of the Supreme Court for many purposes, it cannot do so for “partisan” reasons. This argument faces a few challenges. First, it is doubtful that “partisan” reasons can be disentangled from “good-government” reasons. For example, the changes to the Supreme Court in 1807 and 1837 by the Democratic Republicans and Jacksonian Democrats, respectively, had both institutional and political motives; lawmakers not only sought to give the Court more personnel to serve a growing nation but also enabled their party leaders—Presidents Jefferson and Jackson—to shape the Supreme Court. Second, and relatedly, the argument has little historical support; . . . </w:t>
      </w:r>
      <w:r w:rsidRPr="007C534B">
        <w:rPr>
          <w:rFonts w:ascii="Palatino Linotype" w:hAnsi="Palatino Linotype"/>
          <w:i/>
          <w:iCs/>
          <w:sz w:val="20"/>
          <w:szCs w:val="20"/>
        </w:rPr>
        <w:t xml:space="preserve">every </w:t>
      </w:r>
      <w:r w:rsidRPr="007C534B">
        <w:rPr>
          <w:rFonts w:ascii="Palatino Linotype" w:hAnsi="Palatino Linotype"/>
          <w:sz w:val="20"/>
          <w:szCs w:val="20"/>
        </w:rPr>
        <w:t>change to the Supreme Court’s size has tended, at least in part, to serve the interests of one political party.</w:t>
      </w:r>
    </w:p>
    <w:p w14:paraId="663B6E2D" w14:textId="61DABC97" w:rsidR="00B9271E" w:rsidRPr="007C534B" w:rsidRDefault="00B9271E" w:rsidP="000B1156">
      <w:pPr>
        <w:autoSpaceDE w:val="0"/>
        <w:autoSpaceDN w:val="0"/>
        <w:adjustRightInd w:val="0"/>
        <w:ind w:firstLine="720"/>
        <w:rPr>
          <w:rFonts w:ascii="Palatino Linotype" w:hAnsi="Palatino Linotype"/>
          <w:sz w:val="20"/>
          <w:szCs w:val="20"/>
        </w:rPr>
      </w:pPr>
      <w:r w:rsidRPr="007C534B">
        <w:rPr>
          <w:rFonts w:ascii="Palatino Linotype" w:hAnsi="Palatino Linotype"/>
          <w:sz w:val="20"/>
          <w:szCs w:val="20"/>
        </w:rPr>
        <w:t>In order to fulfill our charge to provide a complete account of the contemporary Court reform debate, this Part sets out arguments made by proponents and opponents of expansion. The Commission as a whole takes no position on the validity or strength of these claims. Mirroring the broader public debate, there is profound disagreement among Commissioners on this issue. Accordingly, we present arguments for and against expansion independently of each other.</w:t>
      </w:r>
    </w:p>
    <w:p w14:paraId="1F81E69E" w14:textId="4AF1D8F3" w:rsidR="00B9271E" w:rsidRPr="007C534B" w:rsidRDefault="00B9271E" w:rsidP="000B1156">
      <w:pPr>
        <w:autoSpaceDE w:val="0"/>
        <w:autoSpaceDN w:val="0"/>
        <w:adjustRightInd w:val="0"/>
        <w:ind w:firstLine="720"/>
        <w:rPr>
          <w:rFonts w:ascii="Palatino Linotype" w:hAnsi="Palatino Linotype"/>
          <w:sz w:val="20"/>
          <w:szCs w:val="20"/>
        </w:rPr>
      </w:pPr>
      <w:r w:rsidRPr="007C534B">
        <w:rPr>
          <w:rFonts w:ascii="Palatino Linotype" w:hAnsi="Palatino Linotype"/>
          <w:sz w:val="20"/>
          <w:szCs w:val="20"/>
        </w:rPr>
        <w:t>. . . .</w:t>
      </w:r>
    </w:p>
    <w:p w14:paraId="3B1CB1ED" w14:textId="1954F308" w:rsidR="00B9271E" w:rsidRPr="007C534B" w:rsidRDefault="00B9271E" w:rsidP="000B1156">
      <w:pPr>
        <w:autoSpaceDE w:val="0"/>
        <w:autoSpaceDN w:val="0"/>
        <w:adjustRightInd w:val="0"/>
        <w:ind w:firstLine="720"/>
        <w:rPr>
          <w:rFonts w:ascii="Palatino Linotype" w:hAnsi="Palatino Linotype"/>
          <w:sz w:val="20"/>
          <w:szCs w:val="20"/>
        </w:rPr>
      </w:pPr>
      <w:r w:rsidRPr="007C534B">
        <w:rPr>
          <w:rFonts w:ascii="Palatino Linotype" w:hAnsi="Palatino Linotype"/>
          <w:sz w:val="20"/>
          <w:szCs w:val="20"/>
        </w:rPr>
        <w:t>Some proponents of Supreme Court expansion charge that Republican lawmakers since 2016 have disregarded institutional norms in order to secure a conservative supermajority on the Court. They see expansion of the Court as particularly justified in light of Senate Republicans’ handling of the election-year nominations of Judge Garland and Justice Barrett.</w:t>
      </w:r>
      <w:r w:rsidR="007C18DB" w:rsidRPr="007C534B">
        <w:rPr>
          <w:rFonts w:ascii="Palatino Linotype" w:hAnsi="Palatino Linotype"/>
          <w:sz w:val="20"/>
          <w:szCs w:val="20"/>
        </w:rPr>
        <w:t xml:space="preserve"> . . . </w:t>
      </w:r>
    </w:p>
    <w:p w14:paraId="6AFC2B22" w14:textId="4EC2DED6" w:rsidR="007C18DB" w:rsidRPr="007C534B" w:rsidRDefault="007C18DB" w:rsidP="000B1156">
      <w:pPr>
        <w:autoSpaceDE w:val="0"/>
        <w:autoSpaceDN w:val="0"/>
        <w:adjustRightInd w:val="0"/>
        <w:ind w:firstLine="720"/>
        <w:rPr>
          <w:rFonts w:ascii="Palatino Linotype" w:hAnsi="Palatino Linotype"/>
          <w:sz w:val="20"/>
          <w:szCs w:val="20"/>
        </w:rPr>
      </w:pPr>
      <w:r w:rsidRPr="007C534B">
        <w:rPr>
          <w:rFonts w:ascii="Palatino Linotype" w:hAnsi="Palatino Linotype"/>
          <w:sz w:val="20"/>
          <w:szCs w:val="20"/>
        </w:rPr>
        <w:t>. . . .</w:t>
      </w:r>
    </w:p>
    <w:p w14:paraId="24EB9076" w14:textId="719533EE" w:rsidR="007C18DB" w:rsidRPr="007C534B" w:rsidRDefault="007C18DB" w:rsidP="007C18DB">
      <w:pPr>
        <w:pStyle w:val="Default"/>
        <w:ind w:firstLine="720"/>
        <w:rPr>
          <w:rFonts w:ascii="Palatino Linotype" w:hAnsi="Palatino Linotype" w:cs="Times New Roman"/>
          <w:sz w:val="20"/>
          <w:szCs w:val="20"/>
        </w:rPr>
      </w:pPr>
      <w:r w:rsidRPr="007C534B">
        <w:rPr>
          <w:rFonts w:ascii="Palatino Linotype" w:hAnsi="Palatino Linotype"/>
          <w:sz w:val="20"/>
          <w:szCs w:val="20"/>
        </w:rPr>
        <w:t xml:space="preserve">Proponents of expansion who point to this series of events argue that the addition of new seats to the Supreme Court, at the next opportunity, by a Democratic President and Congress, could help restore the balance on the Court that was disrupted by significant norm violations in the confirmation process, thus protecting the legitimacy of the Court. Some of those who argue for expansion in light of recent events emphasize that they are not motivated by partisan politics but rather by a commitment to the protection of longstanding norms and important constitutional rights. They worry that the current conservative supermajority established by the recent norm violations threatens to take the law, and </w:t>
      </w:r>
      <w:r w:rsidRPr="007C534B">
        <w:rPr>
          <w:rFonts w:ascii="Palatino Linotype" w:hAnsi="Palatino Linotype"/>
          <w:sz w:val="20"/>
          <w:szCs w:val="20"/>
        </w:rPr>
        <w:lastRenderedPageBreak/>
        <w:t xml:space="preserve">particularly federal constitutional law, in a still more troubling direction than where it was already moving—perhaps by reversing or continuing to revise longstanding precedents in the areas of reproductive rights, racial justice, workers’ rights, the regulation of guns, religion, administrative law, voting rights, and campaign finance law. </w:t>
      </w:r>
      <w:r w:rsidRPr="007C534B">
        <w:rPr>
          <w:rFonts w:ascii="Palatino Linotype" w:hAnsi="Palatino Linotype" w:cs="Times New Roman"/>
          <w:sz w:val="20"/>
          <w:szCs w:val="20"/>
        </w:rPr>
        <w:t>But for the improper confirmation tactics of Republican lawmakers, the argument goes, the Court’s doctrinal trajectory might have been considerably different.</w:t>
      </w:r>
    </w:p>
    <w:p w14:paraId="03F62D79" w14:textId="230C20BB" w:rsidR="007C18DB" w:rsidRPr="007C534B" w:rsidRDefault="007C18DB" w:rsidP="007C18DB">
      <w:pPr>
        <w:pStyle w:val="Default"/>
        <w:ind w:firstLine="720"/>
        <w:rPr>
          <w:rFonts w:ascii="Palatino Linotype" w:hAnsi="Palatino Linotype"/>
          <w:sz w:val="20"/>
          <w:szCs w:val="20"/>
        </w:rPr>
      </w:pPr>
      <w:r w:rsidRPr="007C534B">
        <w:rPr>
          <w:rFonts w:ascii="Palatino Linotype" w:hAnsi="Palatino Linotype"/>
          <w:sz w:val="20"/>
          <w:szCs w:val="20"/>
        </w:rPr>
        <w:t>Others emphasize that a failure to respond to what they regard as confirmation “hardball” by Republicans since 2016—as well as a failure to advance expansion as a viable option in the political process—might encourage future aggressive measures in the confirmation process, such as a refusal to hold hearings on any judicial nominee put forward by a President of the opposite party. . . . On this account, a significant reform such as Court expansion may be needed to calm the controversy surrounding the Court, by attaching consequences to the Senate’s actions during the Trump years in order to deter future conduct of this kind.</w:t>
      </w:r>
    </w:p>
    <w:p w14:paraId="23505F08" w14:textId="4751E4D6" w:rsidR="007C18DB" w:rsidRPr="007C534B" w:rsidRDefault="007C18DB" w:rsidP="007C18DB">
      <w:pPr>
        <w:pStyle w:val="Default"/>
        <w:ind w:firstLine="720"/>
        <w:rPr>
          <w:rFonts w:ascii="Palatino Linotype" w:hAnsi="Palatino Linotype"/>
          <w:sz w:val="20"/>
          <w:szCs w:val="20"/>
        </w:rPr>
      </w:pPr>
      <w:r w:rsidRPr="007C534B">
        <w:rPr>
          <w:rFonts w:ascii="Palatino Linotype" w:hAnsi="Palatino Linotype"/>
          <w:sz w:val="20"/>
          <w:szCs w:val="20"/>
        </w:rPr>
        <w:t>Some proponents of expansion believe it to be essential to address the urgent circumstances brought on by developments in the Court’s jurisprudence that predate recent confirmation controversies but that have been accelerated by those appointments. They believe that these developments threaten to seriously and perhaps irreversibly damage the democratic process. These critics maintain that the Supreme Court has been complicit in and partially responsible for the “degradation of American democracy” writ large. On this view, the Court has whittled away the Voting Rights Act and other cornerstones of democracy, and affirmed state laws and practices that restrict voting and disenfranchise certain constituencies, such as people of color, the poor, and the young. This has contributed to circumstances that threaten to give outsized power over the future of the presidency and therefore the Court to one political party and to entrench that power. . . .</w:t>
      </w:r>
    </w:p>
    <w:p w14:paraId="2BC4C7E6" w14:textId="22D4A75D" w:rsidR="007C18DB" w:rsidRPr="007C534B" w:rsidRDefault="007C18DB" w:rsidP="007C18DB">
      <w:pPr>
        <w:pStyle w:val="Default"/>
        <w:ind w:firstLine="720"/>
        <w:rPr>
          <w:rFonts w:ascii="Palatino Linotype" w:hAnsi="Palatino Linotype"/>
          <w:sz w:val="20"/>
          <w:szCs w:val="20"/>
        </w:rPr>
      </w:pPr>
      <w:r w:rsidRPr="007C534B">
        <w:rPr>
          <w:rFonts w:ascii="Palatino Linotype" w:hAnsi="Palatino Linotype"/>
          <w:sz w:val="20"/>
          <w:szCs w:val="20"/>
        </w:rPr>
        <w:t>. . . .</w:t>
      </w:r>
    </w:p>
    <w:p w14:paraId="5325694F" w14:textId="7AE4F4E1" w:rsidR="007C18DB" w:rsidRPr="007C534B" w:rsidRDefault="007C18DB" w:rsidP="007C18DB">
      <w:pPr>
        <w:pStyle w:val="Default"/>
        <w:ind w:firstLine="720"/>
        <w:rPr>
          <w:rFonts w:ascii="Palatino Linotype" w:hAnsi="Palatino Linotype"/>
          <w:sz w:val="20"/>
          <w:szCs w:val="20"/>
        </w:rPr>
      </w:pPr>
      <w:r w:rsidRPr="007C534B">
        <w:rPr>
          <w:rFonts w:ascii="Palatino Linotype" w:hAnsi="Palatino Linotype"/>
          <w:sz w:val="20"/>
          <w:szCs w:val="20"/>
        </w:rPr>
        <w:t>Some participants in the debate over Court reform also regard expansion as worth considering because of its potential to strengthen the Court as an institution. An expanded Court might better incorporate diverse personal and professional perspectives. . . .</w:t>
      </w:r>
    </w:p>
    <w:p w14:paraId="3C935C77" w14:textId="2756B176" w:rsidR="007C18DB" w:rsidRPr="007C534B" w:rsidRDefault="007C18DB" w:rsidP="007C18DB">
      <w:pPr>
        <w:pStyle w:val="Default"/>
        <w:ind w:firstLine="720"/>
        <w:rPr>
          <w:rFonts w:ascii="Palatino Linotype" w:hAnsi="Palatino Linotype"/>
          <w:sz w:val="20"/>
          <w:szCs w:val="20"/>
        </w:rPr>
      </w:pPr>
      <w:r w:rsidRPr="007C534B">
        <w:rPr>
          <w:rFonts w:ascii="Palatino Linotype" w:hAnsi="Palatino Linotype"/>
          <w:sz w:val="20"/>
          <w:szCs w:val="20"/>
        </w:rPr>
        <w:t>. . . .</w:t>
      </w:r>
    </w:p>
    <w:p w14:paraId="056A9BBF" w14:textId="416D9349" w:rsidR="007C18DB" w:rsidRPr="007C534B" w:rsidRDefault="004C7AF5" w:rsidP="004C7AF5">
      <w:pPr>
        <w:pStyle w:val="Default"/>
        <w:ind w:firstLine="720"/>
        <w:rPr>
          <w:rFonts w:ascii="Palatino Linotype" w:hAnsi="Palatino Linotype"/>
          <w:sz w:val="20"/>
          <w:szCs w:val="20"/>
        </w:rPr>
      </w:pPr>
      <w:r w:rsidRPr="007C534B">
        <w:rPr>
          <w:rFonts w:ascii="Palatino Linotype" w:hAnsi="Palatino Linotype"/>
          <w:sz w:val="20"/>
          <w:szCs w:val="20"/>
        </w:rPr>
        <w:t xml:space="preserve">Opponents of Court packing contend that it would significantly undermine the Supreme Court’s independence. Courts cannot serve as effective checks on government officials if their personnel can be altered by those same government officials. In a system that permitted Court packing, any time the Supreme Court issued a decision that was at odds with the preferences of those in power—whether the matter related to the U.S. census, immigration policy, or the validity of a presidential election—the party in power could respond by stacking the Court with loyalists. One witness before the Commission further explained: “Court-packing risks undermining the </w:t>
      </w:r>
      <w:r w:rsidRPr="007C534B">
        <w:rPr>
          <w:rFonts w:ascii="Palatino Linotype" w:hAnsi="Palatino Linotype"/>
          <w:i/>
          <w:iCs/>
          <w:sz w:val="20"/>
          <w:szCs w:val="20"/>
        </w:rPr>
        <w:t xml:space="preserve">willingness </w:t>
      </w:r>
      <w:r w:rsidRPr="007C534B">
        <w:rPr>
          <w:rFonts w:ascii="Palatino Linotype" w:hAnsi="Palatino Linotype"/>
          <w:sz w:val="20"/>
          <w:szCs w:val="20"/>
        </w:rPr>
        <w:t>of the Justices to maintain their independence” from “the very political forces they are supposed to police in the name of the Constitution.”</w:t>
      </w:r>
    </w:p>
    <w:p w14:paraId="1DC374B7" w14:textId="07CDE1E1" w:rsidR="004C7AF5" w:rsidRPr="007C534B" w:rsidRDefault="004C7AF5" w:rsidP="004C7AF5">
      <w:pPr>
        <w:pStyle w:val="Default"/>
        <w:ind w:firstLine="720"/>
        <w:rPr>
          <w:rFonts w:ascii="Palatino Linotype" w:hAnsi="Palatino Linotype"/>
          <w:sz w:val="20"/>
          <w:szCs w:val="20"/>
        </w:rPr>
      </w:pPr>
      <w:r w:rsidRPr="007C534B">
        <w:rPr>
          <w:rFonts w:ascii="Palatino Linotype" w:hAnsi="Palatino Linotype"/>
          <w:sz w:val="20"/>
          <w:szCs w:val="20"/>
        </w:rPr>
        <w:t xml:space="preserve">Given these concerns, opponents underscore, it is crucial that for much of the past century, there has been a strong—and bipartisan—constitutional norm or convention treating Court packing as “something that just isn’t done.” As one scholar wrote a few years ago, one could say confidently that “court packing is essentially considered a wholly illegitimate means of seeking to alter existing Supreme Court doctrine. No serious person, in either major political party, suggests court packing as a means of overturning disliked Supreme Court decisions, whether the decision in question is </w:t>
      </w:r>
      <w:r w:rsidRPr="007C534B">
        <w:rPr>
          <w:rFonts w:ascii="Palatino Linotype" w:hAnsi="Palatino Linotype"/>
          <w:i/>
          <w:iCs/>
          <w:sz w:val="20"/>
          <w:szCs w:val="20"/>
        </w:rPr>
        <w:t xml:space="preserve">Roe v. Wade </w:t>
      </w:r>
      <w:r w:rsidRPr="007C534B">
        <w:rPr>
          <w:rFonts w:ascii="Palatino Linotype" w:hAnsi="Palatino Linotype"/>
          <w:sz w:val="20"/>
          <w:szCs w:val="20"/>
        </w:rPr>
        <w:t xml:space="preserve">or </w:t>
      </w:r>
      <w:r w:rsidRPr="007C534B">
        <w:rPr>
          <w:rFonts w:ascii="Palatino Linotype" w:hAnsi="Palatino Linotype"/>
          <w:i/>
          <w:iCs/>
          <w:sz w:val="20"/>
          <w:szCs w:val="20"/>
        </w:rPr>
        <w:t>Citizens United</w:t>
      </w:r>
      <w:r w:rsidRPr="007C534B">
        <w:rPr>
          <w:rFonts w:ascii="Palatino Linotype" w:hAnsi="Palatino Linotype"/>
          <w:sz w:val="20"/>
          <w:szCs w:val="20"/>
        </w:rPr>
        <w:t>.” Scholars could say, until very recently, that even as compared to other Court reform efforts, “‘Court packing’ is especially out of bounds. This is part of the convention of judicial independence.”</w:t>
      </w:r>
    </w:p>
    <w:p w14:paraId="005F3076" w14:textId="65DC2C90" w:rsidR="004C7AF5" w:rsidRPr="007C534B" w:rsidRDefault="004C7AF5" w:rsidP="004C7AF5">
      <w:pPr>
        <w:pStyle w:val="Default"/>
        <w:ind w:firstLine="720"/>
        <w:rPr>
          <w:rFonts w:ascii="Palatino Linotype" w:hAnsi="Palatino Linotype"/>
          <w:sz w:val="20"/>
          <w:szCs w:val="20"/>
        </w:rPr>
      </w:pPr>
      <w:r w:rsidRPr="007C534B">
        <w:rPr>
          <w:rFonts w:ascii="Palatino Linotype" w:hAnsi="Palatino Linotype"/>
          <w:sz w:val="20"/>
          <w:szCs w:val="20"/>
        </w:rPr>
        <w:t>. . . .</w:t>
      </w:r>
    </w:p>
    <w:p w14:paraId="4AA6807B" w14:textId="66383265" w:rsidR="004C7AF5" w:rsidRPr="007C534B" w:rsidRDefault="004C7AF5" w:rsidP="004C7AF5">
      <w:pPr>
        <w:pStyle w:val="Default"/>
        <w:ind w:firstLine="720"/>
        <w:rPr>
          <w:rFonts w:ascii="Palatino Linotype" w:hAnsi="Palatino Linotype"/>
          <w:sz w:val="20"/>
          <w:szCs w:val="20"/>
        </w:rPr>
      </w:pPr>
      <w:r w:rsidRPr="007C534B">
        <w:rPr>
          <w:rFonts w:ascii="Palatino Linotype" w:hAnsi="Palatino Linotype"/>
          <w:sz w:val="20"/>
          <w:szCs w:val="20"/>
        </w:rPr>
        <w:t>For opponents, the United States’ fidelity to this norm has particular significance in light of developments in other parts of the world where manipulation of the composition of the judiciary has been a worrying sign of democratic backsliding. . . .</w:t>
      </w:r>
    </w:p>
    <w:p w14:paraId="14F23572" w14:textId="354D6912" w:rsidR="004C7AF5" w:rsidRPr="007C534B" w:rsidRDefault="004C7AF5" w:rsidP="004C7AF5">
      <w:pPr>
        <w:pStyle w:val="Default"/>
        <w:ind w:firstLine="720"/>
        <w:rPr>
          <w:rFonts w:ascii="Palatino Linotype" w:hAnsi="Palatino Linotype"/>
          <w:sz w:val="20"/>
          <w:szCs w:val="20"/>
        </w:rPr>
      </w:pPr>
      <w:r w:rsidRPr="007C534B">
        <w:rPr>
          <w:rFonts w:ascii="Palatino Linotype" w:hAnsi="Palatino Linotype"/>
          <w:sz w:val="20"/>
          <w:szCs w:val="20"/>
        </w:rPr>
        <w:lastRenderedPageBreak/>
        <w:t>Opponents also cite a concern related to the threat to judicial independence</w:t>
      </w:r>
      <w:proofErr w:type="gramStart"/>
      <w:r w:rsidRPr="007C534B">
        <w:rPr>
          <w:rFonts w:ascii="Palatino Linotype" w:hAnsi="Palatino Linotype"/>
          <w:sz w:val="20"/>
          <w:szCs w:val="20"/>
        </w:rPr>
        <w:t>. . . :</w:t>
      </w:r>
      <w:proofErr w:type="gramEnd"/>
      <w:r w:rsidRPr="007C534B">
        <w:rPr>
          <w:rFonts w:ascii="Palatino Linotype" w:hAnsi="Palatino Linotype"/>
          <w:sz w:val="20"/>
          <w:szCs w:val="20"/>
        </w:rPr>
        <w:t xml:space="preserve"> that Court packing would almost certainly undermine or destroy the Supreme Court’s legitimacy. Some witnesses testified that the reform would be perceived by many as a partisan maneuver, or a dangerous power grab by one political party—a move that would render the decisions of the resulting (larger) Supreme Court of questionable legitimacy to much of the public. Critics argue that the public is less likely to treat the decisions of a packed Court as authoritative, diminishing the Court’s capacity to protect individual rights, equality, or constrain abuses of executive power.</w:t>
      </w:r>
    </w:p>
    <w:p w14:paraId="75C4A6E3" w14:textId="31E02424" w:rsidR="004C7AF5" w:rsidRPr="007C534B" w:rsidRDefault="004C7AF5" w:rsidP="004C7AF5">
      <w:pPr>
        <w:pStyle w:val="Default"/>
        <w:ind w:firstLine="720"/>
        <w:rPr>
          <w:rFonts w:ascii="Palatino Linotype" w:hAnsi="Palatino Linotype"/>
          <w:sz w:val="20"/>
          <w:szCs w:val="20"/>
        </w:rPr>
      </w:pPr>
      <w:r w:rsidRPr="007C534B">
        <w:rPr>
          <w:rFonts w:ascii="Palatino Linotype" w:hAnsi="Palatino Linotype"/>
          <w:sz w:val="20"/>
          <w:szCs w:val="20"/>
        </w:rPr>
        <w:t>Opponents of Court packing in this moment warn that it would also almost certainly generate a continuous cycle of future expansions. Expanding the Court would be on the agenda of every administration under unified government. One (purportedly modest) estimate of the consequences of expansions as parties gain Senate majorities and add Justices concludes that the Supreme Court could expand to twenty-three or twenty-nine Justices in the next fifty years, and thirty-nine or possibly sixty-three Justices over the next century. Critics worry that these repeated fights over the Court could lead the public to see the Court as a “political football”—a pawn in a continuing partisan game.</w:t>
      </w:r>
    </w:p>
    <w:p w14:paraId="7ED738EA" w14:textId="0472BF7A" w:rsidR="004C7AF5" w:rsidRPr="007C534B" w:rsidRDefault="004C7AF5" w:rsidP="004C7AF5">
      <w:pPr>
        <w:pStyle w:val="Default"/>
        <w:ind w:firstLine="720"/>
        <w:rPr>
          <w:rFonts w:ascii="Palatino Linotype" w:hAnsi="Palatino Linotype" w:cs="Times New Roman"/>
          <w:sz w:val="20"/>
          <w:szCs w:val="20"/>
        </w:rPr>
      </w:pPr>
      <w:r w:rsidRPr="007C534B">
        <w:rPr>
          <w:rFonts w:ascii="Palatino Linotype" w:hAnsi="Palatino Linotype"/>
          <w:sz w:val="20"/>
          <w:szCs w:val="20"/>
        </w:rPr>
        <w:t>. . . .</w:t>
      </w:r>
    </w:p>
    <w:sectPr w:rsidR="004C7AF5" w:rsidRPr="007C534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BD505" w14:textId="77777777" w:rsidR="00506323" w:rsidRDefault="00506323" w:rsidP="000E2F1A">
      <w:r>
        <w:separator/>
      </w:r>
    </w:p>
  </w:endnote>
  <w:endnote w:type="continuationSeparator" w:id="0">
    <w:p w14:paraId="1AAB6905" w14:textId="77777777" w:rsidR="00506323" w:rsidRDefault="00506323"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3024" w14:textId="053BBEA2" w:rsidR="00BE396A" w:rsidRDefault="00BE396A">
    <w:pPr>
      <w:pStyle w:val="Footer"/>
      <w:jc w:val="center"/>
    </w:pPr>
  </w:p>
  <w:p w14:paraId="58F9C180" w14:textId="77777777" w:rsidR="00BE396A" w:rsidRDefault="00BE3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522B9" w14:textId="77777777" w:rsidR="00506323" w:rsidRDefault="00506323" w:rsidP="000E2F1A">
      <w:r>
        <w:separator/>
      </w:r>
    </w:p>
  </w:footnote>
  <w:footnote w:type="continuationSeparator" w:id="0">
    <w:p w14:paraId="59FFF93F" w14:textId="77777777" w:rsidR="00506323" w:rsidRDefault="00506323" w:rsidP="000E2F1A">
      <w:r>
        <w:continuationSeparator/>
      </w:r>
    </w:p>
  </w:footnote>
  <w:footnote w:id="1">
    <w:p w14:paraId="2151120E" w14:textId="6F03019B" w:rsidR="00E57089" w:rsidRPr="00E406A3" w:rsidRDefault="00E57089">
      <w:pPr>
        <w:pStyle w:val="FootnoteText"/>
        <w:rPr>
          <w:rFonts w:ascii="Palatino Linotype" w:hAnsi="Palatino Linotype"/>
        </w:rPr>
      </w:pPr>
      <w:r w:rsidRPr="00E406A3">
        <w:rPr>
          <w:rStyle w:val="FootnoteReference"/>
          <w:rFonts w:ascii="Palatino Linotype" w:hAnsi="Palatino Linotype"/>
        </w:rPr>
        <w:footnoteRef/>
      </w:r>
      <w:r w:rsidRPr="00E406A3">
        <w:rPr>
          <w:rFonts w:ascii="Palatino Linotype" w:hAnsi="Palatino Linotype"/>
        </w:rPr>
        <w:t xml:space="preserve"> Excerpt taken from </w:t>
      </w:r>
      <w:r w:rsidR="000A0C99">
        <w:rPr>
          <w:rFonts w:ascii="Palatino Linotype" w:hAnsi="Palatino Linotype"/>
        </w:rPr>
        <w:t>Presidential Commission on the Supreme Court of the United States, Final Report</w:t>
      </w:r>
      <w:r w:rsidRPr="00E406A3">
        <w:rPr>
          <w:rFonts w:ascii="Palatino Linotype" w:hAnsi="Palatino Linotype"/>
        </w:rPr>
        <w:t xml:space="preserve"> (</w:t>
      </w:r>
      <w:r w:rsidR="000A0C99">
        <w:rPr>
          <w:rFonts w:ascii="Palatino Linotype" w:hAnsi="Palatino Linotype"/>
        </w:rPr>
        <w:t>December 2021</w:t>
      </w:r>
      <w:r w:rsidRPr="00E406A3">
        <w:rPr>
          <w:rFonts w:ascii="Palatino Linotype" w:hAnsi="Palatino Linotyp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CA1299"/>
    <w:multiLevelType w:val="multilevel"/>
    <w:tmpl w:val="318636E8"/>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D7F07F9"/>
    <w:multiLevelType w:val="multilevel"/>
    <w:tmpl w:val="0E7C4AE0"/>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129461"/>
    <w:multiLevelType w:val="multilevel"/>
    <w:tmpl w:val="EC6643A2"/>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5F9C8"/>
    <w:multiLevelType w:val="multilevel"/>
    <w:tmpl w:val="938B5870"/>
    <w:lvl w:ilvl="0">
      <w:start w:val="1"/>
      <w:numFmt w:val="upperRoman"/>
      <w:lvlText w:val="%1"/>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F23CF6"/>
    <w:multiLevelType w:val="hybridMultilevel"/>
    <w:tmpl w:val="E8F0FE04"/>
    <w:lvl w:ilvl="0" w:tplc="ABF2DF7A">
      <w:start w:val="1"/>
      <w:numFmt w:val="decimal"/>
      <w:lvlText w:val="%1)"/>
      <w:lvlJc w:val="left"/>
      <w:pPr>
        <w:ind w:left="1080" w:hanging="360"/>
      </w:pPr>
      <w:rPr>
        <w:rFonts w:hint="default"/>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CCB707"/>
    <w:multiLevelType w:val="hybridMultilevel"/>
    <w:tmpl w:val="AAA7C73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C162715"/>
    <w:multiLevelType w:val="hybridMultilevel"/>
    <w:tmpl w:val="157909D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3DFDED5"/>
    <w:multiLevelType w:val="hybridMultilevel"/>
    <w:tmpl w:val="EB12D3B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68B731B"/>
    <w:multiLevelType w:val="hybridMultilevel"/>
    <w:tmpl w:val="288C01B2"/>
    <w:lvl w:ilvl="0" w:tplc="534CE8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5A3BC0"/>
    <w:multiLevelType w:val="hybridMultilevel"/>
    <w:tmpl w:val="0652E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898E2E"/>
    <w:multiLevelType w:val="hybridMultilevel"/>
    <w:tmpl w:val="A390EB2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71169060">
    <w:abstractNumId w:val="6"/>
  </w:num>
  <w:num w:numId="2" w16cid:durableId="784885593">
    <w:abstractNumId w:val="8"/>
  </w:num>
  <w:num w:numId="3" w16cid:durableId="48113838">
    <w:abstractNumId w:val="7"/>
  </w:num>
  <w:num w:numId="4" w16cid:durableId="562523694">
    <w:abstractNumId w:val="0"/>
  </w:num>
  <w:num w:numId="5" w16cid:durableId="123737001">
    <w:abstractNumId w:val="5"/>
  </w:num>
  <w:num w:numId="6" w16cid:durableId="421798526">
    <w:abstractNumId w:val="1"/>
  </w:num>
  <w:num w:numId="7" w16cid:durableId="649793858">
    <w:abstractNumId w:val="3"/>
  </w:num>
  <w:num w:numId="8" w16cid:durableId="1233393603">
    <w:abstractNumId w:val="2"/>
  </w:num>
  <w:num w:numId="9" w16cid:durableId="295644213">
    <w:abstractNumId w:val="10"/>
  </w:num>
  <w:num w:numId="10" w16cid:durableId="1468163682">
    <w:abstractNumId w:val="4"/>
  </w:num>
  <w:num w:numId="11" w16cid:durableId="17005418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169F6"/>
    <w:rsid w:val="000208C5"/>
    <w:rsid w:val="0007363F"/>
    <w:rsid w:val="000824EE"/>
    <w:rsid w:val="000A0C99"/>
    <w:rsid w:val="000B1156"/>
    <w:rsid w:val="000B6378"/>
    <w:rsid w:val="000E0C08"/>
    <w:rsid w:val="000E2F1A"/>
    <w:rsid w:val="000E3C2C"/>
    <w:rsid w:val="000F2A87"/>
    <w:rsid w:val="00101523"/>
    <w:rsid w:val="001246B5"/>
    <w:rsid w:val="0012610F"/>
    <w:rsid w:val="00134F55"/>
    <w:rsid w:val="001425A9"/>
    <w:rsid w:val="00175124"/>
    <w:rsid w:val="0017537B"/>
    <w:rsid w:val="0018016F"/>
    <w:rsid w:val="00181B8E"/>
    <w:rsid w:val="001961FA"/>
    <w:rsid w:val="001C776D"/>
    <w:rsid w:val="001E22FB"/>
    <w:rsid w:val="00200749"/>
    <w:rsid w:val="002020F3"/>
    <w:rsid w:val="00206796"/>
    <w:rsid w:val="00216A29"/>
    <w:rsid w:val="002229D5"/>
    <w:rsid w:val="002378EC"/>
    <w:rsid w:val="00242356"/>
    <w:rsid w:val="00255F82"/>
    <w:rsid w:val="002833A8"/>
    <w:rsid w:val="002A2CA7"/>
    <w:rsid w:val="002A2DDA"/>
    <w:rsid w:val="002A6784"/>
    <w:rsid w:val="002B2D6D"/>
    <w:rsid w:val="002B4756"/>
    <w:rsid w:val="002B619F"/>
    <w:rsid w:val="002C6B71"/>
    <w:rsid w:val="002D4D48"/>
    <w:rsid w:val="002E5C34"/>
    <w:rsid w:val="002F1231"/>
    <w:rsid w:val="00320745"/>
    <w:rsid w:val="003207CD"/>
    <w:rsid w:val="00322694"/>
    <w:rsid w:val="00361A70"/>
    <w:rsid w:val="00361F18"/>
    <w:rsid w:val="00362983"/>
    <w:rsid w:val="003667F0"/>
    <w:rsid w:val="0037216A"/>
    <w:rsid w:val="00386388"/>
    <w:rsid w:val="0039172F"/>
    <w:rsid w:val="00393A7B"/>
    <w:rsid w:val="003A417B"/>
    <w:rsid w:val="003E4351"/>
    <w:rsid w:val="003F2081"/>
    <w:rsid w:val="003F2AAD"/>
    <w:rsid w:val="003F5A0C"/>
    <w:rsid w:val="00450B58"/>
    <w:rsid w:val="00467D49"/>
    <w:rsid w:val="004A498D"/>
    <w:rsid w:val="004C7AF5"/>
    <w:rsid w:val="004F7FE7"/>
    <w:rsid w:val="00506323"/>
    <w:rsid w:val="00511665"/>
    <w:rsid w:val="00530FC0"/>
    <w:rsid w:val="005326BD"/>
    <w:rsid w:val="00536FAB"/>
    <w:rsid w:val="00540DE2"/>
    <w:rsid w:val="00550B3E"/>
    <w:rsid w:val="0055760A"/>
    <w:rsid w:val="00587EE1"/>
    <w:rsid w:val="00595709"/>
    <w:rsid w:val="005B0C8B"/>
    <w:rsid w:val="005D29B2"/>
    <w:rsid w:val="005D47EF"/>
    <w:rsid w:val="005D4895"/>
    <w:rsid w:val="005D4B87"/>
    <w:rsid w:val="005E213F"/>
    <w:rsid w:val="005F1752"/>
    <w:rsid w:val="00605AC5"/>
    <w:rsid w:val="00622CF5"/>
    <w:rsid w:val="00642624"/>
    <w:rsid w:val="00654628"/>
    <w:rsid w:val="00683143"/>
    <w:rsid w:val="00697803"/>
    <w:rsid w:val="006A1915"/>
    <w:rsid w:val="006B12B5"/>
    <w:rsid w:val="006C29DC"/>
    <w:rsid w:val="006E2465"/>
    <w:rsid w:val="006F0860"/>
    <w:rsid w:val="00700E02"/>
    <w:rsid w:val="00715EF2"/>
    <w:rsid w:val="0074150D"/>
    <w:rsid w:val="007517E4"/>
    <w:rsid w:val="00751A2E"/>
    <w:rsid w:val="00760447"/>
    <w:rsid w:val="00764C5D"/>
    <w:rsid w:val="00775796"/>
    <w:rsid w:val="00793EE2"/>
    <w:rsid w:val="007C18DB"/>
    <w:rsid w:val="007C534B"/>
    <w:rsid w:val="007D05FD"/>
    <w:rsid w:val="00812183"/>
    <w:rsid w:val="00834F09"/>
    <w:rsid w:val="00835B93"/>
    <w:rsid w:val="00844369"/>
    <w:rsid w:val="00867378"/>
    <w:rsid w:val="00871CB2"/>
    <w:rsid w:val="008A1F53"/>
    <w:rsid w:val="008A26B4"/>
    <w:rsid w:val="008B562D"/>
    <w:rsid w:val="008C1488"/>
    <w:rsid w:val="00945E84"/>
    <w:rsid w:val="00954C68"/>
    <w:rsid w:val="00976265"/>
    <w:rsid w:val="009A5D76"/>
    <w:rsid w:val="009B27B0"/>
    <w:rsid w:val="009C1402"/>
    <w:rsid w:val="009D62AD"/>
    <w:rsid w:val="00A20043"/>
    <w:rsid w:val="00A45DAB"/>
    <w:rsid w:val="00A62C6F"/>
    <w:rsid w:val="00A65F55"/>
    <w:rsid w:val="00A71257"/>
    <w:rsid w:val="00A821F1"/>
    <w:rsid w:val="00AB0657"/>
    <w:rsid w:val="00AC7C58"/>
    <w:rsid w:val="00AD0AAF"/>
    <w:rsid w:val="00AD22DC"/>
    <w:rsid w:val="00B10D26"/>
    <w:rsid w:val="00B155B1"/>
    <w:rsid w:val="00B3362B"/>
    <w:rsid w:val="00B47123"/>
    <w:rsid w:val="00B63D94"/>
    <w:rsid w:val="00B73345"/>
    <w:rsid w:val="00B9271E"/>
    <w:rsid w:val="00B9406A"/>
    <w:rsid w:val="00BA49AE"/>
    <w:rsid w:val="00BE396A"/>
    <w:rsid w:val="00BF151E"/>
    <w:rsid w:val="00C04042"/>
    <w:rsid w:val="00C04969"/>
    <w:rsid w:val="00C64673"/>
    <w:rsid w:val="00C65B7B"/>
    <w:rsid w:val="00CC3C14"/>
    <w:rsid w:val="00CC59BB"/>
    <w:rsid w:val="00CD0261"/>
    <w:rsid w:val="00CD5307"/>
    <w:rsid w:val="00D1194F"/>
    <w:rsid w:val="00D11B2F"/>
    <w:rsid w:val="00D170DC"/>
    <w:rsid w:val="00D57EDE"/>
    <w:rsid w:val="00D65425"/>
    <w:rsid w:val="00D851C0"/>
    <w:rsid w:val="00D936EC"/>
    <w:rsid w:val="00DA3144"/>
    <w:rsid w:val="00DA6F58"/>
    <w:rsid w:val="00DE6176"/>
    <w:rsid w:val="00E07D27"/>
    <w:rsid w:val="00E406A3"/>
    <w:rsid w:val="00E477F2"/>
    <w:rsid w:val="00E53402"/>
    <w:rsid w:val="00E57089"/>
    <w:rsid w:val="00E60C90"/>
    <w:rsid w:val="00E65009"/>
    <w:rsid w:val="00E74ACD"/>
    <w:rsid w:val="00EA6812"/>
    <w:rsid w:val="00EB6FF6"/>
    <w:rsid w:val="00EC1EF1"/>
    <w:rsid w:val="00EC26F1"/>
    <w:rsid w:val="00ED3666"/>
    <w:rsid w:val="00ED74A1"/>
    <w:rsid w:val="00EE2339"/>
    <w:rsid w:val="00EE78D4"/>
    <w:rsid w:val="00F212B3"/>
    <w:rsid w:val="00F3208A"/>
    <w:rsid w:val="00F33A74"/>
    <w:rsid w:val="00F50832"/>
    <w:rsid w:val="00F53FD4"/>
    <w:rsid w:val="00F7178D"/>
    <w:rsid w:val="00F9704F"/>
    <w:rsid w:val="00FB1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unhideWhenUsed/>
    <w:rsid w:val="00976265"/>
    <w:rPr>
      <w:color w:val="0000FF"/>
      <w:u w:val="single"/>
    </w:rPr>
  </w:style>
  <w:style w:type="character" w:customStyle="1" w:styleId="headertext">
    <w:name w:val="headertext"/>
    <w:basedOn w:val="DefaultParagraphFont"/>
    <w:rsid w:val="006B12B5"/>
  </w:style>
  <w:style w:type="character" w:styleId="Emphasis">
    <w:name w:val="Emphasis"/>
    <w:basedOn w:val="DefaultParagraphFont"/>
    <w:uiPriority w:val="20"/>
    <w:qFormat/>
    <w:rsid w:val="006B12B5"/>
    <w:rPr>
      <w:i/>
      <w:iCs/>
    </w:rPr>
  </w:style>
  <w:style w:type="paragraph" w:styleId="NormalWeb">
    <w:name w:val="Normal (Web)"/>
    <w:basedOn w:val="Normal"/>
    <w:uiPriority w:val="99"/>
    <w:semiHidden/>
    <w:unhideWhenUsed/>
    <w:rsid w:val="006B12B5"/>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42624"/>
    <w:rPr>
      <w:color w:val="605E5C"/>
      <w:shd w:val="clear" w:color="auto" w:fill="E1DFDD"/>
    </w:rPr>
  </w:style>
  <w:style w:type="paragraph" w:customStyle="1" w:styleId="Default">
    <w:name w:val="Default"/>
    <w:rsid w:val="00540DE2"/>
    <w:pPr>
      <w:autoSpaceDE w:val="0"/>
      <w:autoSpaceDN w:val="0"/>
      <w:adjustRightInd w:val="0"/>
    </w:pPr>
    <w:rPr>
      <w:rFonts w:ascii="Century Schoolbook" w:hAnsi="Century Schoolbook" w:cs="Century Schoolbook"/>
      <w:color w:val="000000"/>
      <w:sz w:val="24"/>
      <w:szCs w:val="24"/>
    </w:rPr>
  </w:style>
  <w:style w:type="paragraph" w:styleId="ListParagraph">
    <w:name w:val="List Paragraph"/>
    <w:basedOn w:val="Normal"/>
    <w:uiPriority w:val="34"/>
    <w:qFormat/>
    <w:rsid w:val="00540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95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56281-8AA3-4AD5-8BAA-29306410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2021</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Felix Torres</cp:lastModifiedBy>
  <cp:revision>6</cp:revision>
  <dcterms:created xsi:type="dcterms:W3CDTF">2022-06-10T16:04:00Z</dcterms:created>
  <dcterms:modified xsi:type="dcterms:W3CDTF">2023-01-26T19:49:00Z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2023-01-26T19:48:49Z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de4b0117-c56f-4ccc-93af-72964117a988</vt:lpwstr>
  </property>
  <property fmtid="{D5CDD505-2E9C-101B-9397-08002B2CF9AE}" pid="8" name="MSIP_Label_be5cb09a-2992-49d6-8ac9-5f63e7b1ad2f_ContentBits">
    <vt:lpwstr>0</vt:lpwstr>
  </property>
</Properties>
</file>