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169B" w14:textId="77777777" w:rsidR="00241824" w:rsidRDefault="00241824" w:rsidP="00241824">
      <w:pPr>
        <w:pStyle w:val="Heading1"/>
      </w:pPr>
      <w:r>
        <w:t>Chapter 1</w:t>
      </w:r>
    </w:p>
    <w:p w14:paraId="262E30A5" w14:textId="77777777" w:rsidR="00241824" w:rsidRPr="000B7EFC" w:rsidRDefault="00241824" w:rsidP="00241824">
      <w:pPr>
        <w:tabs>
          <w:tab w:val="left" w:pos="2790"/>
        </w:tabs>
        <w:spacing w:before="40" w:after="4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B7EF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Answers to Exercises</w:t>
      </w:r>
    </w:p>
    <w:p w14:paraId="550CF8FD" w14:textId="77777777" w:rsidR="00241824" w:rsidRDefault="00241824" w:rsidP="00241824">
      <w:pPr>
        <w:pStyle w:val="ListParagraph"/>
        <w:numPr>
          <w:ilvl w:val="1"/>
          <w:numId w:val="1"/>
        </w:numPr>
        <w:tabs>
          <w:tab w:val="left" w:pos="2790"/>
        </w:tabs>
        <w:spacing w:before="40" w:after="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662">
        <w:rPr>
          <w:rFonts w:ascii="Times New Roman" w:hAnsi="Times New Roman" w:cs="Times New Roman"/>
          <w:sz w:val="24"/>
          <w:szCs w:val="24"/>
          <w:lang w:val="en-US"/>
        </w:rPr>
        <w:t>(a) K</w:t>
      </w:r>
      <w:r w:rsidRPr="00CE66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CE6662">
        <w:rPr>
          <w:rFonts w:ascii="Times New Roman" w:hAnsi="Times New Roman" w:cs="Times New Roman"/>
          <w:sz w:val="24"/>
          <w:szCs w:val="24"/>
          <w:lang w:val="en-US"/>
        </w:rPr>
        <w:t xml:space="preserve"> = 3290 M</w:t>
      </w:r>
      <w:r w:rsidRPr="00CE666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CE6662">
        <w:rPr>
          <w:rFonts w:ascii="Times New Roman" w:hAnsi="Times New Roman" w:cs="Times New Roman"/>
          <w:sz w:val="24"/>
          <w:szCs w:val="24"/>
          <w:lang w:val="en-US"/>
        </w:rPr>
        <w:t xml:space="preserve">. Error = </w:t>
      </w:r>
      <w:r w:rsidRPr="00CE6662">
        <w:rPr>
          <w:rFonts w:ascii="Times New Roman" w:hAnsi="Times New Roman" w:cs="Times New Roman"/>
          <w:sz w:val="24"/>
          <w:szCs w:val="24"/>
        </w:rPr>
        <w:t xml:space="preserve">±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6662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6DB8F3F3" w14:textId="77777777" w:rsidR="00241824" w:rsidRPr="004E79E4" w:rsidRDefault="00241824" w:rsidP="00241824">
      <w:pPr>
        <w:pStyle w:val="ListParagraph"/>
        <w:tabs>
          <w:tab w:val="left" w:pos="2790"/>
        </w:tabs>
        <w:spacing w:before="40" w:after="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Method = </w:t>
      </w:r>
      <w:proofErr w:type="spellStart"/>
      <w:r>
        <w:rPr>
          <w:rFonts w:ascii="Times New Roman" w:hAnsi="Times New Roman" w:cs="Times New Roman"/>
          <w:sz w:val="24"/>
          <w:szCs w:val="24"/>
        </w:rPr>
        <w:t>Nelder</w:t>
      </w:r>
      <w:proofErr w:type="spellEnd"/>
      <w:r>
        <w:rPr>
          <w:rFonts w:ascii="Times New Roman" w:hAnsi="Times New Roman" w:cs="Times New Roman"/>
          <w:sz w:val="24"/>
          <w:szCs w:val="24"/>
        </w:rPr>
        <w:t>-Mead,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= 18300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error = </w:t>
      </w:r>
      <w:r w:rsidRPr="00CE6662">
        <w:rPr>
          <w:rFonts w:ascii="Times New Roman" w:hAnsi="Times New Roman" w:cs="Times New Roman"/>
          <w:sz w:val="24"/>
          <w:szCs w:val="24"/>
        </w:rPr>
        <w:t xml:space="preserve">±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E6662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;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= 848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error = </w:t>
      </w:r>
      <w:r w:rsidRPr="00CE6662">
        <w:rPr>
          <w:rFonts w:ascii="Times New Roman" w:hAnsi="Times New Roman" w:cs="Times New Roman"/>
          <w:sz w:val="24"/>
          <w:szCs w:val="24"/>
        </w:rPr>
        <w:t xml:space="preserve">±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E6662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739CA6" w14:textId="77777777" w:rsidR="00241824" w:rsidRDefault="00241824" w:rsidP="00241824">
      <w:pPr>
        <w:pStyle w:val="ListParagraph"/>
        <w:tabs>
          <w:tab w:val="left" w:pos="2790"/>
        </w:tabs>
        <w:spacing w:before="40" w:after="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 = L-BFGS-B.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= 3670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error = </w:t>
      </w:r>
      <w:r w:rsidRPr="00CE6662">
        <w:rPr>
          <w:rFonts w:ascii="Times New Roman" w:hAnsi="Times New Roman" w:cs="Times New Roman"/>
          <w:sz w:val="24"/>
          <w:szCs w:val="24"/>
        </w:rPr>
        <w:t xml:space="preserve">±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E6662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;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= 2.75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error = </w:t>
      </w:r>
      <w:r w:rsidRPr="00CE6662">
        <w:rPr>
          <w:rFonts w:ascii="Times New Roman" w:hAnsi="Times New Roman" w:cs="Times New Roman"/>
          <w:sz w:val="24"/>
          <w:szCs w:val="24"/>
        </w:rPr>
        <w:t xml:space="preserve">±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CE6662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4D7162" w14:textId="77777777" w:rsidR="00241824" w:rsidRDefault="00241824" w:rsidP="00241824">
      <w:pPr>
        <w:pStyle w:val="ListParagraph"/>
        <w:tabs>
          <w:tab w:val="left" w:pos="2790"/>
        </w:tabs>
        <w:spacing w:before="40" w:after="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The most likely binding stoichiometry is 1:1. Based on the shape of the 1:1 binding isotherm obtained in (a) (see Figure 1.21 below), binding is reasonably strong, and hence a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value of c.a. 3000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is not implausible. Furthermore, the error obtained is &lt; </w:t>
      </w:r>
      <w:r w:rsidRPr="00CE6662">
        <w:rPr>
          <w:rFonts w:ascii="Times New Roman" w:hAnsi="Times New Roman" w:cs="Times New Roman"/>
          <w:sz w:val="24"/>
          <w:szCs w:val="24"/>
        </w:rPr>
        <w:t xml:space="preserve">±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CE666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and hence rather small. The fit curve also passes through almost </w:t>
      </w:r>
      <w:proofErr w:type="gramStart"/>
      <w:r>
        <w:rPr>
          <w:rFonts w:ascii="Times New Roman" w:hAnsi="Times New Roman" w:cs="Times New Roman"/>
          <w:sz w:val="24"/>
          <w:szCs w:val="24"/>
        </w:rPr>
        <w:t>all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empirical data points, indicating a good fit with experiment. For (b), the errors obtained using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Nelder</w:t>
      </w:r>
      <w:proofErr w:type="spellEnd"/>
      <w:r>
        <w:rPr>
          <w:rFonts w:ascii="Times New Roman" w:hAnsi="Times New Roman" w:cs="Times New Roman"/>
          <w:sz w:val="24"/>
          <w:szCs w:val="24"/>
        </w:rPr>
        <w:t>-Mead method are significantly larger, and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is far too large to match the observations. If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= 18300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were to be correct, saturation of the binding isotherm at around 1.0 equivalent of guest should be observed, which is not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case in reality</w:t>
      </w:r>
      <w:proofErr w:type="gramEnd"/>
      <w:r>
        <w:rPr>
          <w:rFonts w:ascii="Times New Roman" w:hAnsi="Times New Roman" w:cs="Times New Roman"/>
          <w:sz w:val="24"/>
          <w:szCs w:val="24"/>
        </w:rPr>
        <w:t>. Using the ‘L-BFGS-B’ method gives more realistic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values, but the value of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is so small as to be almost negligible. Thus, it may still be safely concluded that this pair of host and guest molecules form a 1:1 </w:t>
      </w:r>
      <w:r w:rsidRPr="00EE328E">
        <w:rPr>
          <w:rFonts w:ascii="Times New Roman" w:hAnsi="Times New Roman" w:cs="Times New Roman"/>
          <w:sz w:val="24"/>
          <w:szCs w:val="24"/>
        </w:rPr>
        <w:t xml:space="preserve">stoichiometric host-guest complex </w:t>
      </w:r>
      <w:r>
        <w:rPr>
          <w:rFonts w:ascii="Times New Roman" w:hAnsi="Times New Roman" w:cs="Times New Roman"/>
          <w:sz w:val="24"/>
          <w:szCs w:val="24"/>
        </w:rPr>
        <w:t>in solution.</w:t>
      </w:r>
    </w:p>
    <w:p w14:paraId="2F0397CA" w14:textId="77777777" w:rsidR="00241824" w:rsidRDefault="00241824" w:rsidP="00241824">
      <w:pPr>
        <w:pStyle w:val="ListParagraph"/>
        <w:tabs>
          <w:tab w:val="left" w:pos="2790"/>
        </w:tabs>
        <w:spacing w:before="40" w:after="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zh-CN"/>
        </w:rPr>
        <w:drawing>
          <wp:inline distT="0" distB="0" distL="0" distR="0" wp14:anchorId="2A1D50F8" wp14:editId="41B80DDD">
            <wp:extent cx="5222240" cy="2360135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440" t="22690" r="15001" b="35080"/>
                    <a:stretch/>
                  </pic:blipFill>
                  <pic:spPr bwMode="auto">
                    <a:xfrm>
                      <a:off x="0" y="0"/>
                      <a:ext cx="5229324" cy="2363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E2FC65" w14:textId="77777777" w:rsidR="00241824" w:rsidRDefault="00241824" w:rsidP="00241824">
      <w:pPr>
        <w:pStyle w:val="ListParagraph"/>
        <w:tabs>
          <w:tab w:val="left" w:pos="2790"/>
        </w:tabs>
        <w:spacing w:before="40" w:after="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901BB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1.21.</w:t>
      </w:r>
      <w:r>
        <w:rPr>
          <w:rFonts w:ascii="Times New Roman" w:hAnsi="Times New Roman" w:cs="Times New Roman"/>
          <w:sz w:val="24"/>
          <w:szCs w:val="24"/>
        </w:rPr>
        <w:t xml:space="preserve"> Host-guest 1:1 stoichiometric binding curve. Filled circles = empirical data points and the continuous line represents the line of </w:t>
      </w:r>
      <w:proofErr w:type="gramStart"/>
      <w:r>
        <w:rPr>
          <w:rFonts w:ascii="Times New Roman" w:hAnsi="Times New Roman" w:cs="Times New Roman"/>
          <w:sz w:val="24"/>
          <w:szCs w:val="24"/>
        </w:rPr>
        <w:t>best-fit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obtained from non-linear regression.</w:t>
      </w:r>
    </w:p>
    <w:p w14:paraId="19F98AA2" w14:textId="77777777" w:rsidR="00241824" w:rsidRPr="00B11070" w:rsidRDefault="00241824" w:rsidP="00241824">
      <w:pPr>
        <w:pStyle w:val="ListParagraph"/>
        <w:tabs>
          <w:tab w:val="left" w:pos="2790"/>
        </w:tabs>
        <w:spacing w:before="40" w:after="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From the equation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ln</w:t>
      </w:r>
      <w:r w:rsidRPr="000A36C4"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ΔG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RT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(rearrangement of equation 1.5),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it is clear that the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magnitude of the binding constant is temperature-dependent. Hence, reporting binding constants without the temperature is essentially meaningless.</w:t>
      </w:r>
    </w:p>
    <w:p w14:paraId="15481776" w14:textId="77777777" w:rsidR="00241824" w:rsidRPr="00CE6662" w:rsidRDefault="00241824" w:rsidP="00241824">
      <w:pPr>
        <w:pStyle w:val="ListParagraph"/>
        <w:tabs>
          <w:tab w:val="left" w:pos="2790"/>
        </w:tabs>
        <w:spacing w:before="40" w:after="4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B8BC99" w14:textId="77777777" w:rsidR="00241824" w:rsidRDefault="00241824" w:rsidP="00241824">
      <w:pPr>
        <w:pStyle w:val="ListParagraph"/>
        <w:numPr>
          <w:ilvl w:val="1"/>
          <w:numId w:val="1"/>
        </w:numPr>
        <w:tabs>
          <w:tab w:val="left" w:pos="2790"/>
        </w:tabs>
        <w:spacing w:before="40" w:after="4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B7883">
        <w:rPr>
          <w:rFonts w:ascii="Times New Roman" w:hAnsi="Times New Roman" w:cs="Times New Roman"/>
          <w:sz w:val="24"/>
          <w:szCs w:val="24"/>
          <w:lang w:val="en-GB"/>
        </w:rPr>
        <w:t>The host-guest complex is in slow exchange on the NMR timescale and hence the areas under the host-guest (HG) peak and the free host (H) gives their equilibrium molar ratio. Assuming no complexation, the initial concentrations of the host (H) and guest (G) are 1.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mM and 1.</w:t>
      </w: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mM respectively. After complexation occurs, the complex (HG) and host are present in a 3</w:t>
      </w:r>
      <w:r>
        <w:rPr>
          <w:rFonts w:ascii="Times New Roman" w:hAnsi="Times New Roman" w:cs="Times New Roman"/>
          <w:sz w:val="24"/>
          <w:szCs w:val="24"/>
          <w:lang w:val="en-GB"/>
        </w:rPr>
        <w:t>.6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>:1</w:t>
      </w:r>
      <w:r>
        <w:rPr>
          <w:rFonts w:ascii="Times New Roman" w:hAnsi="Times New Roman" w:cs="Times New Roman"/>
          <w:sz w:val="24"/>
          <w:szCs w:val="24"/>
          <w:lang w:val="en-GB"/>
        </w:rPr>
        <w:t>.0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mole ratio by NMR integration. Therefore, the final equilibrium concentration of host = 1</w:t>
      </w:r>
      <w:proofErr w:type="gramStart"/>
      <w:r w:rsidRPr="00EB7883">
        <w:rPr>
          <w:rFonts w:ascii="Times New Roman" w:hAnsi="Times New Roman" w:cs="Times New Roman"/>
          <w:sz w:val="24"/>
          <w:szCs w:val="24"/>
          <w:lang w:val="en-GB"/>
        </w:rPr>
        <w:t>/(</w:t>
      </w:r>
      <w:proofErr w:type="gramEnd"/>
      <w:r w:rsidRPr="00EB7883">
        <w:rPr>
          <w:rFonts w:ascii="Times New Roman" w:hAnsi="Times New Roman" w:cs="Times New Roman"/>
          <w:sz w:val="24"/>
          <w:szCs w:val="24"/>
          <w:lang w:val="en-GB"/>
        </w:rPr>
        <w:t>1+3</w:t>
      </w:r>
      <w:r>
        <w:rPr>
          <w:rFonts w:ascii="Times New Roman" w:hAnsi="Times New Roman" w:cs="Times New Roman"/>
          <w:sz w:val="24"/>
          <w:szCs w:val="24"/>
          <w:lang w:val="en-GB"/>
        </w:rPr>
        <w:t>.6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>) x 1</w:t>
      </w:r>
      <w:r>
        <w:rPr>
          <w:rFonts w:ascii="Times New Roman" w:hAnsi="Times New Roman" w:cs="Times New Roman"/>
          <w:sz w:val="24"/>
          <w:szCs w:val="24"/>
          <w:lang w:val="en-GB"/>
        </w:rPr>
        <w:t>.5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mM = 0.</w:t>
      </w:r>
      <w:r>
        <w:rPr>
          <w:rFonts w:ascii="Times New Roman" w:hAnsi="Times New Roman" w:cs="Times New Roman"/>
          <w:sz w:val="24"/>
          <w:szCs w:val="24"/>
          <w:lang w:val="en-GB"/>
        </w:rPr>
        <w:t>33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mM, and that of the HG complex is 3 x 0.</w:t>
      </w:r>
      <w:r>
        <w:rPr>
          <w:rFonts w:ascii="Times New Roman" w:hAnsi="Times New Roman" w:cs="Times New Roman"/>
          <w:sz w:val="24"/>
          <w:szCs w:val="24"/>
          <w:lang w:val="en-GB"/>
        </w:rPr>
        <w:t>33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mM = 0.</w:t>
      </w:r>
      <w:r>
        <w:rPr>
          <w:rFonts w:ascii="Times New Roman" w:hAnsi="Times New Roman" w:cs="Times New Roman"/>
          <w:sz w:val="24"/>
          <w:szCs w:val="24"/>
          <w:lang w:val="en-GB"/>
        </w:rPr>
        <w:t>99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7883">
        <w:rPr>
          <w:rFonts w:ascii="Times New Roman" w:hAnsi="Times New Roman" w:cs="Times New Roman"/>
          <w:sz w:val="24"/>
          <w:szCs w:val="24"/>
          <w:lang w:val="en-GB"/>
        </w:rPr>
        <w:t>mM.</w:t>
      </w:r>
      <w:proofErr w:type="spellEnd"/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Hence, (1.</w:t>
      </w:r>
      <w:r>
        <w:rPr>
          <w:rFonts w:ascii="Times New Roman" w:hAnsi="Times New Roman" w:cs="Times New Roman"/>
          <w:sz w:val="24"/>
          <w:szCs w:val="24"/>
          <w:lang w:val="en-GB"/>
        </w:rPr>
        <w:t>50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– 0.</w:t>
      </w:r>
      <w:r>
        <w:rPr>
          <w:rFonts w:ascii="Times New Roman" w:hAnsi="Times New Roman" w:cs="Times New Roman"/>
          <w:sz w:val="24"/>
          <w:szCs w:val="24"/>
          <w:lang w:val="en-GB"/>
        </w:rPr>
        <w:t>33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) = </w:t>
      </w:r>
      <w:r>
        <w:rPr>
          <w:rFonts w:ascii="Times New Roman" w:hAnsi="Times New Roman" w:cs="Times New Roman"/>
          <w:sz w:val="24"/>
          <w:szCs w:val="24"/>
          <w:lang w:val="en-GB"/>
        </w:rPr>
        <w:t>1.17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mM of host was consumed in forming the complex. Since 1 equivalent of guest is consumed per equivalent of host in complex formation, the final guest concentration at equilibrium is (1.</w:t>
      </w:r>
      <w:r>
        <w:rPr>
          <w:rFonts w:ascii="Times New Roman" w:hAnsi="Times New Roman" w:cs="Times New Roman"/>
          <w:sz w:val="24"/>
          <w:szCs w:val="24"/>
          <w:lang w:val="en-GB"/>
        </w:rPr>
        <w:t>80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GB"/>
        </w:rPr>
        <w:t>1.17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>) = 0.</w:t>
      </w:r>
      <w:r>
        <w:rPr>
          <w:rFonts w:ascii="Times New Roman" w:hAnsi="Times New Roman" w:cs="Times New Roman"/>
          <w:sz w:val="24"/>
          <w:szCs w:val="24"/>
          <w:lang w:val="en-GB"/>
        </w:rPr>
        <w:t>63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B7883">
        <w:rPr>
          <w:rFonts w:ascii="Times New Roman" w:hAnsi="Times New Roman" w:cs="Times New Roman"/>
          <w:sz w:val="24"/>
          <w:szCs w:val="24"/>
          <w:lang w:val="en-GB"/>
        </w:rPr>
        <w:t>mM.</w:t>
      </w:r>
      <w:proofErr w:type="spellEnd"/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Substituting [H] = 0.</w:t>
      </w:r>
      <w:r>
        <w:rPr>
          <w:rFonts w:ascii="Times New Roman" w:hAnsi="Times New Roman" w:cs="Times New Roman"/>
          <w:sz w:val="24"/>
          <w:szCs w:val="24"/>
          <w:lang w:val="en-GB"/>
        </w:rPr>
        <w:t>33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mM, [G] = 0.</w:t>
      </w:r>
      <w:r>
        <w:rPr>
          <w:rFonts w:ascii="Times New Roman" w:hAnsi="Times New Roman" w:cs="Times New Roman"/>
          <w:sz w:val="24"/>
          <w:szCs w:val="24"/>
          <w:lang w:val="en-GB"/>
        </w:rPr>
        <w:t>63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mM and [HG] = 0.</w:t>
      </w:r>
      <w:r>
        <w:rPr>
          <w:rFonts w:ascii="Times New Roman" w:hAnsi="Times New Roman" w:cs="Times New Roman"/>
          <w:sz w:val="24"/>
          <w:szCs w:val="24"/>
          <w:lang w:val="en-GB"/>
        </w:rPr>
        <w:t>99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mM into the equilibrium equation K</w:t>
      </w:r>
      <w:r w:rsidRPr="00EB7883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a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= [HG]/([H][G]), K</w:t>
      </w:r>
      <w:r w:rsidRPr="00EB7883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a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works out to be 0.000</w:t>
      </w:r>
      <w:r>
        <w:rPr>
          <w:rFonts w:ascii="Times New Roman" w:hAnsi="Times New Roman" w:cs="Times New Roman"/>
          <w:sz w:val="24"/>
          <w:szCs w:val="24"/>
          <w:lang w:val="en-GB"/>
        </w:rPr>
        <w:t>99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>/ (0.000</w:t>
      </w:r>
      <w:r>
        <w:rPr>
          <w:rFonts w:ascii="Times New Roman" w:hAnsi="Times New Roman" w:cs="Times New Roman"/>
          <w:sz w:val="24"/>
          <w:szCs w:val="24"/>
          <w:lang w:val="en-GB"/>
        </w:rPr>
        <w:t>33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 x 0.000</w:t>
      </w:r>
      <w:r>
        <w:rPr>
          <w:rFonts w:ascii="Times New Roman" w:hAnsi="Times New Roman" w:cs="Times New Roman"/>
          <w:sz w:val="24"/>
          <w:szCs w:val="24"/>
          <w:lang w:val="en-GB"/>
        </w:rPr>
        <w:t>63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 xml:space="preserve">) =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4762 </w:t>
      </w:r>
      <w:r w:rsidRPr="00EB788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EB788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= 4800 M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(correct to 2 significant figures).</w:t>
      </w:r>
    </w:p>
    <w:p w14:paraId="0F27EBF0" w14:textId="77777777" w:rsidR="00241824" w:rsidRDefault="00241824" w:rsidP="00241824">
      <w:pPr>
        <w:pStyle w:val="ListParagraph"/>
        <w:tabs>
          <w:tab w:val="left" w:pos="2790"/>
        </w:tabs>
        <w:spacing w:before="40" w:after="4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9930C11" w14:textId="77777777" w:rsidR="00241824" w:rsidRPr="000571F7" w:rsidRDefault="00241824" w:rsidP="00241824">
      <w:pPr>
        <w:pStyle w:val="ListParagraph"/>
        <w:numPr>
          <w:ilvl w:val="1"/>
          <w:numId w:val="1"/>
        </w:numPr>
        <w:tabs>
          <w:tab w:val="left" w:pos="2790"/>
        </w:tabs>
        <w:spacing w:before="40" w:after="40" w:line="48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en-GB"/>
        </w:rPr>
      </w:pPr>
      <w:r w:rsidRPr="000571F7">
        <w:rPr>
          <w:rFonts w:ascii="Times New Roman" w:hAnsi="Times New Roman" w:cs="Times New Roman"/>
          <w:color w:val="0000FF"/>
          <w:sz w:val="24"/>
          <w:szCs w:val="24"/>
          <w:lang w:val="en-GB"/>
        </w:rPr>
        <w:t xml:space="preserve">(a)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FF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1</m:t>
            </m:r>
          </m:sub>
        </m:sSub>
        <m:r>
          <w:rPr>
            <w:rFonts w:ascii="Cambria Math" w:hAnsi="Cambria Math" w:cs="Times New Roman"/>
            <w:color w:val="0000FF"/>
            <w:sz w:val="24"/>
            <w:szCs w:val="24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FF"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[HG]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bCs/>
                    <w:i/>
                    <w:color w:val="0000FF"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H</m:t>
                </m:r>
              </m:e>
            </m:d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[G]</m:t>
            </m:r>
          </m:den>
        </m:f>
      </m:oMath>
      <w:r w:rsidRPr="000571F7">
        <w:rPr>
          <w:rFonts w:ascii="Times New Roman" w:eastAsiaTheme="minorEastAsia" w:hAnsi="Times New Roman" w:cs="Times New Roman"/>
          <w:bCs/>
          <w:color w:val="0000FF"/>
          <w:sz w:val="24"/>
          <w:szCs w:val="24"/>
          <w:lang w:val="en-GB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FF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2</m:t>
            </m:r>
          </m:sub>
        </m:sSub>
        <m:r>
          <w:rPr>
            <w:rFonts w:ascii="Cambria Math" w:hAnsi="Cambria Math" w:cs="Times New Roman"/>
            <w:color w:val="0000FF"/>
            <w:sz w:val="24"/>
            <w:szCs w:val="24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FF"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[H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FF"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bCs/>
                    <w:i/>
                    <w:color w:val="0000FF"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HG</m:t>
                </m:r>
              </m:e>
            </m:d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[G]</m:t>
            </m:r>
          </m:den>
        </m:f>
      </m:oMath>
    </w:p>
    <w:p w14:paraId="69428C4A" w14:textId="77777777" w:rsidR="00241824" w:rsidRPr="000571F7" w:rsidRDefault="00241824" w:rsidP="00241824">
      <w:pPr>
        <w:pStyle w:val="ListParagraph"/>
        <w:tabs>
          <w:tab w:val="left" w:pos="2790"/>
        </w:tabs>
        <w:spacing w:before="40" w:after="40" w:line="480" w:lineRule="auto"/>
        <w:ind w:left="360"/>
        <w:jc w:val="both"/>
        <w:rPr>
          <w:rFonts w:ascii="Times New Roman" w:eastAsiaTheme="minorEastAsia" w:hAnsi="Times New Roman" w:cs="Times New Roman"/>
          <w:bCs/>
          <w:color w:val="0000FF"/>
          <w:sz w:val="24"/>
          <w:szCs w:val="24"/>
          <w:lang w:val="en-GB"/>
        </w:rPr>
      </w:pPr>
      <w:r w:rsidRPr="000571F7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(b) Rearrange the expression for </w:t>
      </w:r>
      <w:r w:rsidRPr="00165B1D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>K</w:t>
      </w:r>
      <w:r w:rsidRPr="000571F7">
        <w:rPr>
          <w:rFonts w:ascii="Times New Roman" w:hAnsi="Times New Roman" w:cs="Times New Roman"/>
          <w:color w:val="0000FF"/>
          <w:sz w:val="24"/>
          <w:szCs w:val="24"/>
          <w:vertAlign w:val="subscript"/>
          <w:lang w:val="en-US"/>
        </w:rPr>
        <w:t>1</w:t>
      </w:r>
      <w:r w:rsidRPr="000571F7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 such that [HG] = </w:t>
      </w:r>
      <w:r w:rsidRPr="00165B1D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>K</w:t>
      </w:r>
      <w:r w:rsidRPr="000571F7">
        <w:rPr>
          <w:rFonts w:ascii="Times New Roman" w:hAnsi="Times New Roman" w:cs="Times New Roman"/>
          <w:color w:val="0000FF"/>
          <w:sz w:val="24"/>
          <w:szCs w:val="24"/>
          <w:vertAlign w:val="subscript"/>
          <w:lang w:val="en-US"/>
        </w:rPr>
        <w:t>1</w:t>
      </w:r>
      <w:r w:rsidRPr="000571F7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[H][G]. Substitute this expression into that of </w:t>
      </w:r>
      <w:r w:rsidRPr="00165B1D">
        <w:rPr>
          <w:rFonts w:ascii="Times New Roman" w:hAnsi="Times New Roman" w:cs="Times New Roman"/>
          <w:i/>
          <w:color w:val="0000FF"/>
          <w:sz w:val="24"/>
          <w:szCs w:val="24"/>
          <w:lang w:val="en-US"/>
        </w:rPr>
        <w:t>K</w:t>
      </w:r>
      <w:r w:rsidRPr="000571F7">
        <w:rPr>
          <w:rFonts w:ascii="Times New Roman" w:hAnsi="Times New Roman" w:cs="Times New Roman"/>
          <w:color w:val="0000FF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FF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lang w:val="en-US"/>
        </w:rPr>
        <w:t>in (a)</w:t>
      </w:r>
      <w:r w:rsidRPr="000571F7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color w:val="0000FF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2</m:t>
            </m:r>
          </m:sub>
        </m:sSub>
        <m:r>
          <w:rPr>
            <w:rFonts w:ascii="Cambria Math" w:hAnsi="Cambria Math" w:cs="Times New Roman"/>
            <w:color w:val="0000FF"/>
            <w:sz w:val="24"/>
            <w:szCs w:val="24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FF"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[H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FF"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]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US"/>
                  </w:rPr>
                  <m:t>(K</m:t>
                </m:r>
              </m:e>
              <m:sub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FF"/>
                <w:sz w:val="24"/>
                <w:szCs w:val="24"/>
                <w:lang w:val="en-US"/>
              </w:rPr>
              <m:t>[H][G])</m:t>
            </m:r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[G]</m:t>
            </m:r>
          </m:den>
        </m:f>
      </m:oMath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Times New Roman"/>
            <w:color w:val="0000FF"/>
            <w:sz w:val="24"/>
            <w:szCs w:val="24"/>
            <w:lang w:val="en-GB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color w:val="0000FF"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[H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FF"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]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FF"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1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bCs/>
                    <w:i/>
                    <w:color w:val="0000FF"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H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FF"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[G]</m:t>
                </m:r>
              </m:e>
              <m:sup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2</m:t>
                </m:r>
              </m:sup>
            </m:sSup>
          </m:den>
        </m:f>
      </m:oMath>
      <w:r w:rsidRPr="000571F7">
        <w:rPr>
          <w:rFonts w:ascii="Times New Roman" w:eastAsiaTheme="minorEastAsia" w:hAnsi="Times New Roman" w:cs="Times New Roman"/>
          <w:bCs/>
          <w:color w:val="0000FF"/>
          <w:sz w:val="24"/>
          <w:szCs w:val="24"/>
          <w:lang w:val="en-GB"/>
        </w:rPr>
        <w:t xml:space="preserve"> </w:t>
      </w:r>
    </w:p>
    <w:p w14:paraId="390CE1DA" w14:textId="77777777" w:rsidR="00241824" w:rsidRPr="000571F7" w:rsidRDefault="00241824" w:rsidP="00241824">
      <w:pPr>
        <w:pStyle w:val="ListParagraph"/>
        <w:tabs>
          <w:tab w:val="left" w:pos="2790"/>
        </w:tabs>
        <w:spacing w:before="40" w:after="40" w:line="480" w:lineRule="auto"/>
        <w:ind w:left="360"/>
        <w:jc w:val="both"/>
        <w:rPr>
          <w:rFonts w:ascii="Times New Roman" w:eastAsiaTheme="minorEastAsia" w:hAnsi="Times New Roman" w:cs="Times New Roman"/>
          <w:bCs/>
          <w:color w:val="0000FF"/>
          <w:sz w:val="24"/>
          <w:szCs w:val="24"/>
          <w:lang w:val="en-GB"/>
        </w:rPr>
      </w:pPr>
      <w:proofErr w:type="gramStart"/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lang w:val="en-GB"/>
        </w:rPr>
        <w:lastRenderedPageBreak/>
        <w:t>(c) By definition, β</w:t>
      </w:r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vertAlign w:val="subscript"/>
          <w:lang w:val="en-GB"/>
        </w:rPr>
        <w:t>12</w:t>
      </w:r>
      <w:proofErr w:type="gramEnd"/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lang w:val="en-GB"/>
        </w:rPr>
        <w:t xml:space="preserve"> = </w:t>
      </w:r>
      <w:r w:rsidRPr="000571F7">
        <w:rPr>
          <w:rFonts w:ascii="Times New Roman" w:eastAsiaTheme="minorEastAsia" w:hAnsi="Times New Roman" w:cs="Times New Roman"/>
          <w:bCs/>
          <w:i/>
          <w:color w:val="0000FF"/>
          <w:sz w:val="24"/>
          <w:szCs w:val="24"/>
          <w:lang w:val="en-GB"/>
        </w:rPr>
        <w:t>K</w:t>
      </w:r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vertAlign w:val="subscript"/>
          <w:lang w:val="en-GB"/>
        </w:rPr>
        <w:t>1</w:t>
      </w:r>
      <w:r w:rsidRPr="000571F7">
        <w:rPr>
          <w:rFonts w:ascii="Times New Roman" w:eastAsiaTheme="minorEastAsia" w:hAnsi="Times New Roman" w:cs="Times New Roman"/>
          <w:bCs/>
          <w:i/>
          <w:color w:val="0000FF"/>
          <w:sz w:val="24"/>
          <w:szCs w:val="24"/>
          <w:lang w:val="en-GB"/>
        </w:rPr>
        <w:t>K</w:t>
      </w:r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vertAlign w:val="subscript"/>
          <w:lang w:val="en-GB"/>
        </w:rPr>
        <w:t>2</w:t>
      </w:r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lang w:val="en-GB"/>
        </w:rPr>
        <w:t xml:space="preserve">. Substitute the expressions for </w:t>
      </w:r>
      <w:r w:rsidRPr="000571F7">
        <w:rPr>
          <w:rFonts w:ascii="Times New Roman" w:eastAsiaTheme="minorEastAsia" w:hAnsi="Times New Roman" w:cs="Times New Roman"/>
          <w:bCs/>
          <w:i/>
          <w:color w:val="0000FF"/>
          <w:sz w:val="24"/>
          <w:szCs w:val="24"/>
          <w:lang w:val="en-GB"/>
        </w:rPr>
        <w:t>K</w:t>
      </w:r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vertAlign w:val="subscript"/>
          <w:lang w:val="en-GB"/>
        </w:rPr>
        <w:t>1</w:t>
      </w:r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lang w:val="en-GB"/>
        </w:rPr>
        <w:t xml:space="preserve"> and </w:t>
      </w:r>
      <w:r w:rsidRPr="000571F7">
        <w:rPr>
          <w:rFonts w:ascii="Times New Roman" w:eastAsiaTheme="minorEastAsia" w:hAnsi="Times New Roman" w:cs="Times New Roman"/>
          <w:bCs/>
          <w:i/>
          <w:color w:val="0000FF"/>
          <w:sz w:val="24"/>
          <w:szCs w:val="24"/>
          <w:lang w:val="en-GB"/>
        </w:rPr>
        <w:t>K</w:t>
      </w:r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vertAlign w:val="subscript"/>
          <w:lang w:val="en-GB"/>
        </w:rPr>
        <w:t>2</w:t>
      </w:r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lang w:val="en-GB"/>
        </w:rPr>
        <w:t xml:space="preserve"> in (a) into this equation to obtain: β</w:t>
      </w:r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vertAlign w:val="subscript"/>
          <w:lang w:val="en-GB"/>
        </w:rPr>
        <w:t xml:space="preserve">12 </w:t>
      </w:r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lang w:val="en-GB"/>
        </w:rPr>
        <w:t xml:space="preserve">= </w:t>
      </w:r>
      <m:oMath>
        <m:d>
          <m:dPr>
            <m:ctrlPr>
              <w:rPr>
                <w:rFonts w:ascii="Cambria Math" w:hAnsi="Cambria Math" w:cs="Times New Roman"/>
                <w:bCs/>
                <w:i/>
                <w:color w:val="0000FF"/>
                <w:sz w:val="24"/>
                <w:szCs w:val="24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color w:val="0000FF"/>
                    <w:sz w:val="24"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[HG]</m:t>
                </m: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bCs/>
                        <w:i/>
                        <w:color w:val="0000FF"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FF"/>
                        <w:sz w:val="24"/>
                        <w:szCs w:val="24"/>
                        <w:lang w:val="en-GB"/>
                      </w:rPr>
                      <m:t>H</m:t>
                    </m:r>
                  </m:e>
                </m:d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[G]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bCs/>
                <w:i/>
                <w:color w:val="0000FF"/>
                <w:sz w:val="24"/>
                <w:szCs w:val="24"/>
                <w:lang w:val="en-GB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color w:val="0000FF"/>
                    <w:sz w:val="24"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[H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FF"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FF"/>
                        <w:sz w:val="24"/>
                        <w:szCs w:val="24"/>
                        <w:lang w:val="en-GB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FF"/>
                        <w:sz w:val="24"/>
                        <w:szCs w:val="24"/>
                        <w:lang w:val="en-GB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]</m:t>
                </m:r>
              </m:num>
              <m:den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bCs/>
                        <w:i/>
                        <w:color w:val="0000FF"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FF"/>
                        <w:sz w:val="24"/>
                        <w:szCs w:val="24"/>
                        <w:lang w:val="en-GB"/>
                      </w:rPr>
                      <m:t>HG</m:t>
                    </m:r>
                  </m:e>
                </m:d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[G]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lang w:val="en-GB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Cs/>
                <w:i/>
                <w:color w:val="0000FF"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[H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color w:val="0000FF"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0000FF"/>
                <w:sz w:val="24"/>
                <w:szCs w:val="24"/>
                <w:lang w:val="en-GB"/>
              </w:rPr>
              <m:t>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bCs/>
                    <w:i/>
                    <w:color w:val="0000FF"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H</m:t>
                </m:r>
              </m:e>
            </m:d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FF"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[G]</m:t>
                </m:r>
              </m:e>
              <m:sup>
                <m:r>
                  <w:rPr>
                    <w:rFonts w:ascii="Cambria Math" w:hAnsi="Cambria Math" w:cs="Times New Roman"/>
                    <w:color w:val="0000FF"/>
                    <w:sz w:val="24"/>
                    <w:szCs w:val="24"/>
                    <w:lang w:val="en-GB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bCs/>
          <w:color w:val="0000FF"/>
          <w:sz w:val="24"/>
          <w:szCs w:val="24"/>
          <w:lang w:val="en-GB"/>
        </w:rPr>
        <w:t>.</w:t>
      </w:r>
    </w:p>
    <w:p w14:paraId="3E414269" w14:textId="77777777" w:rsidR="0079427F" w:rsidRDefault="0079427F"/>
    <w:sectPr w:rsidR="00794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61C7" w14:textId="77777777" w:rsidR="00241824" w:rsidRDefault="00241824" w:rsidP="00241824">
      <w:pPr>
        <w:spacing w:after="0" w:line="240" w:lineRule="auto"/>
      </w:pPr>
      <w:r>
        <w:separator/>
      </w:r>
    </w:p>
  </w:endnote>
  <w:endnote w:type="continuationSeparator" w:id="0">
    <w:p w14:paraId="113CDE35" w14:textId="77777777" w:rsidR="00241824" w:rsidRDefault="00241824" w:rsidP="0024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C409" w14:textId="77777777" w:rsidR="00241824" w:rsidRDefault="00241824" w:rsidP="00241824">
      <w:pPr>
        <w:spacing w:after="0" w:line="240" w:lineRule="auto"/>
      </w:pPr>
      <w:r>
        <w:separator/>
      </w:r>
    </w:p>
  </w:footnote>
  <w:footnote w:type="continuationSeparator" w:id="0">
    <w:p w14:paraId="3527E195" w14:textId="77777777" w:rsidR="00241824" w:rsidRDefault="00241824" w:rsidP="0024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92184"/>
    <w:multiLevelType w:val="multilevel"/>
    <w:tmpl w:val="18B40F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24"/>
    <w:rsid w:val="00241824"/>
    <w:rsid w:val="0047047D"/>
    <w:rsid w:val="004A1918"/>
    <w:rsid w:val="004E2F21"/>
    <w:rsid w:val="006856F9"/>
    <w:rsid w:val="0079427F"/>
    <w:rsid w:val="00814E0D"/>
    <w:rsid w:val="00847E9C"/>
    <w:rsid w:val="00A8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D2561"/>
  <w15:chartTrackingRefBased/>
  <w15:docId w15:val="{ACC9E824-253C-435E-978E-2971E1A2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2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824"/>
    <w:pPr>
      <w:ind w:left="720"/>
      <w:contextualSpacing/>
    </w:pPr>
    <w:rPr>
      <w:lang w:val="en-SG"/>
    </w:rPr>
  </w:style>
  <w:style w:type="character" w:customStyle="1" w:styleId="Heading1Char">
    <w:name w:val="Heading 1 Char"/>
    <w:basedOn w:val="DefaultParagraphFont"/>
    <w:link w:val="Heading1"/>
    <w:uiPriority w:val="9"/>
    <w:rsid w:val="002418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461</Words>
  <Characters>2628</Characters>
  <Application>Microsoft Office Word</Application>
  <DocSecurity>0</DocSecurity>
  <Lines>21</Lines>
  <Paragraphs>6</Paragraphs>
  <ScaleCrop>false</ScaleCrop>
  <Company>Oxford University Press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Bajo Gutiérrez</dc:creator>
  <cp:keywords/>
  <dc:description/>
  <cp:lastModifiedBy>Maria Bajo Gutiérrez</cp:lastModifiedBy>
  <cp:revision>1</cp:revision>
  <dcterms:created xsi:type="dcterms:W3CDTF">2022-11-16T11:30:00Z</dcterms:created>
  <dcterms:modified xsi:type="dcterms:W3CDTF">2022-11-16T11:39:00Z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2022-11-16T11:30:12Z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0c95d5b3-c546-4634-b050-526a44417907</vt:lpwstr>
  </property>
  <property fmtid="{D5CDD505-2E9C-101B-9397-08002B2CF9AE}" pid="8" name="MSIP_Label_be5cb09a-2992-49d6-8ac9-5f63e7b1ad2f_ContentBits">
    <vt:lpwstr>0</vt:lpwstr>
  </property>
  <property fmtid="{D5CDD505-2E9C-101B-9397-08002B2CF9AE}" pid="9" name="GrammarlyDocumentId">
    <vt:lpwstr>9f8de2b6-3185-46fd-b32c-15739a84695f</vt:lpwstr>
  </property>
</Properties>
</file>