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8D6B" w14:textId="0C3A9AD2" w:rsidR="003E5B6F" w:rsidRDefault="003E5B6F" w:rsidP="0049384C">
      <w:pPr>
        <w:jc w:val="both"/>
      </w:pPr>
      <w:r>
        <w:t>Dr Patryk Czulno (</w:t>
      </w:r>
      <w:hyperlink r:id="rId7" w:history="1">
        <w:r w:rsidRPr="00041115">
          <w:rPr>
            <w:rStyle w:val="Hyperlink"/>
          </w:rPr>
          <w:t>patryk.czulno@bristol.ac.uk</w:t>
        </w:r>
      </w:hyperlink>
      <w:r>
        <w:t>)</w:t>
      </w:r>
    </w:p>
    <w:p w14:paraId="3F5210CD" w14:textId="597CE831" w:rsidR="00CB05B1" w:rsidRDefault="00CB05B1" w:rsidP="0049384C">
      <w:pPr>
        <w:jc w:val="both"/>
      </w:pPr>
      <w:r>
        <w:t xml:space="preserve">Updates of online resources for the volume Cini, M. and Solorzano-Borragan, N. (2021) </w:t>
      </w:r>
      <w:r w:rsidRPr="00CB05B1">
        <w:rPr>
          <w:i/>
          <w:iCs/>
        </w:rPr>
        <w:t>European Union Politics</w:t>
      </w:r>
      <w:r>
        <w:t xml:space="preserve"> (7th edition). Oxford: Oxford University Press</w:t>
      </w:r>
    </w:p>
    <w:p w14:paraId="24F4B458" w14:textId="2079E62B" w:rsidR="00CB05B1" w:rsidRDefault="005E7801" w:rsidP="0049384C">
      <w:pPr>
        <w:jc w:val="both"/>
        <w:rPr>
          <w:i/>
          <w:iCs/>
        </w:rPr>
      </w:pPr>
      <w:r>
        <w:t>Current u</w:t>
      </w:r>
      <w:r w:rsidR="00CB05B1">
        <w:t>pdate</w:t>
      </w:r>
      <w:r>
        <w:t xml:space="preserve"> (below)</w:t>
      </w:r>
      <w:r w:rsidR="00CB05B1">
        <w:t xml:space="preserve">: </w:t>
      </w:r>
      <w:r w:rsidRPr="005E7801">
        <w:rPr>
          <w:i/>
          <w:iCs/>
        </w:rPr>
        <w:t>Updates to the book</w:t>
      </w:r>
    </w:p>
    <w:p w14:paraId="01786D4D" w14:textId="7F7FD376" w:rsidR="005E7801" w:rsidRDefault="005E7801" w:rsidP="0049384C">
      <w:pPr>
        <w:jc w:val="both"/>
      </w:pPr>
      <w:r>
        <w:t>Date: 31 August 2022</w:t>
      </w:r>
    </w:p>
    <w:p w14:paraId="65E05FE2" w14:textId="77777777" w:rsidR="005E7801" w:rsidRPr="005E7801" w:rsidRDefault="005E7801" w:rsidP="0049384C">
      <w:pPr>
        <w:jc w:val="both"/>
      </w:pPr>
    </w:p>
    <w:p w14:paraId="3D7FCB24" w14:textId="1F855C7D" w:rsidR="00CB05B1" w:rsidRDefault="003E5B6F" w:rsidP="0049384C">
      <w:pPr>
        <w:jc w:val="both"/>
      </w:pPr>
      <w:r>
        <w:t>The table below summari</w:t>
      </w:r>
      <w:r w:rsidR="0011066A">
        <w:t>z</w:t>
      </w:r>
      <w:r>
        <w:t xml:space="preserve">es the main political developments </w:t>
      </w:r>
      <w:r w:rsidR="00A074C2">
        <w:t>of</w:t>
      </w:r>
      <w:r>
        <w:t xml:space="preserve"> the European Union in the first half of the calendar year 2022</w:t>
      </w:r>
      <w:r w:rsidR="00A074C2">
        <w:t xml:space="preserve"> (from January until end of June)</w:t>
      </w:r>
      <w:r>
        <w:t>. As is shown below, the European politics in that time were largely stimulated by the contemporary geopolitical crisis ensuing from Russia’s military aggression against Ukraine</w:t>
      </w:r>
      <w:r w:rsidR="0024501E">
        <w:t>. In particular, the European Union</w:t>
      </w:r>
      <w:r w:rsidR="00DA4252">
        <w:t xml:space="preserve"> adopted several sa</w:t>
      </w:r>
      <w:r w:rsidR="0024501E">
        <w:t xml:space="preserve">nction packages in response to Russia’s breach of international law and human rights in Ukraine, </w:t>
      </w:r>
      <w:r w:rsidR="00DA4252">
        <w:t xml:space="preserve">as well as it </w:t>
      </w:r>
      <w:r w:rsidR="0024501E">
        <w:t xml:space="preserve">agreed on </w:t>
      </w:r>
      <w:r w:rsidR="00F41974">
        <w:t>comprehensive support</w:t>
      </w:r>
      <w:r w:rsidR="0024501E">
        <w:t>, including military support</w:t>
      </w:r>
      <w:r w:rsidR="00A074C2">
        <w:t>,</w:t>
      </w:r>
      <w:r w:rsidR="0024501E">
        <w:t xml:space="preserve"> to Ukraine. </w:t>
      </w:r>
      <w:r w:rsidR="00A074C2">
        <w:t>The then EU politics were also marked by an unprece</w:t>
      </w:r>
      <w:r w:rsidR="00DA4252">
        <w:t>de</w:t>
      </w:r>
      <w:r w:rsidR="00A074C2">
        <w:t xml:space="preserve">nted recognition of EU candidate status for Ukraine and </w:t>
      </w:r>
      <w:r w:rsidR="00A074C2" w:rsidRPr="00960F9E">
        <w:t xml:space="preserve">Moldova. </w:t>
      </w:r>
      <w:r w:rsidR="00A074C2">
        <w:t xml:space="preserve">At the same time, the Union </w:t>
      </w:r>
      <w:r w:rsidR="00DA4252">
        <w:t>adopted</w:t>
      </w:r>
      <w:r w:rsidR="00A074C2">
        <w:t xml:space="preserve"> a series of measures </w:t>
      </w:r>
      <w:r w:rsidR="00DA4252">
        <w:t xml:space="preserve">that </w:t>
      </w:r>
      <w:r w:rsidR="00A074C2">
        <w:t>aim</w:t>
      </w:r>
      <w:r w:rsidR="00DA4252">
        <w:t>ed</w:t>
      </w:r>
      <w:r w:rsidR="00A074C2">
        <w:t xml:space="preserve"> at mitigating the impact of Russia’s war on Europe’s own security, including </w:t>
      </w:r>
      <w:r w:rsidR="00DA4252">
        <w:t>strategic</w:t>
      </w:r>
      <w:r w:rsidR="00A074C2">
        <w:t xml:space="preserve"> </w:t>
      </w:r>
      <w:r w:rsidR="0024501E">
        <w:t xml:space="preserve">economic and </w:t>
      </w:r>
      <w:r w:rsidR="00A074C2">
        <w:t>energy threats. Finally, it should not be forgotten that the E</w:t>
      </w:r>
      <w:r w:rsidR="00DA4252">
        <w:t>uropean Union were also</w:t>
      </w:r>
      <w:r w:rsidR="00A074C2">
        <w:t xml:space="preserve"> developing strategic cooperation with its international partners</w:t>
      </w:r>
      <w:r w:rsidR="00DA4252">
        <w:t>, for example the United States and Japan,</w:t>
      </w:r>
      <w:r w:rsidR="00A074C2">
        <w:t xml:space="preserve"> as well as </w:t>
      </w:r>
      <w:r w:rsidR="00DA4252">
        <w:t xml:space="preserve">it </w:t>
      </w:r>
      <w:r w:rsidR="00A074C2">
        <w:t>undert</w:t>
      </w:r>
      <w:r w:rsidR="00DA4252">
        <w:t>ook</w:t>
      </w:r>
      <w:r w:rsidR="00A074C2">
        <w:t xml:space="preserve"> steps leading towards </w:t>
      </w:r>
      <w:r w:rsidR="00DA4252">
        <w:t>strengthening of</w:t>
      </w:r>
      <w:r w:rsidR="00A074C2">
        <w:t xml:space="preserve"> </w:t>
      </w:r>
      <w:r w:rsidR="00DA4252">
        <w:t xml:space="preserve">European </w:t>
      </w:r>
      <w:r w:rsidR="00A074C2">
        <w:t>integration</w:t>
      </w:r>
      <w:r w:rsidR="00DA4252">
        <w:t xml:space="preserve"> alone</w:t>
      </w:r>
      <w:r w:rsidR="00A074C2">
        <w:t>, for example, on fiscal policy.</w:t>
      </w:r>
    </w:p>
    <w:p w14:paraId="3B0C9FC2" w14:textId="6E599AA2" w:rsidR="00DA4252" w:rsidRDefault="00DA4252" w:rsidP="0049384C">
      <w:pPr>
        <w:jc w:val="both"/>
      </w:pPr>
    </w:p>
    <w:tbl>
      <w:tblPr>
        <w:tblStyle w:val="TableGrid"/>
        <w:tblpPr w:leftFromText="141" w:rightFromText="141" w:tblpY="483"/>
        <w:tblW w:w="0" w:type="auto"/>
        <w:tblLook w:val="04A0" w:firstRow="1" w:lastRow="0" w:firstColumn="1" w:lastColumn="0" w:noHBand="0" w:noVBand="1"/>
      </w:tblPr>
      <w:tblGrid>
        <w:gridCol w:w="1555"/>
        <w:gridCol w:w="7507"/>
      </w:tblGrid>
      <w:tr w:rsidR="00DA4252" w14:paraId="3448ACE0" w14:textId="77777777" w:rsidTr="00DC65EA">
        <w:tc>
          <w:tcPr>
            <w:tcW w:w="1555" w:type="dxa"/>
          </w:tcPr>
          <w:p w14:paraId="0B1BE2DD" w14:textId="63A92363" w:rsidR="00DA4252" w:rsidRPr="0092223E" w:rsidRDefault="00DA4252" w:rsidP="00DC65EA">
            <w:pPr>
              <w:jc w:val="center"/>
              <w:rPr>
                <w:b/>
                <w:bCs/>
              </w:rPr>
            </w:pPr>
            <w:r w:rsidRPr="0092223E">
              <w:rPr>
                <w:b/>
                <w:bCs/>
              </w:rPr>
              <w:lastRenderedPageBreak/>
              <w:t>Day and month</w:t>
            </w:r>
            <w:r w:rsidR="005E7801">
              <w:rPr>
                <w:b/>
                <w:bCs/>
              </w:rPr>
              <w:t xml:space="preserve"> of 2022</w:t>
            </w:r>
          </w:p>
        </w:tc>
        <w:tc>
          <w:tcPr>
            <w:tcW w:w="7507" w:type="dxa"/>
          </w:tcPr>
          <w:p w14:paraId="47DAE9D0" w14:textId="77777777" w:rsidR="00DA4252" w:rsidRPr="0092223E" w:rsidRDefault="00DA4252" w:rsidP="00DC65EA">
            <w:pPr>
              <w:jc w:val="center"/>
              <w:rPr>
                <w:b/>
                <w:bCs/>
              </w:rPr>
            </w:pPr>
            <w:r w:rsidRPr="0092223E">
              <w:rPr>
                <w:b/>
                <w:bCs/>
              </w:rPr>
              <w:t>Main EU actors and EU decisions/actions</w:t>
            </w:r>
          </w:p>
        </w:tc>
      </w:tr>
      <w:tr w:rsidR="00DA4252" w14:paraId="2A95CD82" w14:textId="77777777" w:rsidTr="00DC65EA">
        <w:tc>
          <w:tcPr>
            <w:tcW w:w="1555" w:type="dxa"/>
          </w:tcPr>
          <w:p w14:paraId="631CDED2" w14:textId="77777777" w:rsidR="00DA4252" w:rsidRDefault="00DA4252" w:rsidP="00DC65EA">
            <w:pPr>
              <w:jc w:val="center"/>
            </w:pPr>
            <w:r>
              <w:t>17 January</w:t>
            </w:r>
          </w:p>
        </w:tc>
        <w:tc>
          <w:tcPr>
            <w:tcW w:w="7507" w:type="dxa"/>
          </w:tcPr>
          <w:p w14:paraId="659D0923" w14:textId="77777777" w:rsidR="00DA4252" w:rsidRDefault="00DA4252" w:rsidP="00DC65EA">
            <w:pPr>
              <w:jc w:val="both"/>
            </w:pPr>
            <w:r>
              <w:t>Eurogroup:</w:t>
            </w:r>
          </w:p>
          <w:p w14:paraId="54745E4D" w14:textId="77777777" w:rsidR="00DA4252" w:rsidRDefault="00DA4252" w:rsidP="00DC65EA">
            <w:pPr>
              <w:pStyle w:val="ListParagraph"/>
              <w:numPr>
                <w:ilvl w:val="0"/>
                <w:numId w:val="1"/>
              </w:numPr>
              <w:jc w:val="both"/>
            </w:pPr>
            <w:r>
              <w:t>Draft recommendation on the economic policy of the euro area for 2022 (approved by ECOFIN on 18 January and endorsed by the European Council in March)</w:t>
            </w:r>
          </w:p>
          <w:p w14:paraId="0F52A0F8" w14:textId="77777777" w:rsidR="00DA4252" w:rsidRDefault="00DA4252" w:rsidP="00DC65EA">
            <w:pPr>
              <w:pStyle w:val="ListParagraph"/>
              <w:numPr>
                <w:ilvl w:val="0"/>
                <w:numId w:val="1"/>
              </w:numPr>
              <w:jc w:val="both"/>
            </w:pPr>
            <w:r>
              <w:t>Thematic discussion on economic adjustment and resilience in terms of recent performance of the euro area compared to international peers</w:t>
            </w:r>
          </w:p>
          <w:p w14:paraId="6FF5FA45" w14:textId="5A39FA34" w:rsidR="00DA4252" w:rsidRDefault="00DA4252" w:rsidP="00DC65EA">
            <w:pPr>
              <w:pStyle w:val="ListParagraph"/>
              <w:numPr>
                <w:ilvl w:val="0"/>
                <w:numId w:val="1"/>
              </w:numPr>
              <w:jc w:val="both"/>
            </w:pPr>
            <w:r>
              <w:t xml:space="preserve">Thematic discussion on the solvency situation of the corporate sector and the corporate restructuring and economic adjustment in the euro area in the recovery after the </w:t>
            </w:r>
            <w:r w:rsidR="002E0BD4" w:rsidRPr="00171CAD">
              <w:t>COVID</w:t>
            </w:r>
            <w:r>
              <w:t>-19 pandemic</w:t>
            </w:r>
          </w:p>
          <w:p w14:paraId="4A8F2167" w14:textId="7D409213" w:rsidR="00DA4252" w:rsidRDefault="00DA4252" w:rsidP="00DC65EA">
            <w:pPr>
              <w:pStyle w:val="ListParagraph"/>
              <w:numPr>
                <w:ilvl w:val="0"/>
                <w:numId w:val="1"/>
              </w:numPr>
              <w:jc w:val="both"/>
            </w:pPr>
            <w:r>
              <w:t>Economic governance review: discussion on the euro</w:t>
            </w:r>
            <w:r w:rsidR="009127A8">
              <w:t>-</w:t>
            </w:r>
            <w:r>
              <w:t>area fiscal framework</w:t>
            </w:r>
          </w:p>
          <w:p w14:paraId="70013B77" w14:textId="3130E667" w:rsidR="00DA4252" w:rsidRDefault="00DA4252" w:rsidP="00DC65EA">
            <w:pPr>
              <w:pStyle w:val="ListParagraph"/>
              <w:numPr>
                <w:ilvl w:val="0"/>
                <w:numId w:val="1"/>
              </w:numPr>
              <w:jc w:val="both"/>
            </w:pPr>
            <w:r>
              <w:t xml:space="preserve">Discussion on </w:t>
            </w:r>
            <w:r w:rsidRPr="00EE510B">
              <w:t xml:space="preserve">the </w:t>
            </w:r>
            <w:r w:rsidR="00EE510B" w:rsidRPr="00EE510B">
              <w:t>strengthening</w:t>
            </w:r>
            <w:r>
              <w:t xml:space="preserve"> of the Banking Union</w:t>
            </w:r>
          </w:p>
          <w:p w14:paraId="7A533645" w14:textId="77777777" w:rsidR="00DA4252" w:rsidRDefault="00DA4252" w:rsidP="00DC65EA">
            <w:pPr>
              <w:pStyle w:val="ListParagraph"/>
              <w:numPr>
                <w:ilvl w:val="0"/>
                <w:numId w:val="1"/>
              </w:numPr>
              <w:jc w:val="both"/>
            </w:pPr>
            <w:r>
              <w:t>Taking stock of the ratification of the revised European Stability Mechanism (ESM)</w:t>
            </w:r>
          </w:p>
          <w:p w14:paraId="6555E096" w14:textId="77777777" w:rsidR="00DA4252" w:rsidRDefault="00DA4252" w:rsidP="00DC65EA">
            <w:pPr>
              <w:pStyle w:val="ListParagraph"/>
              <w:jc w:val="both"/>
            </w:pPr>
          </w:p>
        </w:tc>
      </w:tr>
      <w:tr w:rsidR="00DA4252" w14:paraId="6E5BE871" w14:textId="77777777" w:rsidTr="00DC65EA">
        <w:tc>
          <w:tcPr>
            <w:tcW w:w="1555" w:type="dxa"/>
          </w:tcPr>
          <w:p w14:paraId="4FF9C719" w14:textId="77777777" w:rsidR="00DA4252" w:rsidRDefault="00DA4252" w:rsidP="00DC65EA">
            <w:pPr>
              <w:jc w:val="center"/>
            </w:pPr>
            <w:r>
              <w:t>24 January</w:t>
            </w:r>
          </w:p>
        </w:tc>
        <w:tc>
          <w:tcPr>
            <w:tcW w:w="7507" w:type="dxa"/>
          </w:tcPr>
          <w:p w14:paraId="3C57DFE0" w14:textId="77777777" w:rsidR="00DA4252" w:rsidRDefault="00DA4252" w:rsidP="00DC65EA">
            <w:pPr>
              <w:jc w:val="both"/>
            </w:pPr>
            <w:r>
              <w:t xml:space="preserve">Foreign Affairs Council (including a teleconference with US Secretary of State </w:t>
            </w:r>
            <w:r w:rsidRPr="00CA051C">
              <w:t>Antony Blinken</w:t>
            </w:r>
            <w:r>
              <w:t>):</w:t>
            </w:r>
          </w:p>
          <w:p w14:paraId="12346D65" w14:textId="77777777" w:rsidR="00DA4252" w:rsidRDefault="00DA4252" w:rsidP="00DC65EA">
            <w:pPr>
              <w:pStyle w:val="ListParagraph"/>
              <w:numPr>
                <w:ilvl w:val="0"/>
                <w:numId w:val="5"/>
              </w:numPr>
              <w:jc w:val="both"/>
            </w:pPr>
            <w:r>
              <w:t xml:space="preserve">Focus on European security situation </w:t>
            </w:r>
          </w:p>
          <w:p w14:paraId="00556714" w14:textId="77777777" w:rsidR="00DA4252" w:rsidRDefault="00DA4252" w:rsidP="00DC65EA">
            <w:pPr>
              <w:pStyle w:val="ListParagraph"/>
              <w:numPr>
                <w:ilvl w:val="0"/>
                <w:numId w:val="5"/>
              </w:numPr>
              <w:jc w:val="both"/>
            </w:pPr>
            <w:r>
              <w:t>Conclusion that Russia’s military build-up around Ukraine, and its attempts to re-establish ‘spheres of influence’, undermine the core foundation and principles of European security</w:t>
            </w:r>
          </w:p>
          <w:p w14:paraId="67602442" w14:textId="77777777" w:rsidR="00DA4252" w:rsidRDefault="00DA4252" w:rsidP="00DC65EA">
            <w:pPr>
              <w:pStyle w:val="ListParagraph"/>
              <w:jc w:val="both"/>
            </w:pPr>
          </w:p>
        </w:tc>
      </w:tr>
      <w:tr w:rsidR="00DA4252" w14:paraId="261587C9" w14:textId="77777777" w:rsidTr="00DC65EA">
        <w:tc>
          <w:tcPr>
            <w:tcW w:w="1555" w:type="dxa"/>
          </w:tcPr>
          <w:p w14:paraId="56F137ED" w14:textId="77777777" w:rsidR="00DA4252" w:rsidRDefault="00DA4252" w:rsidP="00DC65EA">
            <w:pPr>
              <w:jc w:val="center"/>
            </w:pPr>
            <w:r>
              <w:t>25 January</w:t>
            </w:r>
          </w:p>
        </w:tc>
        <w:tc>
          <w:tcPr>
            <w:tcW w:w="7507" w:type="dxa"/>
          </w:tcPr>
          <w:p w14:paraId="7EFB691E" w14:textId="77777777" w:rsidR="00DA4252" w:rsidRDefault="00DA4252" w:rsidP="00DC65EA">
            <w:pPr>
              <w:jc w:val="both"/>
            </w:pPr>
            <w:r>
              <w:t>General Affairs Council:</w:t>
            </w:r>
          </w:p>
          <w:p w14:paraId="0DFCA4EE" w14:textId="77777777" w:rsidR="00DA4252" w:rsidRDefault="00DA4252" w:rsidP="00DC65EA">
            <w:pPr>
              <w:pStyle w:val="ListParagraph"/>
              <w:numPr>
                <w:ilvl w:val="0"/>
                <w:numId w:val="6"/>
              </w:numPr>
              <w:jc w:val="both"/>
            </w:pPr>
            <w:r>
              <w:t xml:space="preserve">French presidency priorities to focus on </w:t>
            </w:r>
            <w:r w:rsidRPr="00770E73">
              <w:t xml:space="preserve">European </w:t>
            </w:r>
            <w:r>
              <w:t>s</w:t>
            </w:r>
            <w:r w:rsidRPr="00770E73">
              <w:t>overeignt</w:t>
            </w:r>
            <w:r>
              <w:t xml:space="preserve">y </w:t>
            </w:r>
          </w:p>
          <w:p w14:paraId="304FE9D9" w14:textId="0BC010FD" w:rsidR="00DA4252" w:rsidRDefault="00DA4252" w:rsidP="00DC65EA">
            <w:pPr>
              <w:pStyle w:val="ListParagraph"/>
              <w:numPr>
                <w:ilvl w:val="0"/>
                <w:numId w:val="6"/>
              </w:numPr>
              <w:jc w:val="both"/>
            </w:pPr>
            <w:r>
              <w:t>Policy debate on the 2021 Commission’s ’</w:t>
            </w:r>
            <w:r w:rsidRPr="000F6236">
              <w:t xml:space="preserve">reinforcing democracy </w:t>
            </w:r>
            <w:r>
              <w:t>and integrity of elections’ legislative package</w:t>
            </w:r>
          </w:p>
          <w:p w14:paraId="04CAE3D5" w14:textId="77777777" w:rsidR="00DA4252" w:rsidRDefault="00DA4252" w:rsidP="00DC65EA">
            <w:pPr>
              <w:jc w:val="both"/>
            </w:pPr>
          </w:p>
          <w:p w14:paraId="7693061E" w14:textId="7923DF21" w:rsidR="00DA4252" w:rsidRDefault="00DA4252" w:rsidP="00DC65EA">
            <w:pPr>
              <w:jc w:val="both"/>
            </w:pPr>
            <w:r>
              <w:t>EU-Serbia Stabilisation and Association Council (sixth meeting)</w:t>
            </w:r>
          </w:p>
          <w:p w14:paraId="015E9F65" w14:textId="77777777" w:rsidR="00DA4252" w:rsidRDefault="00DA4252" w:rsidP="00DC65EA">
            <w:pPr>
              <w:jc w:val="both"/>
            </w:pPr>
          </w:p>
        </w:tc>
      </w:tr>
      <w:tr w:rsidR="00DA4252" w14:paraId="3DF042D0" w14:textId="77777777" w:rsidTr="00DC65EA">
        <w:tc>
          <w:tcPr>
            <w:tcW w:w="1555" w:type="dxa"/>
          </w:tcPr>
          <w:p w14:paraId="2306F64D" w14:textId="77777777" w:rsidR="00DA4252" w:rsidRDefault="00DA4252" w:rsidP="00DC65EA">
            <w:pPr>
              <w:jc w:val="center"/>
            </w:pPr>
            <w:r>
              <w:t>17-18 February</w:t>
            </w:r>
          </w:p>
        </w:tc>
        <w:tc>
          <w:tcPr>
            <w:tcW w:w="7507" w:type="dxa"/>
          </w:tcPr>
          <w:p w14:paraId="5D23A380" w14:textId="77777777" w:rsidR="00DA4252" w:rsidRDefault="00DA4252" w:rsidP="00DC65EA">
            <w:pPr>
              <w:jc w:val="both"/>
            </w:pPr>
            <w:r>
              <w:t>European Union–African Union Summit (sixth summit):</w:t>
            </w:r>
          </w:p>
          <w:p w14:paraId="3B445E8C" w14:textId="77777777" w:rsidR="00DA4252" w:rsidRDefault="00DA4252" w:rsidP="00DC65EA">
            <w:pPr>
              <w:pStyle w:val="ListParagraph"/>
              <w:numPr>
                <w:ilvl w:val="0"/>
                <w:numId w:val="7"/>
              </w:numPr>
              <w:jc w:val="both"/>
            </w:pPr>
            <w:r>
              <w:t>Agreement on a joint vision for a renewed partnership, with the aims of enhancing solidarity, security, peace, and sustainable and sustained economic development and prosperity</w:t>
            </w:r>
          </w:p>
          <w:p w14:paraId="48EBF860" w14:textId="77777777" w:rsidR="00DA4252" w:rsidRDefault="00DA4252" w:rsidP="00DC65EA">
            <w:pPr>
              <w:pStyle w:val="ListParagraph"/>
              <w:numPr>
                <w:ilvl w:val="0"/>
                <w:numId w:val="7"/>
              </w:numPr>
              <w:jc w:val="both"/>
            </w:pPr>
            <w:r>
              <w:t xml:space="preserve">Announcement of 150 billion euros within Africa–Europe Investment Package </w:t>
            </w:r>
          </w:p>
          <w:p w14:paraId="1FA45AB6" w14:textId="146EE942" w:rsidR="00DA4252" w:rsidRDefault="00DA4252" w:rsidP="00DC65EA">
            <w:pPr>
              <w:pStyle w:val="ListParagraph"/>
              <w:numPr>
                <w:ilvl w:val="0"/>
                <w:numId w:val="7"/>
              </w:numPr>
              <w:jc w:val="both"/>
            </w:pPr>
            <w:r>
              <w:t xml:space="preserve">EU commitment to provide at least 450 </w:t>
            </w:r>
            <w:r w:rsidR="00057B25">
              <w:t xml:space="preserve">million </w:t>
            </w:r>
            <w:r w:rsidR="002E0BD4">
              <w:t>COVID</w:t>
            </w:r>
            <w:r>
              <w:t>-19 vaccine doses to Africa</w:t>
            </w:r>
          </w:p>
          <w:p w14:paraId="7F38B7CD" w14:textId="77777777" w:rsidR="00DA4252" w:rsidRDefault="00DA4252" w:rsidP="00DC65EA">
            <w:pPr>
              <w:pStyle w:val="ListParagraph"/>
              <w:jc w:val="both"/>
            </w:pPr>
          </w:p>
        </w:tc>
      </w:tr>
      <w:tr w:rsidR="00DA4252" w14:paraId="02CFDCCB" w14:textId="77777777" w:rsidTr="00DC65EA">
        <w:tc>
          <w:tcPr>
            <w:tcW w:w="1555" w:type="dxa"/>
          </w:tcPr>
          <w:p w14:paraId="453FEB78" w14:textId="77777777" w:rsidR="00DA4252" w:rsidRDefault="00DA4252" w:rsidP="00DC65EA">
            <w:pPr>
              <w:jc w:val="center"/>
            </w:pPr>
            <w:r>
              <w:t>22 February</w:t>
            </w:r>
          </w:p>
        </w:tc>
        <w:tc>
          <w:tcPr>
            <w:tcW w:w="7507" w:type="dxa"/>
          </w:tcPr>
          <w:p w14:paraId="4039467E" w14:textId="77777777" w:rsidR="00DA4252" w:rsidRDefault="00DA4252" w:rsidP="00DC65EA">
            <w:pPr>
              <w:jc w:val="both"/>
            </w:pPr>
            <w:r>
              <w:t>General Affairs Council:</w:t>
            </w:r>
          </w:p>
          <w:p w14:paraId="705218D3" w14:textId="77777777" w:rsidR="00DA4252" w:rsidRDefault="00DA4252" w:rsidP="00DC65EA">
            <w:pPr>
              <w:pStyle w:val="ListParagraph"/>
              <w:numPr>
                <w:ilvl w:val="0"/>
                <w:numId w:val="8"/>
              </w:numPr>
              <w:jc w:val="both"/>
            </w:pPr>
            <w:r>
              <w:t>Strategic debate on security and defence (‘Strategic Compass’)</w:t>
            </w:r>
          </w:p>
          <w:p w14:paraId="188F5AAE" w14:textId="77777777" w:rsidR="00DA4252" w:rsidRDefault="00DA4252" w:rsidP="00DC65EA">
            <w:pPr>
              <w:pStyle w:val="ListParagraph"/>
              <w:numPr>
                <w:ilvl w:val="0"/>
                <w:numId w:val="8"/>
              </w:numPr>
              <w:jc w:val="both"/>
            </w:pPr>
            <w:r>
              <w:t xml:space="preserve">Hearing on the rule of law in Poland </w:t>
            </w:r>
          </w:p>
          <w:p w14:paraId="4E967AC9" w14:textId="77777777" w:rsidR="00DA4252" w:rsidRDefault="00DA4252" w:rsidP="00DC65EA">
            <w:pPr>
              <w:pStyle w:val="ListParagraph"/>
              <w:numPr>
                <w:ilvl w:val="0"/>
                <w:numId w:val="8"/>
              </w:numPr>
              <w:jc w:val="both"/>
            </w:pPr>
            <w:r>
              <w:t xml:space="preserve">Discussion on the Conference on the Future of Europe </w:t>
            </w:r>
          </w:p>
          <w:p w14:paraId="7DF145FC" w14:textId="7DF74032" w:rsidR="00DA4252" w:rsidRDefault="00DA4252" w:rsidP="00DC65EA">
            <w:pPr>
              <w:pStyle w:val="ListParagraph"/>
              <w:numPr>
                <w:ilvl w:val="0"/>
                <w:numId w:val="8"/>
              </w:numPr>
              <w:jc w:val="both"/>
            </w:pPr>
            <w:r>
              <w:t>Policy debate on strengthening preparedness, response capacity</w:t>
            </w:r>
            <w:r w:rsidR="00DE6E99">
              <w:t>,</w:t>
            </w:r>
            <w:r>
              <w:t xml:space="preserve"> and resilience to future crises</w:t>
            </w:r>
          </w:p>
          <w:p w14:paraId="2C16D400" w14:textId="77777777" w:rsidR="00DA4252" w:rsidRDefault="00DA4252" w:rsidP="00DC65EA">
            <w:pPr>
              <w:jc w:val="both"/>
            </w:pPr>
          </w:p>
        </w:tc>
      </w:tr>
      <w:tr w:rsidR="00DA4252" w14:paraId="6CF9A167" w14:textId="77777777" w:rsidTr="00DC65EA">
        <w:tc>
          <w:tcPr>
            <w:tcW w:w="1555" w:type="dxa"/>
          </w:tcPr>
          <w:p w14:paraId="7B561496" w14:textId="77777777" w:rsidR="00DA4252" w:rsidRDefault="00DA4252" w:rsidP="00DC65EA">
            <w:pPr>
              <w:jc w:val="center"/>
            </w:pPr>
            <w:r>
              <w:t>24 February</w:t>
            </w:r>
          </w:p>
        </w:tc>
        <w:tc>
          <w:tcPr>
            <w:tcW w:w="7507" w:type="dxa"/>
          </w:tcPr>
          <w:p w14:paraId="3060AB37" w14:textId="77777777" w:rsidR="00DA4252" w:rsidRDefault="00DA4252" w:rsidP="00DC65EA">
            <w:pPr>
              <w:jc w:val="both"/>
            </w:pPr>
            <w:r>
              <w:t xml:space="preserve">Special meeting of the European Council: </w:t>
            </w:r>
          </w:p>
          <w:p w14:paraId="07953CF8" w14:textId="1166B959" w:rsidR="00DA4252" w:rsidRDefault="00DA4252" w:rsidP="00DC65EA">
            <w:pPr>
              <w:pStyle w:val="ListParagraph"/>
              <w:numPr>
                <w:ilvl w:val="0"/>
                <w:numId w:val="9"/>
              </w:numPr>
              <w:jc w:val="both"/>
            </w:pPr>
            <w:r>
              <w:lastRenderedPageBreak/>
              <w:t xml:space="preserve">EU to condemn Russia’s military </w:t>
            </w:r>
            <w:r w:rsidR="0091618D">
              <w:t xml:space="preserve">aggression </w:t>
            </w:r>
            <w:r>
              <w:t xml:space="preserve">against Ukraine ‘in the strongest possible terms’ and express solidarity with Ukraine and its people </w:t>
            </w:r>
          </w:p>
          <w:p w14:paraId="03509D5C" w14:textId="77777777" w:rsidR="00DA4252" w:rsidRDefault="00DA4252" w:rsidP="00DC65EA">
            <w:pPr>
              <w:pStyle w:val="ListParagraph"/>
              <w:numPr>
                <w:ilvl w:val="0"/>
                <w:numId w:val="9"/>
              </w:numPr>
              <w:jc w:val="both"/>
            </w:pPr>
            <w:r>
              <w:t>Agreement on further restrictive measures (sanctions) against Russia</w:t>
            </w:r>
          </w:p>
          <w:p w14:paraId="46B18CCA" w14:textId="77777777" w:rsidR="00DA4252" w:rsidRDefault="00DA4252" w:rsidP="00DC65EA">
            <w:pPr>
              <w:pStyle w:val="ListParagraph"/>
              <w:numPr>
                <w:ilvl w:val="0"/>
                <w:numId w:val="9"/>
              </w:numPr>
              <w:jc w:val="both"/>
            </w:pPr>
            <w:r>
              <w:t>Agreement on sanctions against Belarus’ involvement in the Russian war</w:t>
            </w:r>
          </w:p>
          <w:p w14:paraId="24730E55" w14:textId="77777777" w:rsidR="00DA4252" w:rsidRDefault="00DA4252" w:rsidP="00DC65EA">
            <w:pPr>
              <w:jc w:val="both"/>
            </w:pPr>
          </w:p>
        </w:tc>
      </w:tr>
      <w:tr w:rsidR="00DA4252" w14:paraId="7AB67F4C" w14:textId="77777777" w:rsidTr="00DC65EA">
        <w:tc>
          <w:tcPr>
            <w:tcW w:w="1555" w:type="dxa"/>
          </w:tcPr>
          <w:p w14:paraId="3FB1D40B" w14:textId="77777777" w:rsidR="00DA4252" w:rsidRDefault="00DA4252" w:rsidP="00DC65EA">
            <w:pPr>
              <w:jc w:val="center"/>
            </w:pPr>
            <w:r>
              <w:lastRenderedPageBreak/>
              <w:t>25 February</w:t>
            </w:r>
          </w:p>
        </w:tc>
        <w:tc>
          <w:tcPr>
            <w:tcW w:w="7507" w:type="dxa"/>
          </w:tcPr>
          <w:p w14:paraId="24208BEE" w14:textId="77777777" w:rsidR="00DA4252" w:rsidRDefault="00DA4252" w:rsidP="00DC65EA">
            <w:pPr>
              <w:jc w:val="both"/>
            </w:pPr>
            <w:r>
              <w:t>Eurogroup:</w:t>
            </w:r>
          </w:p>
          <w:p w14:paraId="0FA4EC73" w14:textId="77777777" w:rsidR="00DA4252" w:rsidRDefault="00DA4252" w:rsidP="00DC65EA">
            <w:pPr>
              <w:pStyle w:val="ListParagraph"/>
              <w:numPr>
                <w:ilvl w:val="0"/>
                <w:numId w:val="16"/>
              </w:numPr>
              <w:jc w:val="both"/>
            </w:pPr>
            <w:r>
              <w:t>Economic Governance Review: reflection on the e</w:t>
            </w:r>
            <w:r w:rsidRPr="006178DA">
              <w:t>uro-</w:t>
            </w:r>
            <w:r>
              <w:t>area dimension of the macroeconomic imbalances procedure</w:t>
            </w:r>
          </w:p>
          <w:p w14:paraId="450FBA17" w14:textId="77777777" w:rsidR="00DA4252" w:rsidRDefault="00DA4252" w:rsidP="00DC65EA">
            <w:pPr>
              <w:pStyle w:val="ListParagraph"/>
              <w:numPr>
                <w:ilvl w:val="0"/>
                <w:numId w:val="10"/>
              </w:numPr>
              <w:jc w:val="both"/>
            </w:pPr>
            <w:r>
              <w:t>Information from the European Central Bank and the European Commission on a digital euro project</w:t>
            </w:r>
          </w:p>
          <w:p w14:paraId="0762D4AF" w14:textId="77777777" w:rsidR="00DA4252" w:rsidRDefault="00DA4252" w:rsidP="00DC65EA">
            <w:pPr>
              <w:pStyle w:val="ListParagraph"/>
              <w:numPr>
                <w:ilvl w:val="0"/>
                <w:numId w:val="10"/>
              </w:numPr>
              <w:jc w:val="both"/>
            </w:pPr>
            <w:r>
              <w:t>Statement on the early repayments of the Greek Loan Facility (GLF) and International Monetary Fund (IMF)</w:t>
            </w:r>
          </w:p>
          <w:p w14:paraId="7585E642" w14:textId="77777777" w:rsidR="00DA4252" w:rsidRDefault="00DA4252" w:rsidP="00DC65EA">
            <w:pPr>
              <w:jc w:val="both"/>
            </w:pPr>
          </w:p>
          <w:p w14:paraId="2CDF6405" w14:textId="77777777" w:rsidR="00DA4252" w:rsidRDefault="00DA4252" w:rsidP="00DC65EA">
            <w:pPr>
              <w:jc w:val="both"/>
            </w:pPr>
            <w:r>
              <w:t xml:space="preserve">Extraordinary Foreign Affairs Council (including the participation of Ukraine’s Foreign Ministry Dmytro Kuleba): </w:t>
            </w:r>
          </w:p>
          <w:p w14:paraId="110CD8FA" w14:textId="77777777" w:rsidR="00DA4252" w:rsidRDefault="00DA4252" w:rsidP="00DC65EA">
            <w:pPr>
              <w:pStyle w:val="ListParagraph"/>
              <w:numPr>
                <w:ilvl w:val="0"/>
                <w:numId w:val="17"/>
              </w:numPr>
              <w:jc w:val="both"/>
            </w:pPr>
            <w:r>
              <w:t>Adoption of a new package of restrictive measures against Russia</w:t>
            </w:r>
          </w:p>
          <w:p w14:paraId="34ECBB66" w14:textId="5BBFB401" w:rsidR="00DA4252" w:rsidRDefault="00DA4252" w:rsidP="00DC65EA">
            <w:pPr>
              <w:pStyle w:val="ListParagraph"/>
              <w:numPr>
                <w:ilvl w:val="0"/>
                <w:numId w:val="11"/>
              </w:numPr>
              <w:jc w:val="both"/>
            </w:pPr>
            <w:r>
              <w:t xml:space="preserve">Agreement on intensified diplomatic efforts to condemn Russia’s aggression, on strengthened  </w:t>
            </w:r>
            <w:r w:rsidR="005A5D70">
              <w:t xml:space="preserve">support </w:t>
            </w:r>
            <w:r>
              <w:t xml:space="preserve">to Moldova and Georgia, and on deterring </w:t>
            </w:r>
            <w:r w:rsidR="000772EC">
              <w:t xml:space="preserve">provocations </w:t>
            </w:r>
            <w:r>
              <w:t>in the Western Balkans</w:t>
            </w:r>
          </w:p>
          <w:p w14:paraId="78DE03F4" w14:textId="77777777" w:rsidR="00DA4252" w:rsidRDefault="00DA4252" w:rsidP="00DC65EA">
            <w:pPr>
              <w:jc w:val="both"/>
            </w:pPr>
          </w:p>
          <w:p w14:paraId="784AA7EA" w14:textId="77777777" w:rsidR="00DA4252" w:rsidRDefault="00DA4252" w:rsidP="00DC65EA">
            <w:pPr>
              <w:jc w:val="both"/>
            </w:pPr>
            <w:r w:rsidRPr="006B20F0">
              <w:t xml:space="preserve">EU personal sanctions against </w:t>
            </w:r>
            <w:r>
              <w:t xml:space="preserve">Russian leaders </w:t>
            </w:r>
            <w:r w:rsidRPr="006B20F0">
              <w:t>Vladimir Putin and Sergey Lavrov</w:t>
            </w:r>
          </w:p>
          <w:p w14:paraId="6318BB02" w14:textId="77777777" w:rsidR="00DA4252" w:rsidRDefault="00DA4252" w:rsidP="00DC65EA">
            <w:pPr>
              <w:jc w:val="both"/>
            </w:pPr>
          </w:p>
          <w:p w14:paraId="46CB376F" w14:textId="1B797D83" w:rsidR="00DA4252" w:rsidRDefault="00DA4252" w:rsidP="00DC65EA">
            <w:pPr>
              <w:jc w:val="both"/>
            </w:pPr>
            <w:r>
              <w:t>A joint statement of the European Commission, the European Central Bank</w:t>
            </w:r>
            <w:r w:rsidR="0020443A">
              <w:t>,</w:t>
            </w:r>
            <w:r>
              <w:t xml:space="preserve"> and the Economic and Financial Affairs Council on their unity and commitment to consider all possible sanctions, and on their will to strengthen the economic independence of Europe</w:t>
            </w:r>
          </w:p>
          <w:p w14:paraId="7D1A72E4" w14:textId="77777777" w:rsidR="00DA4252" w:rsidRDefault="00DA4252" w:rsidP="00DC65EA">
            <w:pPr>
              <w:jc w:val="both"/>
            </w:pPr>
          </w:p>
        </w:tc>
      </w:tr>
      <w:tr w:rsidR="00DA4252" w14:paraId="675B2A1D" w14:textId="77777777" w:rsidTr="00DC65EA">
        <w:tc>
          <w:tcPr>
            <w:tcW w:w="1555" w:type="dxa"/>
          </w:tcPr>
          <w:p w14:paraId="463E8B28" w14:textId="77777777" w:rsidR="00DA4252" w:rsidRDefault="00DA4252" w:rsidP="00DC65EA">
            <w:pPr>
              <w:jc w:val="center"/>
            </w:pPr>
            <w:r>
              <w:t>27 February</w:t>
            </w:r>
          </w:p>
        </w:tc>
        <w:tc>
          <w:tcPr>
            <w:tcW w:w="7507" w:type="dxa"/>
          </w:tcPr>
          <w:p w14:paraId="686D63CE" w14:textId="77777777" w:rsidR="00DA4252" w:rsidRDefault="00DA4252" w:rsidP="00DC65EA">
            <w:pPr>
              <w:jc w:val="both"/>
            </w:pPr>
            <w:r>
              <w:t>Extraordinary Justice and Home Affairs Council:</w:t>
            </w:r>
          </w:p>
          <w:p w14:paraId="479AD3B7" w14:textId="3A752DB8" w:rsidR="00DA4252" w:rsidRDefault="00DA4252" w:rsidP="00DC65EA">
            <w:pPr>
              <w:pStyle w:val="ListParagraph"/>
              <w:numPr>
                <w:ilvl w:val="0"/>
                <w:numId w:val="12"/>
              </w:numPr>
              <w:jc w:val="both"/>
            </w:pPr>
            <w:r>
              <w:t xml:space="preserve">Full activation of the EU Integrated Political Crisis Response (IPCR) to monitor the Ukraine crisis, coordinate solidarity measures and involve all relevant actors; focus on five aspects: </w:t>
            </w:r>
            <w:r w:rsidRPr="00A40417">
              <w:t xml:space="preserve">humanitarian </w:t>
            </w:r>
            <w:r w:rsidR="00730C66" w:rsidRPr="00A40417">
              <w:t>support</w:t>
            </w:r>
            <w:r w:rsidRPr="00A40417">
              <w:t xml:space="preserve">, reception of refugees, </w:t>
            </w:r>
            <w:r w:rsidR="00730C66" w:rsidRPr="00CF3D8F">
              <w:t>m</w:t>
            </w:r>
            <w:r w:rsidR="00730C66" w:rsidRPr="00A40417">
              <w:t>anag</w:t>
            </w:r>
            <w:r w:rsidR="00730C66" w:rsidRPr="00CF3D8F">
              <w:t>e</w:t>
            </w:r>
            <w:r w:rsidR="00730C66" w:rsidRPr="00A40417">
              <w:t xml:space="preserve">ment </w:t>
            </w:r>
            <w:r w:rsidRPr="00A40417">
              <w:t>of the external borders, measures of visas and anticipation of hybrid</w:t>
            </w:r>
            <w:r>
              <w:t xml:space="preserve"> threats</w:t>
            </w:r>
          </w:p>
          <w:p w14:paraId="19B8F351" w14:textId="77777777" w:rsidR="00DA4252" w:rsidRDefault="00DA4252" w:rsidP="00DC65EA">
            <w:pPr>
              <w:ind w:left="360"/>
              <w:jc w:val="both"/>
            </w:pPr>
          </w:p>
        </w:tc>
      </w:tr>
      <w:tr w:rsidR="00DA4252" w14:paraId="3B88CA6F" w14:textId="77777777" w:rsidTr="00DC65EA">
        <w:tc>
          <w:tcPr>
            <w:tcW w:w="1555" w:type="dxa"/>
          </w:tcPr>
          <w:p w14:paraId="2F6B8383" w14:textId="77777777" w:rsidR="00DA4252" w:rsidRDefault="00DA4252" w:rsidP="00DC65EA">
            <w:pPr>
              <w:jc w:val="center"/>
            </w:pPr>
            <w:r w:rsidRPr="00E47D3F">
              <w:t>28 February</w:t>
            </w:r>
          </w:p>
        </w:tc>
        <w:tc>
          <w:tcPr>
            <w:tcW w:w="7507" w:type="dxa"/>
          </w:tcPr>
          <w:p w14:paraId="4AA0FE6C" w14:textId="77777777" w:rsidR="00DA4252" w:rsidRDefault="00DA4252" w:rsidP="00DC65EA">
            <w:pPr>
              <w:jc w:val="both"/>
            </w:pPr>
            <w:r>
              <w:t>New EU sanctions against Russia, for example,</w:t>
            </w:r>
            <w:r>
              <w:br/>
              <w:t>on transactions with the Russian Central Bank, the overflight of EU airspace and access to EU airports by Russian aircrafts</w:t>
            </w:r>
          </w:p>
          <w:p w14:paraId="1D4D5A2A" w14:textId="77777777" w:rsidR="00DA4252" w:rsidRDefault="00DA4252" w:rsidP="00DC65EA">
            <w:pPr>
              <w:jc w:val="both"/>
            </w:pPr>
          </w:p>
        </w:tc>
      </w:tr>
      <w:tr w:rsidR="00DA4252" w14:paraId="3108CBC0" w14:textId="77777777" w:rsidTr="00DC65EA">
        <w:tc>
          <w:tcPr>
            <w:tcW w:w="1555" w:type="dxa"/>
          </w:tcPr>
          <w:p w14:paraId="09CAE19D" w14:textId="77777777" w:rsidR="00DA4252" w:rsidRPr="00E47D3F" w:rsidRDefault="00DA4252" w:rsidP="00DC65EA">
            <w:pPr>
              <w:jc w:val="center"/>
            </w:pPr>
            <w:r w:rsidRPr="00E47D3F">
              <w:t>9 March</w:t>
            </w:r>
          </w:p>
        </w:tc>
        <w:tc>
          <w:tcPr>
            <w:tcW w:w="7507" w:type="dxa"/>
          </w:tcPr>
          <w:p w14:paraId="473DFCFB" w14:textId="77777777" w:rsidR="00DA4252" w:rsidRDefault="00DA4252" w:rsidP="00DC65EA">
            <w:pPr>
              <w:jc w:val="both"/>
            </w:pPr>
            <w:r>
              <w:t>New EU sanctions against Russia, for example, on Russian state-owned outlets Russia Today and Sputnik, a SWIFT ban on selected Russian banks, sanctions on 160 individuals</w:t>
            </w:r>
          </w:p>
          <w:p w14:paraId="301F04D2" w14:textId="77777777" w:rsidR="00DA4252" w:rsidRDefault="00DA4252" w:rsidP="00DC65EA">
            <w:pPr>
              <w:jc w:val="both"/>
            </w:pPr>
          </w:p>
        </w:tc>
      </w:tr>
      <w:tr w:rsidR="00DA4252" w14:paraId="48711A47" w14:textId="77777777" w:rsidTr="00DC65EA">
        <w:tc>
          <w:tcPr>
            <w:tcW w:w="1555" w:type="dxa"/>
          </w:tcPr>
          <w:p w14:paraId="397D47F6" w14:textId="77777777" w:rsidR="00DA4252" w:rsidRPr="00E47D3F" w:rsidRDefault="00DA4252" w:rsidP="00DC65EA">
            <w:pPr>
              <w:jc w:val="center"/>
            </w:pPr>
            <w:r>
              <w:t>3-4 March</w:t>
            </w:r>
          </w:p>
        </w:tc>
        <w:tc>
          <w:tcPr>
            <w:tcW w:w="7507" w:type="dxa"/>
          </w:tcPr>
          <w:p w14:paraId="163E7F96" w14:textId="77777777" w:rsidR="00DA4252" w:rsidRDefault="00DA4252" w:rsidP="00DC65EA">
            <w:pPr>
              <w:jc w:val="both"/>
            </w:pPr>
            <w:r>
              <w:t>Justice and Home Affairs Council:</w:t>
            </w:r>
          </w:p>
          <w:p w14:paraId="76B16173" w14:textId="3C67B74C" w:rsidR="00DA4252" w:rsidRDefault="00DA4252" w:rsidP="00DC65EA">
            <w:pPr>
              <w:pStyle w:val="ListParagraph"/>
              <w:numPr>
                <w:ilvl w:val="0"/>
                <w:numId w:val="18"/>
              </w:numPr>
              <w:jc w:val="both"/>
            </w:pPr>
            <w:r>
              <w:t xml:space="preserve">Establishment of a temporary protection mechanism in response to the influx </w:t>
            </w:r>
            <w:r w:rsidR="00A4248E">
              <w:t xml:space="preserve">of </w:t>
            </w:r>
            <w:r>
              <w:t xml:space="preserve">displaced persons from Ukraine (Council Directive 2001/55/EC) </w:t>
            </w:r>
          </w:p>
          <w:p w14:paraId="0DF46F51" w14:textId="77777777" w:rsidR="00DA4252" w:rsidRDefault="00DA4252" w:rsidP="00DC65EA">
            <w:pPr>
              <w:pStyle w:val="ListParagraph"/>
              <w:numPr>
                <w:ilvl w:val="0"/>
                <w:numId w:val="13"/>
              </w:numPr>
              <w:jc w:val="both"/>
            </w:pPr>
            <w:r>
              <w:t>First meeting of the ‘Schengen Council’</w:t>
            </w:r>
          </w:p>
          <w:p w14:paraId="755F37AF" w14:textId="77777777" w:rsidR="00DA4252" w:rsidRDefault="00DA4252" w:rsidP="00DC65EA">
            <w:pPr>
              <w:pStyle w:val="ListParagraph"/>
              <w:numPr>
                <w:ilvl w:val="0"/>
                <w:numId w:val="13"/>
              </w:numPr>
              <w:jc w:val="both"/>
            </w:pPr>
            <w:r>
              <w:t>Adoption of a general approach on a Council regulation reforming the Schengen evaluation and monitoring mechanism</w:t>
            </w:r>
          </w:p>
          <w:p w14:paraId="60E83CCB" w14:textId="77777777" w:rsidR="00DA4252" w:rsidRDefault="00DA4252" w:rsidP="00DC65EA">
            <w:pPr>
              <w:jc w:val="both"/>
            </w:pPr>
          </w:p>
        </w:tc>
      </w:tr>
      <w:tr w:rsidR="00DA4252" w14:paraId="0D7CB1D0" w14:textId="77777777" w:rsidTr="00DC65EA">
        <w:tc>
          <w:tcPr>
            <w:tcW w:w="1555" w:type="dxa"/>
          </w:tcPr>
          <w:p w14:paraId="3609EA2A" w14:textId="77777777" w:rsidR="00DA4252" w:rsidRDefault="00DA4252" w:rsidP="00DC65EA">
            <w:pPr>
              <w:jc w:val="center"/>
            </w:pPr>
            <w:r>
              <w:lastRenderedPageBreak/>
              <w:t>4 March</w:t>
            </w:r>
          </w:p>
        </w:tc>
        <w:tc>
          <w:tcPr>
            <w:tcW w:w="7507" w:type="dxa"/>
          </w:tcPr>
          <w:p w14:paraId="356914F7" w14:textId="77777777" w:rsidR="00DA4252" w:rsidRDefault="00DA4252" w:rsidP="00DC65EA">
            <w:pPr>
              <w:jc w:val="both"/>
            </w:pPr>
            <w:r>
              <w:t xml:space="preserve">Extraordinary Foreign Affairs Council (including teleconferences with Ukraine’s Foreign Minister Dmytro Kuleba, US Secretary of State Antony Blinken, NATO Secretary Liz Truss and Canada’s Foreign Minister Melanie Joly): </w:t>
            </w:r>
          </w:p>
          <w:p w14:paraId="1B561B0E" w14:textId="77777777" w:rsidR="00DA4252" w:rsidRDefault="00DA4252" w:rsidP="00DC65EA">
            <w:pPr>
              <w:pStyle w:val="ListParagraph"/>
              <w:numPr>
                <w:ilvl w:val="0"/>
                <w:numId w:val="19"/>
              </w:numPr>
              <w:jc w:val="both"/>
            </w:pPr>
            <w:r>
              <w:t xml:space="preserve">Discussions on the latest developments regarding Russia’s war in Ukraine </w:t>
            </w:r>
          </w:p>
          <w:p w14:paraId="51589AF6" w14:textId="77777777" w:rsidR="00DA4252" w:rsidRDefault="00DA4252" w:rsidP="00DC65EA">
            <w:pPr>
              <w:pStyle w:val="ListParagraph"/>
              <w:numPr>
                <w:ilvl w:val="0"/>
                <w:numId w:val="19"/>
              </w:numPr>
              <w:jc w:val="both"/>
            </w:pPr>
            <w:r>
              <w:t>Agreement on further reduction of the EU’s energy dependency from Russia.</w:t>
            </w:r>
          </w:p>
          <w:p w14:paraId="4F3DB605" w14:textId="77777777" w:rsidR="00DA4252" w:rsidRDefault="00DA4252" w:rsidP="00DC65EA">
            <w:pPr>
              <w:jc w:val="both"/>
            </w:pPr>
          </w:p>
        </w:tc>
      </w:tr>
      <w:tr w:rsidR="00DA4252" w14:paraId="5DB8F8D5" w14:textId="77777777" w:rsidTr="00DC65EA">
        <w:tc>
          <w:tcPr>
            <w:tcW w:w="1555" w:type="dxa"/>
          </w:tcPr>
          <w:p w14:paraId="03BE43CB" w14:textId="77777777" w:rsidR="00DA4252" w:rsidRDefault="00DA4252" w:rsidP="00DC65EA">
            <w:pPr>
              <w:jc w:val="center"/>
            </w:pPr>
            <w:r>
              <w:t>10-11 March</w:t>
            </w:r>
          </w:p>
        </w:tc>
        <w:tc>
          <w:tcPr>
            <w:tcW w:w="7507" w:type="dxa"/>
          </w:tcPr>
          <w:p w14:paraId="353B844F" w14:textId="77777777" w:rsidR="00DA4252" w:rsidRDefault="00DA4252" w:rsidP="00DC65EA">
            <w:pPr>
              <w:jc w:val="both"/>
            </w:pPr>
            <w:r>
              <w:t>Informal meeting of heads of state or government:</w:t>
            </w:r>
          </w:p>
          <w:p w14:paraId="474FA211" w14:textId="71EFB513" w:rsidR="00DA4252" w:rsidRDefault="00DA4252" w:rsidP="00DC65EA">
            <w:pPr>
              <w:pStyle w:val="ListParagraph"/>
              <w:numPr>
                <w:ilvl w:val="0"/>
                <w:numId w:val="20"/>
              </w:numPr>
              <w:jc w:val="both"/>
            </w:pPr>
            <w:r>
              <w:t xml:space="preserve">The Versailles declaration to condemn Russia’s </w:t>
            </w:r>
            <w:r w:rsidR="00D34D83">
              <w:t xml:space="preserve">aggression </w:t>
            </w:r>
            <w:r>
              <w:t>against Ukraine and outline how the EU can bolster defence capabilities, reduce energy dependencies</w:t>
            </w:r>
            <w:r w:rsidR="00456BC7">
              <w:t>,</w:t>
            </w:r>
            <w:r>
              <w:t xml:space="preserve"> and build a more robust economic base</w:t>
            </w:r>
          </w:p>
          <w:p w14:paraId="55093812" w14:textId="77777777" w:rsidR="00DA4252" w:rsidRDefault="00DA4252" w:rsidP="00DC65EA">
            <w:pPr>
              <w:pStyle w:val="ListParagraph"/>
              <w:jc w:val="both"/>
            </w:pPr>
          </w:p>
        </w:tc>
      </w:tr>
      <w:tr w:rsidR="00DA4252" w14:paraId="6E1795FF" w14:textId="77777777" w:rsidTr="00DC65EA">
        <w:tc>
          <w:tcPr>
            <w:tcW w:w="1555" w:type="dxa"/>
          </w:tcPr>
          <w:p w14:paraId="1C2EEB9B" w14:textId="77777777" w:rsidR="00DA4252" w:rsidRDefault="00DA4252" w:rsidP="00DC65EA">
            <w:pPr>
              <w:jc w:val="center"/>
            </w:pPr>
            <w:r>
              <w:t>14 March</w:t>
            </w:r>
          </w:p>
        </w:tc>
        <w:tc>
          <w:tcPr>
            <w:tcW w:w="7507" w:type="dxa"/>
          </w:tcPr>
          <w:p w14:paraId="4F11662F" w14:textId="77777777" w:rsidR="00DA4252" w:rsidRDefault="00DA4252" w:rsidP="00DC65EA">
            <w:pPr>
              <w:jc w:val="both"/>
            </w:pPr>
            <w:r>
              <w:t>Eurogroup:</w:t>
            </w:r>
          </w:p>
          <w:p w14:paraId="698A00D9" w14:textId="77777777" w:rsidR="00DA4252" w:rsidRDefault="00DA4252" w:rsidP="00DC65EA">
            <w:pPr>
              <w:pStyle w:val="ListParagraph"/>
              <w:numPr>
                <w:ilvl w:val="0"/>
                <w:numId w:val="20"/>
              </w:numPr>
              <w:jc w:val="both"/>
            </w:pPr>
            <w:r>
              <w:t>Discussion on the fiscal policy coordination for 2023, with a focus on safeguarding the economic recovery in the euro area</w:t>
            </w:r>
          </w:p>
          <w:p w14:paraId="6E4F749F" w14:textId="5DABA943" w:rsidR="00DA4252" w:rsidRDefault="00DA4252" w:rsidP="00DC65EA">
            <w:pPr>
              <w:pStyle w:val="ListParagraph"/>
              <w:numPr>
                <w:ilvl w:val="0"/>
                <w:numId w:val="14"/>
              </w:numPr>
              <w:jc w:val="both"/>
            </w:pPr>
            <w:r>
              <w:t>Taking stock of the economic situation arising from Russia’s military ag</w:t>
            </w:r>
            <w:r w:rsidR="00AA3913">
              <w:t>g</w:t>
            </w:r>
            <w:r>
              <w:t xml:space="preserve">ression against Ukraine </w:t>
            </w:r>
          </w:p>
          <w:p w14:paraId="7939F843" w14:textId="77777777" w:rsidR="00DA4252" w:rsidRPr="00AA03A9" w:rsidRDefault="00DA4252" w:rsidP="00DC65EA">
            <w:pPr>
              <w:pStyle w:val="ListParagraph"/>
              <w:numPr>
                <w:ilvl w:val="0"/>
                <w:numId w:val="14"/>
              </w:numPr>
              <w:jc w:val="both"/>
            </w:pPr>
            <w:r>
              <w:t xml:space="preserve">Discussion on the </w:t>
            </w:r>
            <w:r w:rsidRPr="00CF3D8F">
              <w:rPr>
                <w:lang w:val="en-IN"/>
              </w:rPr>
              <w:t>13th</w:t>
            </w:r>
            <w:r>
              <w:t xml:space="preserve"> enhanced surveillance report on Greece</w:t>
            </w:r>
          </w:p>
          <w:p w14:paraId="3FF60FF6" w14:textId="77777777" w:rsidR="00DA4252" w:rsidRDefault="00DA4252" w:rsidP="00DC65EA">
            <w:pPr>
              <w:pStyle w:val="ListParagraph"/>
              <w:numPr>
                <w:ilvl w:val="0"/>
                <w:numId w:val="14"/>
              </w:numPr>
              <w:jc w:val="both"/>
            </w:pPr>
            <w:r>
              <w:t>Further discussion on the Banking Union</w:t>
            </w:r>
          </w:p>
          <w:p w14:paraId="5DCF2050" w14:textId="77777777" w:rsidR="00DA4252" w:rsidRDefault="00DA4252" w:rsidP="00DC65EA">
            <w:pPr>
              <w:jc w:val="both"/>
            </w:pPr>
          </w:p>
        </w:tc>
      </w:tr>
      <w:tr w:rsidR="00DA4252" w14:paraId="64038C24" w14:textId="77777777" w:rsidTr="00DC65EA">
        <w:tc>
          <w:tcPr>
            <w:tcW w:w="1555" w:type="dxa"/>
          </w:tcPr>
          <w:p w14:paraId="19E237EC" w14:textId="77777777" w:rsidR="00DA4252" w:rsidRDefault="00DA4252" w:rsidP="00DC65EA">
            <w:pPr>
              <w:jc w:val="center"/>
            </w:pPr>
            <w:r>
              <w:t>15 March</w:t>
            </w:r>
          </w:p>
        </w:tc>
        <w:tc>
          <w:tcPr>
            <w:tcW w:w="7507" w:type="dxa"/>
          </w:tcPr>
          <w:p w14:paraId="16881BF3" w14:textId="77777777" w:rsidR="00DA4252" w:rsidRDefault="00DA4252" w:rsidP="00DC65EA">
            <w:pPr>
              <w:jc w:val="both"/>
            </w:pPr>
            <w:r>
              <w:t>Economic and Financial Affairs Council:</w:t>
            </w:r>
          </w:p>
          <w:p w14:paraId="7EA4EA21" w14:textId="77777777" w:rsidR="00DA4252" w:rsidRDefault="00DA4252" w:rsidP="00DC65EA">
            <w:pPr>
              <w:pStyle w:val="ListParagraph"/>
              <w:numPr>
                <w:ilvl w:val="0"/>
                <w:numId w:val="21"/>
              </w:numPr>
              <w:jc w:val="both"/>
            </w:pPr>
            <w:r>
              <w:t>Discussion on the economic and financial consequences of the anti-Russian sanctions</w:t>
            </w:r>
          </w:p>
          <w:p w14:paraId="17B6DE50" w14:textId="77777777" w:rsidR="00DA4252" w:rsidRDefault="00DA4252" w:rsidP="00DC65EA">
            <w:pPr>
              <w:pStyle w:val="ListParagraph"/>
              <w:numPr>
                <w:ilvl w:val="0"/>
                <w:numId w:val="21"/>
              </w:numPr>
              <w:jc w:val="both"/>
            </w:pPr>
            <w:r>
              <w:t>Agreement on the Carbon Border Adjustment Mechanism (CBAM) as part of the EU’s ‘Fit for 55’ package</w:t>
            </w:r>
          </w:p>
          <w:p w14:paraId="5D7B734F" w14:textId="77777777" w:rsidR="00DA4252" w:rsidRDefault="00DA4252" w:rsidP="00DC65EA">
            <w:pPr>
              <w:pStyle w:val="ListParagraph"/>
              <w:jc w:val="both"/>
            </w:pPr>
          </w:p>
        </w:tc>
      </w:tr>
      <w:tr w:rsidR="00DA4252" w14:paraId="7148C6D5" w14:textId="77777777" w:rsidTr="00DC65EA">
        <w:tc>
          <w:tcPr>
            <w:tcW w:w="1555" w:type="dxa"/>
          </w:tcPr>
          <w:p w14:paraId="7724373D" w14:textId="77777777" w:rsidR="00DA4252" w:rsidRDefault="00DA4252" w:rsidP="00DC65EA">
            <w:pPr>
              <w:jc w:val="center"/>
            </w:pPr>
            <w:r w:rsidRPr="00E47D3F">
              <w:t>24-25 March</w:t>
            </w:r>
          </w:p>
        </w:tc>
        <w:tc>
          <w:tcPr>
            <w:tcW w:w="7507" w:type="dxa"/>
          </w:tcPr>
          <w:p w14:paraId="43680A28" w14:textId="77777777" w:rsidR="00DA4252" w:rsidRDefault="00DA4252" w:rsidP="00DC65EA">
            <w:pPr>
              <w:jc w:val="both"/>
            </w:pPr>
            <w:r>
              <w:t>T</w:t>
            </w:r>
            <w:r w:rsidRPr="00E47D3F">
              <w:t>he European Co</w:t>
            </w:r>
            <w:r>
              <w:t>u</w:t>
            </w:r>
            <w:r w:rsidRPr="00E47D3F">
              <w:t>ncil</w:t>
            </w:r>
            <w:r>
              <w:t xml:space="preserve"> to </w:t>
            </w:r>
            <w:r w:rsidRPr="00E47D3F">
              <w:t>set up a Ukraine Solidarity Trust Fund</w:t>
            </w:r>
          </w:p>
          <w:p w14:paraId="095A890F" w14:textId="77777777" w:rsidR="00DA4252" w:rsidRDefault="00DA4252" w:rsidP="00DC65EA">
            <w:pPr>
              <w:jc w:val="both"/>
            </w:pPr>
          </w:p>
        </w:tc>
      </w:tr>
      <w:tr w:rsidR="00DA4252" w14:paraId="1FA09A00" w14:textId="77777777" w:rsidTr="00DC65EA">
        <w:tc>
          <w:tcPr>
            <w:tcW w:w="1555" w:type="dxa"/>
          </w:tcPr>
          <w:p w14:paraId="1000D709" w14:textId="77777777" w:rsidR="00DA4252" w:rsidRPr="00E47D3F" w:rsidRDefault="00DA4252" w:rsidP="00DC65EA">
            <w:pPr>
              <w:jc w:val="center"/>
            </w:pPr>
            <w:r w:rsidRPr="00E47D3F">
              <w:t>6 April</w:t>
            </w:r>
          </w:p>
        </w:tc>
        <w:tc>
          <w:tcPr>
            <w:tcW w:w="7507" w:type="dxa"/>
          </w:tcPr>
          <w:p w14:paraId="0B463F47" w14:textId="77777777" w:rsidR="00DA4252" w:rsidRDefault="00DA4252" w:rsidP="00DC65EA">
            <w:pPr>
              <w:jc w:val="both"/>
            </w:pPr>
            <w:r>
              <w:t xml:space="preserve">The </w:t>
            </w:r>
            <w:r w:rsidRPr="00E47D3F">
              <w:t xml:space="preserve">Council of the EU: </w:t>
            </w:r>
          </w:p>
          <w:p w14:paraId="20F63374" w14:textId="77777777" w:rsidR="00DA4252" w:rsidRDefault="00DA4252" w:rsidP="00DC65EA">
            <w:pPr>
              <w:pStyle w:val="ListParagraph"/>
              <w:numPr>
                <w:ilvl w:val="0"/>
                <w:numId w:val="22"/>
              </w:numPr>
              <w:jc w:val="both"/>
            </w:pPr>
            <w:r>
              <w:t>A</w:t>
            </w:r>
            <w:r w:rsidRPr="00E47D3F">
              <w:t>pproval of immediate disbursement of 3.5 billion euros under REACT-EU (Recovery Assistance for Cohesion and the Territories of Europe) to EU countries welcoming refugees from Ukraine</w:t>
            </w:r>
          </w:p>
          <w:p w14:paraId="2020A682" w14:textId="77777777" w:rsidR="00DA4252" w:rsidRPr="00E47D3F" w:rsidRDefault="00DA4252" w:rsidP="00DC65EA">
            <w:pPr>
              <w:pStyle w:val="ListParagraph"/>
              <w:jc w:val="both"/>
            </w:pPr>
          </w:p>
        </w:tc>
      </w:tr>
      <w:tr w:rsidR="00DA4252" w14:paraId="74AF7AED" w14:textId="77777777" w:rsidTr="00DC65EA">
        <w:tc>
          <w:tcPr>
            <w:tcW w:w="1555" w:type="dxa"/>
          </w:tcPr>
          <w:p w14:paraId="6F40C47E" w14:textId="77777777" w:rsidR="00DA4252" w:rsidRPr="00E47D3F" w:rsidRDefault="00DA4252" w:rsidP="00DC65EA">
            <w:pPr>
              <w:jc w:val="center"/>
            </w:pPr>
            <w:r w:rsidRPr="00E47D3F">
              <w:t>8 April</w:t>
            </w:r>
          </w:p>
        </w:tc>
        <w:tc>
          <w:tcPr>
            <w:tcW w:w="7507" w:type="dxa"/>
          </w:tcPr>
          <w:p w14:paraId="22BF1574" w14:textId="77777777" w:rsidR="00DA4252" w:rsidRDefault="00DA4252" w:rsidP="00DC65EA">
            <w:pPr>
              <w:jc w:val="both"/>
            </w:pPr>
            <w:r>
              <w:t>New EU sanctions against Russia, for example, on imports of coal and other solid fossil fuels, on all Russian vessels from accessing EU ports, on Russian and Belarusian road transport operators from entering the EU.</w:t>
            </w:r>
          </w:p>
          <w:p w14:paraId="17A6CA66" w14:textId="77777777" w:rsidR="00DA4252" w:rsidRPr="00E47D3F" w:rsidRDefault="00DA4252" w:rsidP="00DC65EA">
            <w:pPr>
              <w:jc w:val="both"/>
            </w:pPr>
          </w:p>
        </w:tc>
      </w:tr>
      <w:tr w:rsidR="00DA4252" w14:paraId="7F1A2B52" w14:textId="77777777" w:rsidTr="00DC65EA">
        <w:tc>
          <w:tcPr>
            <w:tcW w:w="1555" w:type="dxa"/>
          </w:tcPr>
          <w:p w14:paraId="0B0BC811" w14:textId="77777777" w:rsidR="00DA4252" w:rsidRPr="00E47D3F" w:rsidRDefault="00DA4252" w:rsidP="00DC65EA">
            <w:pPr>
              <w:jc w:val="center"/>
            </w:pPr>
            <w:r>
              <w:t>11 April</w:t>
            </w:r>
          </w:p>
        </w:tc>
        <w:tc>
          <w:tcPr>
            <w:tcW w:w="7507" w:type="dxa"/>
          </w:tcPr>
          <w:p w14:paraId="5E06F24A" w14:textId="77777777" w:rsidR="00DA4252" w:rsidRDefault="00DA4252" w:rsidP="00DC65EA">
            <w:pPr>
              <w:jc w:val="both"/>
            </w:pPr>
            <w:r>
              <w:t>Foreign Affairs Council:</w:t>
            </w:r>
          </w:p>
          <w:p w14:paraId="4B89F0FA" w14:textId="77777777" w:rsidR="00DA4252" w:rsidRDefault="00DA4252" w:rsidP="00DC65EA">
            <w:pPr>
              <w:pStyle w:val="ListParagraph"/>
              <w:numPr>
                <w:ilvl w:val="0"/>
                <w:numId w:val="15"/>
              </w:numPr>
              <w:jc w:val="both"/>
            </w:pPr>
            <w:r>
              <w:t>Discussion on the accountability for Russia’s gross violation of international law</w:t>
            </w:r>
          </w:p>
          <w:p w14:paraId="05EE7679" w14:textId="77777777" w:rsidR="00DA4252" w:rsidRDefault="00DA4252" w:rsidP="00DC65EA">
            <w:pPr>
              <w:pStyle w:val="ListParagraph"/>
              <w:numPr>
                <w:ilvl w:val="0"/>
                <w:numId w:val="15"/>
              </w:numPr>
              <w:jc w:val="both"/>
            </w:pPr>
            <w:r>
              <w:t xml:space="preserve">Agreement on supporting the International Criminal Court’s prosecutor and the Ukrainian prosecutor financially and with staff </w:t>
            </w:r>
          </w:p>
          <w:p w14:paraId="2843B6A8" w14:textId="77777777" w:rsidR="00DA4252" w:rsidRDefault="00DA4252" w:rsidP="00DC65EA">
            <w:pPr>
              <w:pStyle w:val="ListParagraph"/>
              <w:numPr>
                <w:ilvl w:val="0"/>
                <w:numId w:val="15"/>
              </w:numPr>
              <w:jc w:val="both"/>
            </w:pPr>
            <w:r>
              <w:t>Discussions on the efforts to reinforce strategic communication and counter disinformation, including in the context of the Russia-Ukraine War.</w:t>
            </w:r>
          </w:p>
          <w:p w14:paraId="48C3156F" w14:textId="77777777" w:rsidR="00DA4252" w:rsidRDefault="00DA4252" w:rsidP="00DC65EA">
            <w:pPr>
              <w:pStyle w:val="ListParagraph"/>
              <w:jc w:val="both"/>
            </w:pPr>
          </w:p>
        </w:tc>
      </w:tr>
      <w:tr w:rsidR="00DA4252" w14:paraId="50D6B5E8" w14:textId="77777777" w:rsidTr="00DC65EA">
        <w:tc>
          <w:tcPr>
            <w:tcW w:w="1555" w:type="dxa"/>
          </w:tcPr>
          <w:p w14:paraId="29FCED7D" w14:textId="77777777" w:rsidR="00DA4252" w:rsidRDefault="00DA4252" w:rsidP="00DC65EA">
            <w:pPr>
              <w:jc w:val="center"/>
            </w:pPr>
            <w:r>
              <w:t>12 April</w:t>
            </w:r>
          </w:p>
        </w:tc>
        <w:tc>
          <w:tcPr>
            <w:tcW w:w="7507" w:type="dxa"/>
          </w:tcPr>
          <w:p w14:paraId="672FA242" w14:textId="77777777" w:rsidR="00DA4252" w:rsidRDefault="00DA4252" w:rsidP="00DC65EA">
            <w:pPr>
              <w:jc w:val="both"/>
            </w:pPr>
            <w:r>
              <w:t>General Affairs Council:</w:t>
            </w:r>
          </w:p>
          <w:p w14:paraId="2970B39E" w14:textId="389638F4" w:rsidR="00DA4252" w:rsidRDefault="00DA4252" w:rsidP="00DC65EA">
            <w:pPr>
              <w:pStyle w:val="ListParagraph"/>
              <w:numPr>
                <w:ilvl w:val="0"/>
                <w:numId w:val="23"/>
              </w:numPr>
              <w:jc w:val="both"/>
            </w:pPr>
            <w:r>
              <w:t>Discussion on the rule of law in Luxembourg, Hungary, Malta, the Netherlands</w:t>
            </w:r>
            <w:r w:rsidR="00712A0D">
              <w:t>,</w:t>
            </w:r>
            <w:r>
              <w:t xml:space="preserve"> and Austria in the framework of the annual rule of law dialogue</w:t>
            </w:r>
          </w:p>
          <w:p w14:paraId="63A76E9E" w14:textId="77777777" w:rsidR="00DA4252" w:rsidRDefault="00DA4252" w:rsidP="00DC65EA">
            <w:pPr>
              <w:pStyle w:val="ListParagraph"/>
              <w:numPr>
                <w:ilvl w:val="0"/>
                <w:numId w:val="23"/>
              </w:numPr>
              <w:jc w:val="both"/>
            </w:pPr>
            <w:r>
              <w:t>Further preparation for the Conference on the Future of Europe</w:t>
            </w:r>
          </w:p>
          <w:p w14:paraId="294B8269" w14:textId="77777777" w:rsidR="00DA4252" w:rsidRDefault="00DA4252" w:rsidP="00DC65EA">
            <w:pPr>
              <w:pStyle w:val="ListParagraph"/>
              <w:jc w:val="both"/>
            </w:pPr>
          </w:p>
        </w:tc>
      </w:tr>
      <w:tr w:rsidR="00DA4252" w14:paraId="633C9DEF" w14:textId="77777777" w:rsidTr="00DC65EA">
        <w:tc>
          <w:tcPr>
            <w:tcW w:w="1555" w:type="dxa"/>
          </w:tcPr>
          <w:p w14:paraId="580D7539" w14:textId="77777777" w:rsidR="00DA4252" w:rsidRDefault="00DA4252" w:rsidP="00DC65EA">
            <w:pPr>
              <w:jc w:val="center"/>
            </w:pPr>
            <w:r w:rsidRPr="008757F6">
              <w:lastRenderedPageBreak/>
              <w:t>2 May</w:t>
            </w:r>
          </w:p>
        </w:tc>
        <w:tc>
          <w:tcPr>
            <w:tcW w:w="7507" w:type="dxa"/>
          </w:tcPr>
          <w:p w14:paraId="1756F3C9" w14:textId="77777777" w:rsidR="00DA4252" w:rsidRDefault="00DA4252" w:rsidP="00DC65EA">
            <w:pPr>
              <w:jc w:val="both"/>
            </w:pPr>
            <w:r>
              <w:t xml:space="preserve">Extraordinary Transport, Telecommunications and Energy Council (Energy): </w:t>
            </w:r>
          </w:p>
          <w:p w14:paraId="7DD324F5" w14:textId="77777777" w:rsidR="00DA4252" w:rsidRDefault="00DA4252" w:rsidP="00DC65EA">
            <w:pPr>
              <w:pStyle w:val="ListParagraph"/>
              <w:numPr>
                <w:ilvl w:val="0"/>
                <w:numId w:val="24"/>
              </w:numPr>
              <w:jc w:val="both"/>
            </w:pPr>
            <w:r>
              <w:t>Commitments to work towards the gradual elimination of the EU's dependence on Russian fossil fuels</w:t>
            </w:r>
          </w:p>
          <w:p w14:paraId="283DBB06" w14:textId="77777777" w:rsidR="00DA4252" w:rsidRDefault="00DA4252" w:rsidP="00DC65EA">
            <w:pPr>
              <w:pStyle w:val="ListParagraph"/>
              <w:jc w:val="both"/>
            </w:pPr>
          </w:p>
        </w:tc>
      </w:tr>
      <w:tr w:rsidR="00DA4252" w14:paraId="0C6411F8" w14:textId="77777777" w:rsidTr="00DC65EA">
        <w:tc>
          <w:tcPr>
            <w:tcW w:w="1555" w:type="dxa"/>
          </w:tcPr>
          <w:p w14:paraId="2783C1FA" w14:textId="77777777" w:rsidR="00DA4252" w:rsidRPr="008757F6" w:rsidRDefault="00DA4252" w:rsidP="00DC65EA">
            <w:pPr>
              <w:jc w:val="center"/>
            </w:pPr>
            <w:r w:rsidRPr="00612958">
              <w:t>11 May</w:t>
            </w:r>
          </w:p>
        </w:tc>
        <w:tc>
          <w:tcPr>
            <w:tcW w:w="7507" w:type="dxa"/>
          </w:tcPr>
          <w:p w14:paraId="04B559BB" w14:textId="77777777" w:rsidR="00DA4252" w:rsidRDefault="00DA4252" w:rsidP="00DC65EA">
            <w:pPr>
              <w:jc w:val="both"/>
            </w:pPr>
            <w:r>
              <w:t>T</w:t>
            </w:r>
            <w:r w:rsidRPr="00612958">
              <w:t xml:space="preserve">he Council of the EU: </w:t>
            </w:r>
          </w:p>
          <w:p w14:paraId="3C402078" w14:textId="77777777" w:rsidR="00DA4252" w:rsidRDefault="00DA4252" w:rsidP="00DC65EA">
            <w:pPr>
              <w:pStyle w:val="ListParagraph"/>
              <w:numPr>
                <w:ilvl w:val="0"/>
                <w:numId w:val="24"/>
              </w:numPr>
              <w:jc w:val="both"/>
            </w:pPr>
            <w:r>
              <w:t>M</w:t>
            </w:r>
            <w:r w:rsidRPr="00612958">
              <w:t xml:space="preserve">ember states' mandate for negotiations with the European Parliament on the Commission's proposal on gas storage </w:t>
            </w:r>
            <w:r>
              <w:t xml:space="preserve">including </w:t>
            </w:r>
            <w:r w:rsidRPr="00612958">
              <w:t>gas storage capacity sharing in a spirit of solidarity</w:t>
            </w:r>
            <w:r>
              <w:t xml:space="preserve"> between member states</w:t>
            </w:r>
          </w:p>
          <w:p w14:paraId="032A64A7" w14:textId="77777777" w:rsidR="00DA4252" w:rsidRDefault="00DA4252" w:rsidP="00DC65EA">
            <w:pPr>
              <w:pStyle w:val="ListParagraph"/>
              <w:jc w:val="both"/>
            </w:pPr>
          </w:p>
        </w:tc>
      </w:tr>
      <w:tr w:rsidR="00DA4252" w14:paraId="3FDC2F0A" w14:textId="77777777" w:rsidTr="00DC65EA">
        <w:tc>
          <w:tcPr>
            <w:tcW w:w="1555" w:type="dxa"/>
          </w:tcPr>
          <w:p w14:paraId="76120C84" w14:textId="77777777" w:rsidR="00DA4252" w:rsidRPr="00612958" w:rsidRDefault="00DA4252" w:rsidP="00DC65EA">
            <w:pPr>
              <w:jc w:val="center"/>
            </w:pPr>
            <w:r w:rsidRPr="008757F6">
              <w:t>12 May</w:t>
            </w:r>
          </w:p>
        </w:tc>
        <w:tc>
          <w:tcPr>
            <w:tcW w:w="7507" w:type="dxa"/>
          </w:tcPr>
          <w:p w14:paraId="2D772858" w14:textId="77777777" w:rsidR="00DA4252" w:rsidRDefault="00DA4252" w:rsidP="00DC65EA">
            <w:pPr>
              <w:jc w:val="both"/>
            </w:pPr>
            <w:r>
              <w:t xml:space="preserve">EU–Japan summit (28th summit): </w:t>
            </w:r>
          </w:p>
          <w:p w14:paraId="4F538106" w14:textId="77777777" w:rsidR="00DA4252" w:rsidRDefault="00DA4252" w:rsidP="00DC65EA">
            <w:pPr>
              <w:pStyle w:val="ListParagraph"/>
              <w:numPr>
                <w:ilvl w:val="0"/>
                <w:numId w:val="24"/>
              </w:numPr>
              <w:jc w:val="both"/>
            </w:pPr>
            <w:r>
              <w:t>Reaffirmation of a close and comprehensive partnership</w:t>
            </w:r>
          </w:p>
          <w:p w14:paraId="5189A0D7" w14:textId="77777777" w:rsidR="00DA4252" w:rsidRDefault="00DA4252" w:rsidP="00DC65EA">
            <w:pPr>
              <w:pStyle w:val="ListParagraph"/>
              <w:numPr>
                <w:ilvl w:val="0"/>
                <w:numId w:val="24"/>
              </w:numPr>
              <w:jc w:val="both"/>
            </w:pPr>
            <w:r>
              <w:t>A joint statement and launch of the Digital Partnership</w:t>
            </w:r>
          </w:p>
          <w:p w14:paraId="27EC33E5" w14:textId="65B93C77" w:rsidR="00DA4252" w:rsidRDefault="00DA4252" w:rsidP="00DC65EA">
            <w:pPr>
              <w:pStyle w:val="ListParagraph"/>
              <w:numPr>
                <w:ilvl w:val="0"/>
                <w:numId w:val="24"/>
              </w:numPr>
              <w:jc w:val="both"/>
            </w:pPr>
            <w:r>
              <w:t>Agreement on expanding cooperation in areas such as cybersecurity, disinformation, maritime security</w:t>
            </w:r>
            <w:r w:rsidR="00DA09E6">
              <w:t>,</w:t>
            </w:r>
            <w:r>
              <w:t xml:space="preserve"> and crisis management</w:t>
            </w:r>
          </w:p>
          <w:p w14:paraId="2B8F9F3A" w14:textId="77777777" w:rsidR="00DA4252" w:rsidRPr="00612958" w:rsidRDefault="00DA4252" w:rsidP="00DC65EA">
            <w:pPr>
              <w:jc w:val="both"/>
            </w:pPr>
          </w:p>
        </w:tc>
      </w:tr>
      <w:tr w:rsidR="00DA4252" w14:paraId="1910439B" w14:textId="77777777" w:rsidTr="00DC65EA">
        <w:tc>
          <w:tcPr>
            <w:tcW w:w="1555" w:type="dxa"/>
          </w:tcPr>
          <w:p w14:paraId="7D056A98" w14:textId="77777777" w:rsidR="00DA4252" w:rsidRPr="008757F6" w:rsidRDefault="00DA4252" w:rsidP="00DC65EA">
            <w:pPr>
              <w:jc w:val="center"/>
            </w:pPr>
            <w:r w:rsidRPr="008757F6">
              <w:t>16 May</w:t>
            </w:r>
          </w:p>
        </w:tc>
        <w:tc>
          <w:tcPr>
            <w:tcW w:w="7507" w:type="dxa"/>
          </w:tcPr>
          <w:p w14:paraId="53D752DC" w14:textId="77777777" w:rsidR="00DA4252" w:rsidRDefault="00DA4252" w:rsidP="00DC65EA">
            <w:pPr>
              <w:jc w:val="both"/>
            </w:pPr>
            <w:r>
              <w:t>EU–Canada Joint Ministerial Committee meeting (third meeting):</w:t>
            </w:r>
          </w:p>
          <w:p w14:paraId="0692B5B1" w14:textId="77777777" w:rsidR="00DA4252" w:rsidRDefault="00DA4252" w:rsidP="00DC65EA">
            <w:pPr>
              <w:pStyle w:val="ListParagraph"/>
              <w:numPr>
                <w:ilvl w:val="0"/>
                <w:numId w:val="25"/>
              </w:numPr>
              <w:jc w:val="both"/>
            </w:pPr>
            <w:r>
              <w:t>Joint declaration on a strategic partnership</w:t>
            </w:r>
          </w:p>
          <w:p w14:paraId="4550ECC4" w14:textId="14028B46" w:rsidR="00DA4252" w:rsidRDefault="00DA4252" w:rsidP="00DC65EA">
            <w:pPr>
              <w:pStyle w:val="ListParagraph"/>
              <w:numPr>
                <w:ilvl w:val="0"/>
                <w:numId w:val="25"/>
              </w:numPr>
              <w:jc w:val="both"/>
            </w:pPr>
            <w:r>
              <w:t xml:space="preserve">Discussion on joint political, financial, </w:t>
            </w:r>
            <w:r w:rsidR="003059EB">
              <w:t xml:space="preserve">military </w:t>
            </w:r>
            <w:r>
              <w:t>and humanitarian support to Ukraine in the context of Russia's military aggression</w:t>
            </w:r>
          </w:p>
          <w:p w14:paraId="4C97EE26" w14:textId="77777777" w:rsidR="00DA4252" w:rsidRDefault="00DA4252" w:rsidP="00DC65EA">
            <w:pPr>
              <w:ind w:left="360"/>
              <w:jc w:val="both"/>
            </w:pPr>
          </w:p>
          <w:p w14:paraId="7B980490" w14:textId="77777777" w:rsidR="00DA4252" w:rsidRDefault="00DA4252" w:rsidP="00DC65EA">
            <w:pPr>
              <w:jc w:val="both"/>
            </w:pPr>
            <w:r>
              <w:t xml:space="preserve">Foreign Affairs Council: </w:t>
            </w:r>
          </w:p>
          <w:p w14:paraId="11F40393" w14:textId="77777777" w:rsidR="00DA4252" w:rsidRDefault="00DA4252" w:rsidP="00DC65EA">
            <w:pPr>
              <w:pStyle w:val="ListParagraph"/>
              <w:numPr>
                <w:ilvl w:val="0"/>
                <w:numId w:val="26"/>
              </w:numPr>
              <w:jc w:val="both"/>
            </w:pPr>
            <w:r>
              <w:t>Strategic discussion on how the EU can help mitigate the impact of Russia's aggression against Ukraine on the Western Balkans</w:t>
            </w:r>
          </w:p>
          <w:p w14:paraId="5939CA3C" w14:textId="77777777" w:rsidR="00DA4252" w:rsidRDefault="00DA4252" w:rsidP="00DC65EA">
            <w:pPr>
              <w:pStyle w:val="ListParagraph"/>
              <w:jc w:val="both"/>
            </w:pPr>
          </w:p>
        </w:tc>
      </w:tr>
      <w:tr w:rsidR="00DA4252" w14:paraId="02FA579A" w14:textId="77777777" w:rsidTr="00DC65EA">
        <w:tc>
          <w:tcPr>
            <w:tcW w:w="1555" w:type="dxa"/>
          </w:tcPr>
          <w:p w14:paraId="1FFE42B0" w14:textId="77777777" w:rsidR="00DA4252" w:rsidRPr="008757F6" w:rsidRDefault="00DA4252" w:rsidP="00DC65EA">
            <w:pPr>
              <w:jc w:val="center"/>
            </w:pPr>
            <w:r w:rsidRPr="008757F6">
              <w:t>17 May</w:t>
            </w:r>
          </w:p>
        </w:tc>
        <w:tc>
          <w:tcPr>
            <w:tcW w:w="7507" w:type="dxa"/>
          </w:tcPr>
          <w:p w14:paraId="7851284F" w14:textId="77777777" w:rsidR="00DA4252" w:rsidRDefault="00DA4252" w:rsidP="00DC65EA">
            <w:pPr>
              <w:jc w:val="both"/>
            </w:pPr>
            <w:r>
              <w:t xml:space="preserve">Foreign Affairs Council (Defence) (including the participance of NATO Deputy Secretary-General Mircea Geoană and Ukraine's Minister of Defence Oleksii Reznikov): </w:t>
            </w:r>
          </w:p>
          <w:p w14:paraId="5C845EC0" w14:textId="77777777" w:rsidR="00DA4252" w:rsidRDefault="00DA4252" w:rsidP="00DC65EA">
            <w:pPr>
              <w:pStyle w:val="ListParagraph"/>
              <w:numPr>
                <w:ilvl w:val="0"/>
                <w:numId w:val="26"/>
              </w:numPr>
              <w:jc w:val="both"/>
            </w:pPr>
            <w:r>
              <w:t>Agreement on additional 500 million euros under the European Peace Facility to increase the EU's total military support for the Ukrainian armed forces since the start of Russia's invasion to 2 billion euros</w:t>
            </w:r>
          </w:p>
          <w:p w14:paraId="5D33D5EC" w14:textId="77777777" w:rsidR="00DA4252" w:rsidRDefault="00DA4252" w:rsidP="00DC65EA">
            <w:pPr>
              <w:pStyle w:val="ListParagraph"/>
              <w:numPr>
                <w:ilvl w:val="0"/>
                <w:numId w:val="26"/>
              </w:numPr>
              <w:jc w:val="both"/>
            </w:pPr>
            <w:r>
              <w:t>Discussion on the implementation of the ‘Strategic Compass’ including over 80  actions, 51 of which to be implemented by the end of 2022</w:t>
            </w:r>
          </w:p>
          <w:p w14:paraId="28A2A756" w14:textId="77777777" w:rsidR="00DA4252" w:rsidRDefault="00DA4252" w:rsidP="00DC65EA">
            <w:pPr>
              <w:jc w:val="both"/>
            </w:pPr>
          </w:p>
        </w:tc>
      </w:tr>
      <w:tr w:rsidR="00DA4252" w14:paraId="390A52CB" w14:textId="77777777" w:rsidTr="00DC65EA">
        <w:tc>
          <w:tcPr>
            <w:tcW w:w="1555" w:type="dxa"/>
          </w:tcPr>
          <w:p w14:paraId="58FF5BC0" w14:textId="77777777" w:rsidR="00DA4252" w:rsidRPr="008757F6" w:rsidRDefault="00DA4252" w:rsidP="00DC65EA">
            <w:pPr>
              <w:jc w:val="center"/>
            </w:pPr>
            <w:r w:rsidRPr="008757F6">
              <w:t>18 May</w:t>
            </w:r>
          </w:p>
        </w:tc>
        <w:tc>
          <w:tcPr>
            <w:tcW w:w="7507" w:type="dxa"/>
          </w:tcPr>
          <w:p w14:paraId="576FC66B" w14:textId="77777777" w:rsidR="00DA4252" w:rsidRDefault="00DA4252" w:rsidP="00DC65EA">
            <w:pPr>
              <w:jc w:val="both"/>
            </w:pPr>
            <w:r>
              <w:t xml:space="preserve">EU–Armenia Partnership Council (fourth meeting): </w:t>
            </w:r>
          </w:p>
          <w:p w14:paraId="761BD667" w14:textId="77777777" w:rsidR="00DA4252" w:rsidRDefault="00DA4252" w:rsidP="00DC65EA">
            <w:pPr>
              <w:pStyle w:val="ListParagraph"/>
              <w:numPr>
                <w:ilvl w:val="0"/>
                <w:numId w:val="27"/>
              </w:numPr>
              <w:jc w:val="both"/>
            </w:pPr>
            <w:r>
              <w:t>Review of the implementation of the Comprehensive and Enhanced Partnership Agreement (CEPA) (in force since 1 March 2021)</w:t>
            </w:r>
          </w:p>
          <w:p w14:paraId="24FD1DF6" w14:textId="77777777" w:rsidR="00DA4252" w:rsidRDefault="00DA4252" w:rsidP="00DC65EA">
            <w:pPr>
              <w:jc w:val="both"/>
            </w:pPr>
          </w:p>
          <w:p w14:paraId="1D73399D" w14:textId="77777777" w:rsidR="00DA4252" w:rsidRDefault="00DA4252" w:rsidP="00DC65EA">
            <w:pPr>
              <w:jc w:val="both"/>
            </w:pPr>
            <w:r>
              <w:t xml:space="preserve">European Union Military Committee (EUMC), EU chiefs of defence: </w:t>
            </w:r>
          </w:p>
          <w:p w14:paraId="68760E4E" w14:textId="77777777" w:rsidR="00DA4252" w:rsidRDefault="00DA4252" w:rsidP="00DC65EA">
            <w:pPr>
              <w:pStyle w:val="ListParagraph"/>
              <w:numPr>
                <w:ilvl w:val="0"/>
                <w:numId w:val="27"/>
              </w:numPr>
              <w:jc w:val="both"/>
            </w:pPr>
            <w:r>
              <w:t>Discussion on the implications of Russia's war in Ukraine, as well as on the CSDP military activities, with a focus on the ‘Strategic Compass’ and the new EU Rapid Deployment Capacity (EU RDC)</w:t>
            </w:r>
          </w:p>
          <w:p w14:paraId="140FB11D" w14:textId="77777777" w:rsidR="00DA4252" w:rsidRDefault="00DA4252" w:rsidP="00DC65EA">
            <w:pPr>
              <w:jc w:val="both"/>
            </w:pPr>
          </w:p>
        </w:tc>
      </w:tr>
      <w:tr w:rsidR="00DA4252" w14:paraId="0F33BF7F" w14:textId="77777777" w:rsidTr="00DC65EA">
        <w:tc>
          <w:tcPr>
            <w:tcW w:w="1555" w:type="dxa"/>
          </w:tcPr>
          <w:p w14:paraId="5C17047F" w14:textId="77777777" w:rsidR="00DA4252" w:rsidRPr="008757F6" w:rsidRDefault="00DA4252" w:rsidP="00DC65EA">
            <w:pPr>
              <w:jc w:val="center"/>
            </w:pPr>
            <w:r w:rsidRPr="008757F6">
              <w:t>20 May</w:t>
            </w:r>
          </w:p>
        </w:tc>
        <w:tc>
          <w:tcPr>
            <w:tcW w:w="7507" w:type="dxa"/>
          </w:tcPr>
          <w:p w14:paraId="7A14524D" w14:textId="77777777" w:rsidR="00DA4252" w:rsidRDefault="00DA4252" w:rsidP="00DC65EA">
            <w:pPr>
              <w:jc w:val="both"/>
            </w:pPr>
            <w:r w:rsidRPr="008757F6">
              <w:t xml:space="preserve">Foreign Affairs Council (Development): </w:t>
            </w:r>
          </w:p>
          <w:p w14:paraId="78A64FD3" w14:textId="77777777" w:rsidR="00DA4252" w:rsidRDefault="00DA4252" w:rsidP="00DC65EA">
            <w:pPr>
              <w:pStyle w:val="ListParagraph"/>
              <w:numPr>
                <w:ilvl w:val="0"/>
                <w:numId w:val="27"/>
              </w:numPr>
              <w:jc w:val="both"/>
            </w:pPr>
            <w:r>
              <w:t>D</w:t>
            </w:r>
            <w:r w:rsidRPr="008757F6">
              <w:t>iscussion on a multilateral response to the global food security crisis generated by Russia's war in Ukraine</w:t>
            </w:r>
          </w:p>
          <w:p w14:paraId="1F515B99" w14:textId="77777777" w:rsidR="00DA4252" w:rsidRDefault="00DA4252" w:rsidP="00DC65EA">
            <w:pPr>
              <w:jc w:val="both"/>
            </w:pPr>
          </w:p>
        </w:tc>
      </w:tr>
      <w:tr w:rsidR="00DA4252" w14:paraId="20FCCDB2" w14:textId="77777777" w:rsidTr="00DC65EA">
        <w:tc>
          <w:tcPr>
            <w:tcW w:w="1555" w:type="dxa"/>
          </w:tcPr>
          <w:p w14:paraId="4F46267B" w14:textId="77777777" w:rsidR="00DA4252" w:rsidRPr="008757F6" w:rsidRDefault="00DA4252" w:rsidP="00DC65EA">
            <w:pPr>
              <w:jc w:val="center"/>
            </w:pPr>
            <w:r w:rsidRPr="0049384C">
              <w:t>27 May</w:t>
            </w:r>
          </w:p>
        </w:tc>
        <w:tc>
          <w:tcPr>
            <w:tcW w:w="7507" w:type="dxa"/>
          </w:tcPr>
          <w:p w14:paraId="513F1121" w14:textId="77777777" w:rsidR="00DA4252" w:rsidRDefault="00DA4252" w:rsidP="00DC65EA">
            <w:pPr>
              <w:jc w:val="both"/>
            </w:pPr>
            <w:r>
              <w:t>T</w:t>
            </w:r>
            <w:r w:rsidRPr="0049384C">
              <w:t xml:space="preserve">he Council of the EU: </w:t>
            </w:r>
          </w:p>
          <w:p w14:paraId="7B80EDA9" w14:textId="40A5A92A" w:rsidR="00DA4252" w:rsidRDefault="00DA4252" w:rsidP="00DC65EA">
            <w:pPr>
              <w:pStyle w:val="ListParagraph"/>
              <w:numPr>
                <w:ilvl w:val="0"/>
                <w:numId w:val="27"/>
              </w:numPr>
              <w:jc w:val="both"/>
            </w:pPr>
            <w:r>
              <w:t>A</w:t>
            </w:r>
            <w:r w:rsidRPr="0049384C">
              <w:t>doption of regulations for temporary trade liberali</w:t>
            </w:r>
            <w:r w:rsidR="00F4329B">
              <w:t>z</w:t>
            </w:r>
            <w:r w:rsidRPr="0049384C">
              <w:t>ation with Ukraine</w:t>
            </w:r>
          </w:p>
          <w:p w14:paraId="1C2A61F6" w14:textId="77777777" w:rsidR="00DA4252" w:rsidRPr="008757F6" w:rsidRDefault="00DA4252" w:rsidP="00DC65EA">
            <w:pPr>
              <w:jc w:val="both"/>
            </w:pPr>
          </w:p>
        </w:tc>
      </w:tr>
      <w:tr w:rsidR="00DA4252" w14:paraId="3E94A029" w14:textId="77777777" w:rsidTr="00DC65EA">
        <w:tc>
          <w:tcPr>
            <w:tcW w:w="1555" w:type="dxa"/>
          </w:tcPr>
          <w:p w14:paraId="1D6BE967" w14:textId="77777777" w:rsidR="00DA4252" w:rsidRPr="008757F6" w:rsidRDefault="00DA4252" w:rsidP="00DC65EA">
            <w:pPr>
              <w:jc w:val="center"/>
            </w:pPr>
            <w:r w:rsidRPr="008757F6">
              <w:lastRenderedPageBreak/>
              <w:t>30-31 May</w:t>
            </w:r>
          </w:p>
        </w:tc>
        <w:tc>
          <w:tcPr>
            <w:tcW w:w="7507" w:type="dxa"/>
          </w:tcPr>
          <w:p w14:paraId="4FE5CFB0" w14:textId="77777777" w:rsidR="00DA4252" w:rsidRDefault="00DA4252" w:rsidP="00DC65EA">
            <w:pPr>
              <w:jc w:val="both"/>
            </w:pPr>
            <w:r>
              <w:t>Special meeting of the European Council (including a teleconference with Ukraine's President Volodymyr Zelenskyy):</w:t>
            </w:r>
          </w:p>
          <w:p w14:paraId="3E5D606A" w14:textId="77777777" w:rsidR="00DA4252" w:rsidRDefault="00DA4252" w:rsidP="00DC65EA">
            <w:pPr>
              <w:pStyle w:val="ListParagraph"/>
              <w:numPr>
                <w:ilvl w:val="0"/>
                <w:numId w:val="27"/>
              </w:numPr>
              <w:jc w:val="both"/>
            </w:pPr>
            <w:r>
              <w:t>Conclusions on the war in Ukraine, food security, security and defence, and energy</w:t>
            </w:r>
          </w:p>
          <w:p w14:paraId="1F48954E" w14:textId="77777777" w:rsidR="00DA4252" w:rsidRPr="008757F6" w:rsidRDefault="00DA4252" w:rsidP="00DC65EA">
            <w:pPr>
              <w:pStyle w:val="ListParagraph"/>
              <w:jc w:val="both"/>
            </w:pPr>
          </w:p>
        </w:tc>
      </w:tr>
      <w:tr w:rsidR="00DA4252" w14:paraId="0A98171F" w14:textId="77777777" w:rsidTr="00DC65EA">
        <w:tc>
          <w:tcPr>
            <w:tcW w:w="1555" w:type="dxa"/>
          </w:tcPr>
          <w:p w14:paraId="66D12207" w14:textId="77777777" w:rsidR="00DA4252" w:rsidRPr="008757F6" w:rsidRDefault="00DA4252" w:rsidP="00DC65EA">
            <w:pPr>
              <w:jc w:val="center"/>
            </w:pPr>
            <w:r w:rsidRPr="008757F6">
              <w:t>2 June</w:t>
            </w:r>
          </w:p>
        </w:tc>
        <w:tc>
          <w:tcPr>
            <w:tcW w:w="7507" w:type="dxa"/>
          </w:tcPr>
          <w:p w14:paraId="00135E48" w14:textId="77777777" w:rsidR="00DA4252" w:rsidRDefault="00DA4252" w:rsidP="00DC65EA">
            <w:pPr>
              <w:jc w:val="both"/>
            </w:pPr>
            <w:r>
              <w:t xml:space="preserve">General Affairs Council (Cohesion): </w:t>
            </w:r>
          </w:p>
          <w:p w14:paraId="0214ADAD" w14:textId="77777777" w:rsidR="00DA4252" w:rsidRDefault="00DA4252" w:rsidP="00DC65EA">
            <w:pPr>
              <w:pStyle w:val="ListParagraph"/>
              <w:numPr>
                <w:ilvl w:val="0"/>
                <w:numId w:val="27"/>
              </w:numPr>
              <w:jc w:val="both"/>
            </w:pPr>
            <w:r>
              <w:t>Discussion on the 8th European Commission report on the economic, social and territorial cohesion, and the impact of the war in Ukraine on cohesion policy</w:t>
            </w:r>
          </w:p>
          <w:p w14:paraId="6E577E31" w14:textId="77777777" w:rsidR="00DA4252" w:rsidRDefault="00DA4252" w:rsidP="00DC65EA">
            <w:pPr>
              <w:jc w:val="both"/>
            </w:pPr>
          </w:p>
          <w:p w14:paraId="2D911C13" w14:textId="77777777" w:rsidR="00DA4252" w:rsidRDefault="00DA4252" w:rsidP="00DC65EA">
            <w:pPr>
              <w:jc w:val="both"/>
            </w:pPr>
            <w:r>
              <w:t xml:space="preserve">Jordan–EU Association Council (14th meeting): </w:t>
            </w:r>
          </w:p>
          <w:p w14:paraId="32EED97F" w14:textId="77777777" w:rsidR="00DA4252" w:rsidRDefault="00DA4252" w:rsidP="00DC65EA">
            <w:pPr>
              <w:pStyle w:val="ListParagraph"/>
              <w:numPr>
                <w:ilvl w:val="0"/>
                <w:numId w:val="27"/>
              </w:numPr>
              <w:jc w:val="both"/>
            </w:pPr>
            <w:r>
              <w:t>Focus on the implementation of the EU-Jordan Association Agreement</w:t>
            </w:r>
          </w:p>
          <w:p w14:paraId="101AB9C0" w14:textId="77777777" w:rsidR="00DA4252" w:rsidRDefault="00DA4252" w:rsidP="00DC65EA">
            <w:pPr>
              <w:pStyle w:val="ListParagraph"/>
              <w:numPr>
                <w:ilvl w:val="0"/>
                <w:numId w:val="27"/>
              </w:numPr>
              <w:jc w:val="both"/>
            </w:pPr>
            <w:r>
              <w:t>Adoption of the new EU-Jordan Partnership Priorities until 2027</w:t>
            </w:r>
          </w:p>
          <w:p w14:paraId="6C54C1B4" w14:textId="77777777" w:rsidR="00DA4252" w:rsidRDefault="00DA4252" w:rsidP="00DC65EA">
            <w:pPr>
              <w:pStyle w:val="ListParagraph"/>
              <w:jc w:val="both"/>
            </w:pPr>
          </w:p>
        </w:tc>
      </w:tr>
      <w:tr w:rsidR="00DA4252" w14:paraId="160FFFD2" w14:textId="77777777" w:rsidTr="00DC65EA">
        <w:tc>
          <w:tcPr>
            <w:tcW w:w="1555" w:type="dxa"/>
          </w:tcPr>
          <w:p w14:paraId="07BBB624" w14:textId="77777777" w:rsidR="00DA4252" w:rsidRPr="008757F6" w:rsidRDefault="00DA4252" w:rsidP="00DC65EA">
            <w:pPr>
              <w:jc w:val="center"/>
            </w:pPr>
            <w:r w:rsidRPr="008757F6">
              <w:t>3 June</w:t>
            </w:r>
          </w:p>
        </w:tc>
        <w:tc>
          <w:tcPr>
            <w:tcW w:w="7507" w:type="dxa"/>
          </w:tcPr>
          <w:p w14:paraId="47472732" w14:textId="77777777" w:rsidR="00DA4252" w:rsidRDefault="00DA4252" w:rsidP="00DC65EA">
            <w:pPr>
              <w:jc w:val="both"/>
            </w:pPr>
            <w:r>
              <w:t xml:space="preserve">Foreign Affairs Council (Trade): </w:t>
            </w:r>
          </w:p>
          <w:p w14:paraId="0FB771C6" w14:textId="77777777" w:rsidR="00DA4252" w:rsidRDefault="00DA4252" w:rsidP="00DC65EA">
            <w:pPr>
              <w:pStyle w:val="ListParagraph"/>
              <w:numPr>
                <w:ilvl w:val="0"/>
                <w:numId w:val="27"/>
              </w:numPr>
              <w:jc w:val="both"/>
            </w:pPr>
            <w:r>
              <w:t>Preparations for the 12th World Trade Organization (WTO) ministerial conference (CM12) in Geneva, held on 12–15 June 2022, against the backdrop of Russia’s aggression against Ukraine and the COVID-19 pandemic</w:t>
            </w:r>
          </w:p>
          <w:p w14:paraId="0B946CC9" w14:textId="77777777" w:rsidR="00DA4252" w:rsidRDefault="00DA4252" w:rsidP="00DC65EA">
            <w:pPr>
              <w:pStyle w:val="ListParagraph"/>
              <w:numPr>
                <w:ilvl w:val="0"/>
                <w:numId w:val="27"/>
              </w:numPr>
              <w:jc w:val="both"/>
            </w:pPr>
            <w:r>
              <w:t>Review of the results of the 12th EU–US Trade and Technology Council (TTC) held on 16 May at Paris-Saclay</w:t>
            </w:r>
          </w:p>
          <w:p w14:paraId="581E02CE" w14:textId="176A8E3F" w:rsidR="00DA4252" w:rsidRDefault="00DA4252" w:rsidP="00DC65EA">
            <w:pPr>
              <w:pStyle w:val="ListParagraph"/>
              <w:numPr>
                <w:ilvl w:val="0"/>
                <w:numId w:val="27"/>
              </w:numPr>
              <w:jc w:val="both"/>
            </w:pPr>
            <w:r>
              <w:t>Ongoing bilateral trade and investment negotiations with New Zealand, Australia, Indonesia</w:t>
            </w:r>
            <w:r w:rsidR="00FB5DD9">
              <w:t>,</w:t>
            </w:r>
            <w:r>
              <w:t xml:space="preserve"> and India.</w:t>
            </w:r>
          </w:p>
          <w:p w14:paraId="125E83FD" w14:textId="77777777" w:rsidR="00DA4252" w:rsidRDefault="00DA4252" w:rsidP="00DC65EA">
            <w:pPr>
              <w:jc w:val="both"/>
            </w:pPr>
          </w:p>
          <w:p w14:paraId="4EFA2AA5" w14:textId="77777777" w:rsidR="00DA4252" w:rsidRDefault="00DA4252" w:rsidP="00DC65EA">
            <w:pPr>
              <w:jc w:val="both"/>
            </w:pPr>
            <w:r>
              <w:t xml:space="preserve">New EU sanctions against Russia, </w:t>
            </w:r>
            <w:r w:rsidRPr="00905A6C">
              <w:t>for example, on crude oil and petroleum products</w:t>
            </w:r>
          </w:p>
          <w:p w14:paraId="6E42DC72" w14:textId="77777777" w:rsidR="00DA4252" w:rsidRDefault="00DA4252" w:rsidP="00DC65EA">
            <w:pPr>
              <w:jc w:val="both"/>
            </w:pPr>
          </w:p>
        </w:tc>
      </w:tr>
      <w:tr w:rsidR="00DA4252" w14:paraId="0ACC7CF9" w14:textId="77777777" w:rsidTr="00DC65EA">
        <w:tc>
          <w:tcPr>
            <w:tcW w:w="1555" w:type="dxa"/>
          </w:tcPr>
          <w:p w14:paraId="7ED5DF3F" w14:textId="77777777" w:rsidR="00DA4252" w:rsidRPr="008757F6" w:rsidRDefault="00DA4252" w:rsidP="00DC65EA">
            <w:pPr>
              <w:jc w:val="center"/>
            </w:pPr>
            <w:r w:rsidRPr="008757F6">
              <w:t>9-10 June</w:t>
            </w:r>
          </w:p>
        </w:tc>
        <w:tc>
          <w:tcPr>
            <w:tcW w:w="7507" w:type="dxa"/>
          </w:tcPr>
          <w:p w14:paraId="6DE26A6C" w14:textId="77777777" w:rsidR="00DA4252" w:rsidRDefault="00DA4252" w:rsidP="00DC65EA">
            <w:pPr>
              <w:jc w:val="both"/>
            </w:pPr>
            <w:r>
              <w:t xml:space="preserve">Competitiveness Council: </w:t>
            </w:r>
          </w:p>
          <w:p w14:paraId="221998DD" w14:textId="77777777" w:rsidR="00DA4252" w:rsidRDefault="00DA4252" w:rsidP="00DC65EA">
            <w:pPr>
              <w:pStyle w:val="ListParagraph"/>
              <w:numPr>
                <w:ilvl w:val="0"/>
                <w:numId w:val="28"/>
              </w:numPr>
              <w:jc w:val="both"/>
            </w:pPr>
            <w:r>
              <w:t>Approval of a general approach on the 2021 European Commission proposal for a consumer credit directive</w:t>
            </w:r>
          </w:p>
          <w:p w14:paraId="4B0A11DA" w14:textId="6C20B7DE" w:rsidR="00DA4252" w:rsidRDefault="00DA4252" w:rsidP="00DC65EA">
            <w:pPr>
              <w:pStyle w:val="ListParagraph"/>
              <w:numPr>
                <w:ilvl w:val="0"/>
                <w:numId w:val="28"/>
              </w:numPr>
              <w:jc w:val="both"/>
            </w:pPr>
            <w:r>
              <w:t xml:space="preserve">Welcome of the Chips Act as to  guarantee the EU's future technological </w:t>
            </w:r>
            <w:r w:rsidR="00E46D99">
              <w:t>sovereignty</w:t>
            </w:r>
          </w:p>
          <w:p w14:paraId="5C5BC18B" w14:textId="77777777" w:rsidR="00DA4252" w:rsidRDefault="00DA4252" w:rsidP="00DC65EA">
            <w:pPr>
              <w:pStyle w:val="ListParagraph"/>
              <w:numPr>
                <w:ilvl w:val="0"/>
                <w:numId w:val="28"/>
              </w:numPr>
              <w:jc w:val="both"/>
            </w:pPr>
            <w:r>
              <w:t>Policy debate on the resilience of strategic industrial ecosystems</w:t>
            </w:r>
          </w:p>
          <w:p w14:paraId="471CDA2C" w14:textId="77777777" w:rsidR="00DA4252" w:rsidRDefault="00DA4252" w:rsidP="00DC65EA">
            <w:pPr>
              <w:jc w:val="both"/>
            </w:pPr>
          </w:p>
          <w:p w14:paraId="38EA9A4F" w14:textId="77777777" w:rsidR="00DA4252" w:rsidRDefault="00DA4252" w:rsidP="00DC65EA">
            <w:pPr>
              <w:jc w:val="both"/>
            </w:pPr>
            <w:r w:rsidRPr="008757F6">
              <w:t xml:space="preserve">Justice and Home Affairs Council: </w:t>
            </w:r>
          </w:p>
          <w:p w14:paraId="1B2E97C0" w14:textId="77777777" w:rsidR="00DA4252" w:rsidRDefault="00DA4252" w:rsidP="00DC65EA">
            <w:pPr>
              <w:pStyle w:val="ListParagraph"/>
              <w:numPr>
                <w:ilvl w:val="0"/>
                <w:numId w:val="29"/>
              </w:numPr>
              <w:jc w:val="both"/>
            </w:pPr>
            <w:r>
              <w:t>D</w:t>
            </w:r>
            <w:r w:rsidRPr="008757F6">
              <w:t>iscussion on the judicial response to Russia's aggression against Ukraine</w:t>
            </w:r>
          </w:p>
          <w:p w14:paraId="65806C6D" w14:textId="77777777" w:rsidR="00DA4252" w:rsidRDefault="00DA4252" w:rsidP="00DC65EA">
            <w:pPr>
              <w:jc w:val="both"/>
            </w:pPr>
          </w:p>
        </w:tc>
      </w:tr>
      <w:tr w:rsidR="00DA4252" w14:paraId="633C2A53" w14:textId="77777777" w:rsidTr="00DC65EA">
        <w:tc>
          <w:tcPr>
            <w:tcW w:w="1555" w:type="dxa"/>
          </w:tcPr>
          <w:p w14:paraId="61E31B18" w14:textId="77777777" w:rsidR="00DA4252" w:rsidRPr="008757F6" w:rsidRDefault="00DA4252" w:rsidP="00DC65EA">
            <w:pPr>
              <w:jc w:val="center"/>
            </w:pPr>
            <w:r w:rsidRPr="008757F6">
              <w:t>14 June</w:t>
            </w:r>
          </w:p>
        </w:tc>
        <w:tc>
          <w:tcPr>
            <w:tcW w:w="7507" w:type="dxa"/>
          </w:tcPr>
          <w:p w14:paraId="6093623A" w14:textId="77777777" w:rsidR="00DA4252" w:rsidRDefault="00DA4252" w:rsidP="00DC65EA">
            <w:pPr>
              <w:jc w:val="both"/>
            </w:pPr>
            <w:r>
              <w:t xml:space="preserve">Employment, Social Policy, Health and Consumer Affairs Council (Health): </w:t>
            </w:r>
          </w:p>
          <w:p w14:paraId="112C243D" w14:textId="77777777" w:rsidR="00DA4252" w:rsidRDefault="00DA4252" w:rsidP="00DC65EA">
            <w:pPr>
              <w:pStyle w:val="ListParagraph"/>
              <w:numPr>
                <w:ilvl w:val="0"/>
                <w:numId w:val="29"/>
              </w:numPr>
              <w:jc w:val="both"/>
            </w:pPr>
            <w:r>
              <w:t>Discussions on the 2022 European Commission proposal for a regulation on the European Health Data Space (EHDS)</w:t>
            </w:r>
          </w:p>
          <w:p w14:paraId="6576F17A" w14:textId="77777777" w:rsidR="00DA4252" w:rsidRDefault="00DA4252" w:rsidP="00DC65EA">
            <w:pPr>
              <w:pStyle w:val="ListParagraph"/>
              <w:numPr>
                <w:ilvl w:val="0"/>
                <w:numId w:val="29"/>
              </w:numPr>
              <w:jc w:val="both"/>
            </w:pPr>
            <w:r>
              <w:t>Review of the EU global health strategy</w:t>
            </w:r>
          </w:p>
          <w:p w14:paraId="1F1AD3CD" w14:textId="77777777" w:rsidR="00DA4252" w:rsidRDefault="00DA4252" w:rsidP="00DC65EA">
            <w:pPr>
              <w:jc w:val="both"/>
            </w:pPr>
          </w:p>
        </w:tc>
      </w:tr>
      <w:tr w:rsidR="00DA4252" w14:paraId="299F822B" w14:textId="77777777" w:rsidTr="00DC65EA">
        <w:tc>
          <w:tcPr>
            <w:tcW w:w="1555" w:type="dxa"/>
          </w:tcPr>
          <w:p w14:paraId="16309D9A" w14:textId="77777777" w:rsidR="00DA4252" w:rsidRPr="008757F6" w:rsidRDefault="00DA4252" w:rsidP="00DC65EA">
            <w:pPr>
              <w:jc w:val="center"/>
            </w:pPr>
            <w:r w:rsidRPr="008C32A2">
              <w:t>16 June</w:t>
            </w:r>
          </w:p>
        </w:tc>
        <w:tc>
          <w:tcPr>
            <w:tcW w:w="7507" w:type="dxa"/>
          </w:tcPr>
          <w:p w14:paraId="621AE28D" w14:textId="77777777" w:rsidR="00DA4252" w:rsidRDefault="00DA4252" w:rsidP="00DC65EA">
            <w:pPr>
              <w:jc w:val="both"/>
            </w:pPr>
            <w:r w:rsidRPr="008C32A2">
              <w:t xml:space="preserve">Eurogroup: </w:t>
            </w:r>
          </w:p>
          <w:p w14:paraId="3C72319C" w14:textId="77777777" w:rsidR="00DA4252" w:rsidRDefault="00DA4252" w:rsidP="00DC65EA">
            <w:pPr>
              <w:pStyle w:val="ListParagraph"/>
              <w:numPr>
                <w:ilvl w:val="0"/>
                <w:numId w:val="31"/>
              </w:numPr>
              <w:jc w:val="both"/>
            </w:pPr>
            <w:r>
              <w:t>R</w:t>
            </w:r>
            <w:r w:rsidRPr="008C32A2">
              <w:t>ecommendation that Croatia become the 20th member of the euro area</w:t>
            </w:r>
          </w:p>
          <w:p w14:paraId="03E60737" w14:textId="77777777" w:rsidR="00DA4252" w:rsidRDefault="00DA4252" w:rsidP="00DC65EA">
            <w:pPr>
              <w:pStyle w:val="ListParagraph"/>
              <w:numPr>
                <w:ilvl w:val="0"/>
                <w:numId w:val="30"/>
              </w:numPr>
              <w:jc w:val="both"/>
            </w:pPr>
            <w:r>
              <w:t>D</w:t>
            </w:r>
            <w:r w:rsidRPr="008C32A2">
              <w:t>iscussion on the 14th enhanced surveillance report on Greece</w:t>
            </w:r>
          </w:p>
          <w:p w14:paraId="2AAF7EC8" w14:textId="77777777" w:rsidR="00DA4252" w:rsidRDefault="00DA4252" w:rsidP="00DC65EA">
            <w:pPr>
              <w:jc w:val="both"/>
            </w:pPr>
          </w:p>
        </w:tc>
      </w:tr>
      <w:tr w:rsidR="00DA4252" w14:paraId="38618476" w14:textId="77777777" w:rsidTr="00DC65EA">
        <w:tc>
          <w:tcPr>
            <w:tcW w:w="1555" w:type="dxa"/>
          </w:tcPr>
          <w:p w14:paraId="67517858" w14:textId="77777777" w:rsidR="00DA4252" w:rsidRPr="008C32A2" w:rsidRDefault="00DA4252" w:rsidP="00DC65EA">
            <w:pPr>
              <w:jc w:val="center"/>
            </w:pPr>
            <w:r w:rsidRPr="008C32A2">
              <w:t>19 June</w:t>
            </w:r>
          </w:p>
        </w:tc>
        <w:tc>
          <w:tcPr>
            <w:tcW w:w="7507" w:type="dxa"/>
          </w:tcPr>
          <w:p w14:paraId="3B82C82C" w14:textId="77777777" w:rsidR="00DA4252" w:rsidRDefault="00DA4252" w:rsidP="00DC65EA">
            <w:pPr>
              <w:jc w:val="both"/>
            </w:pPr>
            <w:r w:rsidRPr="008C32A2">
              <w:t>EU</w:t>
            </w:r>
            <w:r>
              <w:t>–</w:t>
            </w:r>
            <w:r w:rsidRPr="008C32A2">
              <w:t xml:space="preserve">Egypt Association Council: </w:t>
            </w:r>
          </w:p>
          <w:p w14:paraId="234611A9" w14:textId="77777777" w:rsidR="00DA4252" w:rsidRDefault="00DA4252" w:rsidP="00DC65EA">
            <w:pPr>
              <w:pStyle w:val="ListParagraph"/>
              <w:numPr>
                <w:ilvl w:val="0"/>
                <w:numId w:val="30"/>
              </w:numPr>
              <w:jc w:val="both"/>
            </w:pPr>
            <w:r>
              <w:t>E</w:t>
            </w:r>
            <w:r w:rsidRPr="008C32A2">
              <w:t>ndorsement of the new EU</w:t>
            </w:r>
            <w:r>
              <w:t>–</w:t>
            </w:r>
            <w:r w:rsidRPr="008C32A2">
              <w:t>Egypt Partnership priorities until 2027</w:t>
            </w:r>
          </w:p>
          <w:p w14:paraId="5220336B" w14:textId="77777777" w:rsidR="00DA4252" w:rsidRPr="008C32A2" w:rsidRDefault="00DA4252" w:rsidP="00DC65EA">
            <w:pPr>
              <w:jc w:val="both"/>
            </w:pPr>
          </w:p>
        </w:tc>
      </w:tr>
      <w:tr w:rsidR="00DA4252" w14:paraId="1F7BC819" w14:textId="77777777" w:rsidTr="00DC65EA">
        <w:tc>
          <w:tcPr>
            <w:tcW w:w="1555" w:type="dxa"/>
          </w:tcPr>
          <w:p w14:paraId="10236E9F" w14:textId="77777777" w:rsidR="00DA4252" w:rsidRPr="008C32A2" w:rsidRDefault="00DA4252" w:rsidP="00DC65EA">
            <w:pPr>
              <w:jc w:val="center"/>
            </w:pPr>
            <w:r w:rsidRPr="008C32A2">
              <w:t>20 June</w:t>
            </w:r>
          </w:p>
        </w:tc>
        <w:tc>
          <w:tcPr>
            <w:tcW w:w="7507" w:type="dxa"/>
          </w:tcPr>
          <w:p w14:paraId="3A5795BD" w14:textId="77777777" w:rsidR="00DA4252" w:rsidRDefault="00DA4252" w:rsidP="00DC65EA">
            <w:pPr>
              <w:jc w:val="both"/>
            </w:pPr>
            <w:r w:rsidRPr="008C32A2">
              <w:t>EU</w:t>
            </w:r>
            <w:r>
              <w:t>–</w:t>
            </w:r>
            <w:r w:rsidRPr="008C32A2">
              <w:t xml:space="preserve">Kazakhstan Cooperation Council: </w:t>
            </w:r>
          </w:p>
          <w:p w14:paraId="4D18548B" w14:textId="77777777" w:rsidR="00DA4252" w:rsidRDefault="00DA4252" w:rsidP="00DC65EA">
            <w:pPr>
              <w:pStyle w:val="ListParagraph"/>
              <w:numPr>
                <w:ilvl w:val="0"/>
                <w:numId w:val="30"/>
              </w:numPr>
              <w:jc w:val="both"/>
            </w:pPr>
            <w:r>
              <w:lastRenderedPageBreak/>
              <w:t>R</w:t>
            </w:r>
            <w:r w:rsidRPr="008C32A2">
              <w:t xml:space="preserve">eview of the implementation of </w:t>
            </w:r>
            <w:r>
              <w:t xml:space="preserve">the </w:t>
            </w:r>
            <w:r w:rsidRPr="008C32A2">
              <w:t>EU</w:t>
            </w:r>
            <w:r>
              <w:t>–</w:t>
            </w:r>
            <w:r w:rsidRPr="008C32A2">
              <w:t>Kazakhstan Enhanced Partnership and Cooperation Agreement (EPCA)</w:t>
            </w:r>
          </w:p>
          <w:p w14:paraId="39702D04" w14:textId="77777777" w:rsidR="00DA4252" w:rsidRPr="008C32A2" w:rsidRDefault="00DA4252" w:rsidP="00DC65EA">
            <w:pPr>
              <w:jc w:val="both"/>
            </w:pPr>
          </w:p>
        </w:tc>
      </w:tr>
      <w:tr w:rsidR="00DA4252" w14:paraId="7C9A87AD" w14:textId="77777777" w:rsidTr="00DC65EA">
        <w:tc>
          <w:tcPr>
            <w:tcW w:w="1555" w:type="dxa"/>
          </w:tcPr>
          <w:p w14:paraId="6AB83228" w14:textId="77777777" w:rsidR="00DA4252" w:rsidRPr="008C32A2" w:rsidRDefault="00DA4252" w:rsidP="00DC65EA">
            <w:pPr>
              <w:jc w:val="center"/>
            </w:pPr>
            <w:r w:rsidRPr="008C32A2">
              <w:lastRenderedPageBreak/>
              <w:t>23 June</w:t>
            </w:r>
          </w:p>
        </w:tc>
        <w:tc>
          <w:tcPr>
            <w:tcW w:w="7507" w:type="dxa"/>
          </w:tcPr>
          <w:p w14:paraId="376928E2" w14:textId="77777777" w:rsidR="00DA4252" w:rsidRDefault="00DA4252" w:rsidP="00DC65EA">
            <w:pPr>
              <w:jc w:val="both"/>
            </w:pPr>
            <w:r w:rsidRPr="008C32A2">
              <w:t xml:space="preserve">EU-Western Balkans leaders' meeting: </w:t>
            </w:r>
          </w:p>
          <w:p w14:paraId="585245B5" w14:textId="77777777" w:rsidR="00DA4252" w:rsidRDefault="00DA4252" w:rsidP="00DC65EA">
            <w:pPr>
              <w:pStyle w:val="ListParagraph"/>
              <w:numPr>
                <w:ilvl w:val="0"/>
                <w:numId w:val="30"/>
              </w:numPr>
              <w:jc w:val="both"/>
            </w:pPr>
            <w:r>
              <w:t>D</w:t>
            </w:r>
            <w:r w:rsidRPr="008C32A2">
              <w:t>iscussion on</w:t>
            </w:r>
            <w:r>
              <w:t xml:space="preserve"> the</w:t>
            </w:r>
            <w:r w:rsidRPr="008C32A2">
              <w:t xml:space="preserve"> progress on EU integration with the region and the challenges stemming from Russia’s aggression against Ukraine</w:t>
            </w:r>
          </w:p>
          <w:p w14:paraId="67492843" w14:textId="77777777" w:rsidR="00DA4252" w:rsidRPr="008C32A2" w:rsidRDefault="00DA4252" w:rsidP="00DC65EA">
            <w:pPr>
              <w:pStyle w:val="ListParagraph"/>
              <w:jc w:val="both"/>
            </w:pPr>
          </w:p>
        </w:tc>
      </w:tr>
      <w:tr w:rsidR="00DA4252" w14:paraId="2FFC1D84" w14:textId="77777777" w:rsidTr="00DC65EA">
        <w:tc>
          <w:tcPr>
            <w:tcW w:w="1555" w:type="dxa"/>
          </w:tcPr>
          <w:p w14:paraId="4F53E2EB" w14:textId="77777777" w:rsidR="00DA4252" w:rsidRPr="008C32A2" w:rsidRDefault="00DA4252" w:rsidP="00DC65EA">
            <w:pPr>
              <w:jc w:val="center"/>
            </w:pPr>
            <w:r w:rsidRPr="008C32A2">
              <w:t>23-24 June</w:t>
            </w:r>
          </w:p>
        </w:tc>
        <w:tc>
          <w:tcPr>
            <w:tcW w:w="7507" w:type="dxa"/>
          </w:tcPr>
          <w:p w14:paraId="603540F0" w14:textId="77777777" w:rsidR="00DA4252" w:rsidRDefault="00DA4252" w:rsidP="00DC65EA">
            <w:pPr>
              <w:jc w:val="both"/>
            </w:pPr>
            <w:r>
              <w:t>European Council:</w:t>
            </w:r>
          </w:p>
          <w:p w14:paraId="760922C8" w14:textId="77777777" w:rsidR="00DA4252" w:rsidRDefault="00DA4252" w:rsidP="00DC65EA">
            <w:pPr>
              <w:pStyle w:val="ListParagraph"/>
              <w:numPr>
                <w:ilvl w:val="0"/>
                <w:numId w:val="30"/>
              </w:numPr>
              <w:jc w:val="both"/>
            </w:pPr>
            <w:r>
              <w:t>Conclusions on the European Commission's 'Wider Europe' including a proposal to launch a European political community</w:t>
            </w:r>
          </w:p>
          <w:p w14:paraId="57884C90" w14:textId="3E3AB8E2" w:rsidR="00DA4252" w:rsidRDefault="00DA4252" w:rsidP="00DC65EA">
            <w:pPr>
              <w:pStyle w:val="ListParagraph"/>
              <w:numPr>
                <w:ilvl w:val="0"/>
                <w:numId w:val="30"/>
              </w:numPr>
              <w:jc w:val="both"/>
            </w:pPr>
            <w:r>
              <w:t xml:space="preserve">Further increase of </w:t>
            </w:r>
            <w:r w:rsidR="00486E2F" w:rsidRPr="00CF3D8F">
              <w:t>m</w:t>
            </w:r>
            <w:r w:rsidR="00486E2F" w:rsidRPr="00486E2F">
              <w:t>ili</w:t>
            </w:r>
            <w:r w:rsidR="00486E2F" w:rsidRPr="00CF3D8F">
              <w:t>t</w:t>
            </w:r>
            <w:r w:rsidR="00486E2F" w:rsidRPr="00486E2F">
              <w:t xml:space="preserve">ary </w:t>
            </w:r>
            <w:r w:rsidRPr="00486E2F">
              <w:t xml:space="preserve">and </w:t>
            </w:r>
            <w:r>
              <w:t>financial support to Ukraine</w:t>
            </w:r>
          </w:p>
          <w:p w14:paraId="22EE1E89" w14:textId="77777777" w:rsidR="00DA4252" w:rsidRDefault="00DA4252" w:rsidP="00DC65EA">
            <w:pPr>
              <w:pStyle w:val="ListParagraph"/>
              <w:numPr>
                <w:ilvl w:val="0"/>
                <w:numId w:val="30"/>
              </w:numPr>
              <w:jc w:val="both"/>
            </w:pPr>
            <w:r>
              <w:t>Adoption of a EU candidate status to Ukraine and Moldova</w:t>
            </w:r>
          </w:p>
          <w:p w14:paraId="241628AA" w14:textId="77777777" w:rsidR="00DA4252" w:rsidRDefault="00DA4252" w:rsidP="00DC65EA">
            <w:pPr>
              <w:pStyle w:val="ListParagraph"/>
              <w:numPr>
                <w:ilvl w:val="0"/>
                <w:numId w:val="30"/>
              </w:numPr>
              <w:jc w:val="both"/>
            </w:pPr>
            <w:r>
              <w:t>Discussion on the global food crisis</w:t>
            </w:r>
          </w:p>
          <w:p w14:paraId="0122D2C2" w14:textId="77777777" w:rsidR="00DA4252" w:rsidRPr="008C32A2" w:rsidRDefault="00DA4252" w:rsidP="00DC65EA">
            <w:pPr>
              <w:ind w:left="360"/>
              <w:jc w:val="both"/>
            </w:pPr>
          </w:p>
        </w:tc>
      </w:tr>
      <w:tr w:rsidR="00DA4252" w14:paraId="52F88408" w14:textId="77777777" w:rsidTr="00DC65EA">
        <w:tc>
          <w:tcPr>
            <w:tcW w:w="1555" w:type="dxa"/>
          </w:tcPr>
          <w:p w14:paraId="76051DE7" w14:textId="77777777" w:rsidR="00DA4252" w:rsidRPr="008C32A2" w:rsidRDefault="00DA4252" w:rsidP="00DC65EA">
            <w:pPr>
              <w:jc w:val="center"/>
            </w:pPr>
            <w:r w:rsidRPr="008C32A2">
              <w:t>24 June</w:t>
            </w:r>
          </w:p>
        </w:tc>
        <w:tc>
          <w:tcPr>
            <w:tcW w:w="7507" w:type="dxa"/>
          </w:tcPr>
          <w:p w14:paraId="3D59212A" w14:textId="77777777" w:rsidR="00DA4252" w:rsidRDefault="00DA4252" w:rsidP="00DC65EA">
            <w:pPr>
              <w:jc w:val="both"/>
            </w:pPr>
            <w:r w:rsidRPr="008C32A2">
              <w:t xml:space="preserve">Euro Summit: </w:t>
            </w:r>
          </w:p>
          <w:p w14:paraId="1F5A1C41" w14:textId="77777777" w:rsidR="00DA4252" w:rsidRDefault="00DA4252" w:rsidP="00DC65EA">
            <w:pPr>
              <w:pStyle w:val="ListParagraph"/>
              <w:numPr>
                <w:ilvl w:val="0"/>
                <w:numId w:val="32"/>
              </w:numPr>
              <w:jc w:val="both"/>
            </w:pPr>
            <w:r>
              <w:t>T</w:t>
            </w:r>
            <w:r w:rsidRPr="008C32A2">
              <w:t>he Eurogroup statement on the future of the Banking Union</w:t>
            </w:r>
            <w:r>
              <w:t xml:space="preserve">, </w:t>
            </w:r>
            <w:r w:rsidRPr="008C32A2">
              <w:t>strengthening the common framework for bank crisis management and national deposit guarantee schemes</w:t>
            </w:r>
          </w:p>
          <w:p w14:paraId="5EFAB4D7" w14:textId="77777777" w:rsidR="00DA4252" w:rsidRDefault="00DA4252" w:rsidP="00DC65EA">
            <w:pPr>
              <w:pStyle w:val="ListParagraph"/>
              <w:jc w:val="both"/>
            </w:pPr>
          </w:p>
        </w:tc>
      </w:tr>
      <w:tr w:rsidR="00DA4252" w14:paraId="6B940074" w14:textId="77777777" w:rsidTr="00DC65EA">
        <w:tc>
          <w:tcPr>
            <w:tcW w:w="1555" w:type="dxa"/>
          </w:tcPr>
          <w:p w14:paraId="22EDFE46" w14:textId="77777777" w:rsidR="00DA4252" w:rsidRPr="008C32A2" w:rsidRDefault="00DA4252" w:rsidP="00DC65EA">
            <w:pPr>
              <w:jc w:val="center"/>
            </w:pPr>
            <w:r w:rsidRPr="008C32A2">
              <w:t>27 June</w:t>
            </w:r>
          </w:p>
        </w:tc>
        <w:tc>
          <w:tcPr>
            <w:tcW w:w="7507" w:type="dxa"/>
          </w:tcPr>
          <w:p w14:paraId="1F409554" w14:textId="77777777" w:rsidR="00DA4252" w:rsidRDefault="00DA4252" w:rsidP="00DC65EA">
            <w:pPr>
              <w:jc w:val="both"/>
            </w:pPr>
            <w:r>
              <w:t>T</w:t>
            </w:r>
            <w:r w:rsidRPr="008C32A2">
              <w:t xml:space="preserve">he Energy Council: </w:t>
            </w:r>
          </w:p>
          <w:p w14:paraId="0BAD7F73" w14:textId="6DD38C0B" w:rsidR="00DA4252" w:rsidRDefault="00DA4252" w:rsidP="00DC65EA">
            <w:pPr>
              <w:pStyle w:val="ListParagraph"/>
              <w:numPr>
                <w:ilvl w:val="0"/>
                <w:numId w:val="32"/>
              </w:numPr>
              <w:jc w:val="both"/>
            </w:pPr>
            <w:r>
              <w:t>A</w:t>
            </w:r>
            <w:r w:rsidRPr="008C32A2">
              <w:t xml:space="preserve">doption of new rules on gas storage including gas </w:t>
            </w:r>
            <w:r w:rsidR="00EF516C">
              <w:t>s</w:t>
            </w:r>
            <w:r w:rsidR="00EF516C" w:rsidRPr="008C32A2">
              <w:t>tora</w:t>
            </w:r>
            <w:r w:rsidR="00EF516C">
              <w:t>g</w:t>
            </w:r>
            <w:r w:rsidR="00EF516C" w:rsidRPr="008C32A2">
              <w:t xml:space="preserve">e </w:t>
            </w:r>
            <w:r w:rsidRPr="008C32A2">
              <w:t>capacity sharing between member states</w:t>
            </w:r>
          </w:p>
          <w:p w14:paraId="19FF20A4" w14:textId="77777777" w:rsidR="00DA4252" w:rsidRPr="008C32A2" w:rsidRDefault="00DA4252" w:rsidP="00DC65EA">
            <w:pPr>
              <w:pStyle w:val="ListParagraph"/>
              <w:jc w:val="both"/>
            </w:pPr>
          </w:p>
        </w:tc>
      </w:tr>
    </w:tbl>
    <w:p w14:paraId="7E8E2BCA" w14:textId="77777777" w:rsidR="00DA4252" w:rsidRDefault="00DA4252" w:rsidP="0049384C">
      <w:pPr>
        <w:jc w:val="both"/>
      </w:pPr>
    </w:p>
    <w:sectPr w:rsidR="00DA42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B3AE" w14:textId="77777777" w:rsidR="00820D8D" w:rsidRDefault="00820D8D" w:rsidP="00DA4252">
      <w:pPr>
        <w:spacing w:after="0" w:line="240" w:lineRule="auto"/>
      </w:pPr>
      <w:r>
        <w:separator/>
      </w:r>
    </w:p>
  </w:endnote>
  <w:endnote w:type="continuationSeparator" w:id="0">
    <w:p w14:paraId="5793B965" w14:textId="77777777" w:rsidR="00820D8D" w:rsidRDefault="00820D8D" w:rsidP="00DA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601757"/>
      <w:docPartObj>
        <w:docPartGallery w:val="Page Numbers (Bottom of Page)"/>
        <w:docPartUnique/>
      </w:docPartObj>
    </w:sdtPr>
    <w:sdtEndPr/>
    <w:sdtContent>
      <w:p w14:paraId="4C7D6133" w14:textId="11268F56" w:rsidR="00DA4252" w:rsidRDefault="00DA4252">
        <w:pPr>
          <w:pStyle w:val="Footer"/>
          <w:jc w:val="center"/>
        </w:pPr>
        <w:r>
          <w:fldChar w:fldCharType="begin"/>
        </w:r>
        <w:r>
          <w:instrText>PAGE   \* MERGEFORMAT</w:instrText>
        </w:r>
        <w:r>
          <w:fldChar w:fldCharType="separate"/>
        </w:r>
        <w:r>
          <w:t>2</w:t>
        </w:r>
        <w:r>
          <w:fldChar w:fldCharType="end"/>
        </w:r>
      </w:p>
    </w:sdtContent>
  </w:sdt>
  <w:p w14:paraId="73DBD9C5" w14:textId="77777777" w:rsidR="00DA4252" w:rsidRDefault="00DA4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CD9B" w14:textId="77777777" w:rsidR="00820D8D" w:rsidRDefault="00820D8D" w:rsidP="00DA4252">
      <w:pPr>
        <w:spacing w:after="0" w:line="240" w:lineRule="auto"/>
      </w:pPr>
      <w:r>
        <w:separator/>
      </w:r>
    </w:p>
  </w:footnote>
  <w:footnote w:type="continuationSeparator" w:id="0">
    <w:p w14:paraId="567D0A12" w14:textId="77777777" w:rsidR="00820D8D" w:rsidRDefault="00820D8D" w:rsidP="00DA4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180"/>
    <w:multiLevelType w:val="hybridMultilevel"/>
    <w:tmpl w:val="05EED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304832"/>
    <w:multiLevelType w:val="hybridMultilevel"/>
    <w:tmpl w:val="F6884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ED1464"/>
    <w:multiLevelType w:val="hybridMultilevel"/>
    <w:tmpl w:val="EAC419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EE0153"/>
    <w:multiLevelType w:val="hybridMultilevel"/>
    <w:tmpl w:val="DEDAC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9B67DF"/>
    <w:multiLevelType w:val="hybridMultilevel"/>
    <w:tmpl w:val="A4780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0E505D"/>
    <w:multiLevelType w:val="hybridMultilevel"/>
    <w:tmpl w:val="A9F0F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892D4F"/>
    <w:multiLevelType w:val="hybridMultilevel"/>
    <w:tmpl w:val="FA344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1938C4"/>
    <w:multiLevelType w:val="hybridMultilevel"/>
    <w:tmpl w:val="06925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D542BB"/>
    <w:multiLevelType w:val="hybridMultilevel"/>
    <w:tmpl w:val="0B24B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CF49A8"/>
    <w:multiLevelType w:val="hybridMultilevel"/>
    <w:tmpl w:val="008E8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B212CC"/>
    <w:multiLevelType w:val="hybridMultilevel"/>
    <w:tmpl w:val="A4BE8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AA0E9C"/>
    <w:multiLevelType w:val="hybridMultilevel"/>
    <w:tmpl w:val="3EFA6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F86FE4"/>
    <w:multiLevelType w:val="hybridMultilevel"/>
    <w:tmpl w:val="7130D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4A3C42"/>
    <w:multiLevelType w:val="hybridMultilevel"/>
    <w:tmpl w:val="D936A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4F538C"/>
    <w:multiLevelType w:val="hybridMultilevel"/>
    <w:tmpl w:val="B43A9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3929AE"/>
    <w:multiLevelType w:val="hybridMultilevel"/>
    <w:tmpl w:val="4B6A8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614FD0"/>
    <w:multiLevelType w:val="hybridMultilevel"/>
    <w:tmpl w:val="372E7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9FE3545"/>
    <w:multiLevelType w:val="hybridMultilevel"/>
    <w:tmpl w:val="82661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C05FDD"/>
    <w:multiLevelType w:val="hybridMultilevel"/>
    <w:tmpl w:val="164CC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9A6C71"/>
    <w:multiLevelType w:val="hybridMultilevel"/>
    <w:tmpl w:val="ECB6C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122F50"/>
    <w:multiLevelType w:val="hybridMultilevel"/>
    <w:tmpl w:val="BB727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7E603D"/>
    <w:multiLevelType w:val="hybridMultilevel"/>
    <w:tmpl w:val="4300D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AE0AE7"/>
    <w:multiLevelType w:val="hybridMultilevel"/>
    <w:tmpl w:val="D5C81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340AE2"/>
    <w:multiLevelType w:val="hybridMultilevel"/>
    <w:tmpl w:val="D9120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C96580"/>
    <w:multiLevelType w:val="hybridMultilevel"/>
    <w:tmpl w:val="B8260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190D0D"/>
    <w:multiLevelType w:val="hybridMultilevel"/>
    <w:tmpl w:val="AFA84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24148F"/>
    <w:multiLevelType w:val="hybridMultilevel"/>
    <w:tmpl w:val="EA2E8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A239CF"/>
    <w:multiLevelType w:val="hybridMultilevel"/>
    <w:tmpl w:val="43D0F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E60E0A"/>
    <w:multiLevelType w:val="hybridMultilevel"/>
    <w:tmpl w:val="94AE4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5143AB"/>
    <w:multiLevelType w:val="hybridMultilevel"/>
    <w:tmpl w:val="0EE48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66F4B82"/>
    <w:multiLevelType w:val="hybridMultilevel"/>
    <w:tmpl w:val="FB9E81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C326D0"/>
    <w:multiLevelType w:val="hybridMultilevel"/>
    <w:tmpl w:val="492C8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8"/>
  </w:num>
  <w:num w:numId="4">
    <w:abstractNumId w:val="3"/>
  </w:num>
  <w:num w:numId="5">
    <w:abstractNumId w:val="11"/>
  </w:num>
  <w:num w:numId="6">
    <w:abstractNumId w:val="20"/>
  </w:num>
  <w:num w:numId="7">
    <w:abstractNumId w:val="19"/>
  </w:num>
  <w:num w:numId="8">
    <w:abstractNumId w:val="31"/>
  </w:num>
  <w:num w:numId="9">
    <w:abstractNumId w:val="12"/>
  </w:num>
  <w:num w:numId="10">
    <w:abstractNumId w:val="15"/>
  </w:num>
  <w:num w:numId="11">
    <w:abstractNumId w:val="23"/>
  </w:num>
  <w:num w:numId="12">
    <w:abstractNumId w:val="30"/>
  </w:num>
  <w:num w:numId="13">
    <w:abstractNumId w:val="9"/>
  </w:num>
  <w:num w:numId="14">
    <w:abstractNumId w:val="25"/>
  </w:num>
  <w:num w:numId="15">
    <w:abstractNumId w:val="4"/>
  </w:num>
  <w:num w:numId="16">
    <w:abstractNumId w:val="5"/>
  </w:num>
  <w:num w:numId="17">
    <w:abstractNumId w:val="13"/>
  </w:num>
  <w:num w:numId="18">
    <w:abstractNumId w:val="27"/>
  </w:num>
  <w:num w:numId="19">
    <w:abstractNumId w:val="6"/>
  </w:num>
  <w:num w:numId="20">
    <w:abstractNumId w:val="17"/>
  </w:num>
  <w:num w:numId="21">
    <w:abstractNumId w:val="2"/>
  </w:num>
  <w:num w:numId="22">
    <w:abstractNumId w:val="22"/>
  </w:num>
  <w:num w:numId="23">
    <w:abstractNumId w:val="1"/>
  </w:num>
  <w:num w:numId="24">
    <w:abstractNumId w:val="0"/>
  </w:num>
  <w:num w:numId="25">
    <w:abstractNumId w:val="26"/>
  </w:num>
  <w:num w:numId="26">
    <w:abstractNumId w:val="21"/>
  </w:num>
  <w:num w:numId="27">
    <w:abstractNumId w:val="29"/>
  </w:num>
  <w:num w:numId="28">
    <w:abstractNumId w:val="16"/>
  </w:num>
  <w:num w:numId="29">
    <w:abstractNumId w:val="8"/>
  </w:num>
  <w:num w:numId="30">
    <w:abstractNumId w:val="24"/>
  </w:num>
  <w:num w:numId="31">
    <w:abstractNumId w:val="1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87"/>
    <w:rsid w:val="000218C2"/>
    <w:rsid w:val="00041BE1"/>
    <w:rsid w:val="00057B25"/>
    <w:rsid w:val="00076432"/>
    <w:rsid w:val="000772EC"/>
    <w:rsid w:val="00081E36"/>
    <w:rsid w:val="000A26D5"/>
    <w:rsid w:val="000D2465"/>
    <w:rsid w:val="000D3975"/>
    <w:rsid w:val="000F0E23"/>
    <w:rsid w:val="000F6236"/>
    <w:rsid w:val="0011066A"/>
    <w:rsid w:val="00152EE7"/>
    <w:rsid w:val="00161075"/>
    <w:rsid w:val="00171CAD"/>
    <w:rsid w:val="00185123"/>
    <w:rsid w:val="001915FF"/>
    <w:rsid w:val="0020443A"/>
    <w:rsid w:val="00211EA9"/>
    <w:rsid w:val="0024501E"/>
    <w:rsid w:val="00246F29"/>
    <w:rsid w:val="002933FE"/>
    <w:rsid w:val="002D2F4C"/>
    <w:rsid w:val="002E0BD4"/>
    <w:rsid w:val="002E6E39"/>
    <w:rsid w:val="002F01C2"/>
    <w:rsid w:val="00300A91"/>
    <w:rsid w:val="003059EB"/>
    <w:rsid w:val="00315EB0"/>
    <w:rsid w:val="0034318F"/>
    <w:rsid w:val="0035657F"/>
    <w:rsid w:val="00374CF6"/>
    <w:rsid w:val="003843BC"/>
    <w:rsid w:val="003878C2"/>
    <w:rsid w:val="00394710"/>
    <w:rsid w:val="003A2009"/>
    <w:rsid w:val="003C0A2F"/>
    <w:rsid w:val="003C66BE"/>
    <w:rsid w:val="003E5B6F"/>
    <w:rsid w:val="0040423B"/>
    <w:rsid w:val="004364D7"/>
    <w:rsid w:val="00456BC7"/>
    <w:rsid w:val="00486E2F"/>
    <w:rsid w:val="0049384C"/>
    <w:rsid w:val="004B1AAD"/>
    <w:rsid w:val="004C13BA"/>
    <w:rsid w:val="004C4A32"/>
    <w:rsid w:val="004D534C"/>
    <w:rsid w:val="004E6AF5"/>
    <w:rsid w:val="004F2BE0"/>
    <w:rsid w:val="0050045D"/>
    <w:rsid w:val="0050675E"/>
    <w:rsid w:val="00543BBD"/>
    <w:rsid w:val="00561400"/>
    <w:rsid w:val="005733E7"/>
    <w:rsid w:val="00574F9E"/>
    <w:rsid w:val="005A5D70"/>
    <w:rsid w:val="005E7801"/>
    <w:rsid w:val="005F02BD"/>
    <w:rsid w:val="00612958"/>
    <w:rsid w:val="00615ADB"/>
    <w:rsid w:val="006178DA"/>
    <w:rsid w:val="00667074"/>
    <w:rsid w:val="00675187"/>
    <w:rsid w:val="00675B45"/>
    <w:rsid w:val="006B20F0"/>
    <w:rsid w:val="00712A0D"/>
    <w:rsid w:val="00715CC2"/>
    <w:rsid w:val="00730C66"/>
    <w:rsid w:val="00743CB1"/>
    <w:rsid w:val="00754067"/>
    <w:rsid w:val="007620CC"/>
    <w:rsid w:val="00775CBB"/>
    <w:rsid w:val="007A2783"/>
    <w:rsid w:val="007A5C00"/>
    <w:rsid w:val="007B35C7"/>
    <w:rsid w:val="007B4AD1"/>
    <w:rsid w:val="007C0533"/>
    <w:rsid w:val="007F289C"/>
    <w:rsid w:val="00811D85"/>
    <w:rsid w:val="00820D8D"/>
    <w:rsid w:val="00847F39"/>
    <w:rsid w:val="0086324D"/>
    <w:rsid w:val="00874546"/>
    <w:rsid w:val="00884C80"/>
    <w:rsid w:val="008B2F1A"/>
    <w:rsid w:val="008F48BD"/>
    <w:rsid w:val="00905A6C"/>
    <w:rsid w:val="009127A8"/>
    <w:rsid w:val="0091618D"/>
    <w:rsid w:val="0092223E"/>
    <w:rsid w:val="00930B59"/>
    <w:rsid w:val="00960F9E"/>
    <w:rsid w:val="00981AB5"/>
    <w:rsid w:val="00982A84"/>
    <w:rsid w:val="009964FF"/>
    <w:rsid w:val="009A732D"/>
    <w:rsid w:val="009B26DB"/>
    <w:rsid w:val="00A074C2"/>
    <w:rsid w:val="00A1051E"/>
    <w:rsid w:val="00A40417"/>
    <w:rsid w:val="00A415BA"/>
    <w:rsid w:val="00A4248E"/>
    <w:rsid w:val="00A86CE8"/>
    <w:rsid w:val="00AA03A9"/>
    <w:rsid w:val="00AA1CE9"/>
    <w:rsid w:val="00AA3913"/>
    <w:rsid w:val="00AB1A16"/>
    <w:rsid w:val="00AC2166"/>
    <w:rsid w:val="00B335EE"/>
    <w:rsid w:val="00B40C7D"/>
    <w:rsid w:val="00B56A57"/>
    <w:rsid w:val="00B667A0"/>
    <w:rsid w:val="00BA0214"/>
    <w:rsid w:val="00BB081D"/>
    <w:rsid w:val="00BB3BAF"/>
    <w:rsid w:val="00BF4F41"/>
    <w:rsid w:val="00C046DA"/>
    <w:rsid w:val="00C0624F"/>
    <w:rsid w:val="00C149FD"/>
    <w:rsid w:val="00C57E9B"/>
    <w:rsid w:val="00C97A5A"/>
    <w:rsid w:val="00CA051C"/>
    <w:rsid w:val="00CA5870"/>
    <w:rsid w:val="00CB05B1"/>
    <w:rsid w:val="00CC3FA7"/>
    <w:rsid w:val="00CD55F1"/>
    <w:rsid w:val="00CE3AC2"/>
    <w:rsid w:val="00CF3D8F"/>
    <w:rsid w:val="00CF6390"/>
    <w:rsid w:val="00D307CF"/>
    <w:rsid w:val="00D330AA"/>
    <w:rsid w:val="00D34D83"/>
    <w:rsid w:val="00D47042"/>
    <w:rsid w:val="00D55E0A"/>
    <w:rsid w:val="00D62BB2"/>
    <w:rsid w:val="00DA09E6"/>
    <w:rsid w:val="00DA4252"/>
    <w:rsid w:val="00DE673B"/>
    <w:rsid w:val="00DE6E99"/>
    <w:rsid w:val="00E10119"/>
    <w:rsid w:val="00E10DA4"/>
    <w:rsid w:val="00E16D7F"/>
    <w:rsid w:val="00E4276C"/>
    <w:rsid w:val="00E46D99"/>
    <w:rsid w:val="00E472D9"/>
    <w:rsid w:val="00E47D3F"/>
    <w:rsid w:val="00E55818"/>
    <w:rsid w:val="00E84930"/>
    <w:rsid w:val="00EB47CA"/>
    <w:rsid w:val="00EC473A"/>
    <w:rsid w:val="00EE510B"/>
    <w:rsid w:val="00EF516C"/>
    <w:rsid w:val="00F202A5"/>
    <w:rsid w:val="00F41974"/>
    <w:rsid w:val="00F4329B"/>
    <w:rsid w:val="00F46313"/>
    <w:rsid w:val="00F61F9D"/>
    <w:rsid w:val="00F64E59"/>
    <w:rsid w:val="00F73220"/>
    <w:rsid w:val="00F86601"/>
    <w:rsid w:val="00FB1DFE"/>
    <w:rsid w:val="00FB5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F80E"/>
  <w15:chartTrackingRefBased/>
  <w15:docId w15:val="{8C907F56-293F-4C64-88E9-FE3D51C5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187"/>
    <w:pPr>
      <w:ind w:left="720"/>
      <w:contextualSpacing/>
    </w:pPr>
  </w:style>
  <w:style w:type="character" w:styleId="Hyperlink">
    <w:name w:val="Hyperlink"/>
    <w:basedOn w:val="DefaultParagraphFont"/>
    <w:uiPriority w:val="99"/>
    <w:unhideWhenUsed/>
    <w:rsid w:val="003E5B6F"/>
    <w:rPr>
      <w:color w:val="0563C1" w:themeColor="hyperlink"/>
      <w:u w:val="single"/>
    </w:rPr>
  </w:style>
  <w:style w:type="character" w:styleId="UnresolvedMention">
    <w:name w:val="Unresolved Mention"/>
    <w:basedOn w:val="DefaultParagraphFont"/>
    <w:uiPriority w:val="99"/>
    <w:semiHidden/>
    <w:unhideWhenUsed/>
    <w:rsid w:val="003E5B6F"/>
    <w:rPr>
      <w:color w:val="605E5C"/>
      <w:shd w:val="clear" w:color="auto" w:fill="E1DFDD"/>
    </w:rPr>
  </w:style>
  <w:style w:type="paragraph" w:styleId="Header">
    <w:name w:val="header"/>
    <w:basedOn w:val="Normal"/>
    <w:link w:val="HeaderChar"/>
    <w:uiPriority w:val="99"/>
    <w:unhideWhenUsed/>
    <w:rsid w:val="00DA42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4252"/>
  </w:style>
  <w:style w:type="paragraph" w:styleId="Footer">
    <w:name w:val="footer"/>
    <w:basedOn w:val="Normal"/>
    <w:link w:val="FooterChar"/>
    <w:uiPriority w:val="99"/>
    <w:unhideWhenUsed/>
    <w:rsid w:val="00DA4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4252"/>
  </w:style>
  <w:style w:type="paragraph" w:styleId="Revision">
    <w:name w:val="Revision"/>
    <w:hidden/>
    <w:uiPriority w:val="99"/>
    <w:semiHidden/>
    <w:rsid w:val="00B667A0"/>
    <w:pPr>
      <w:spacing w:after="0" w:line="240" w:lineRule="auto"/>
    </w:pPr>
  </w:style>
  <w:style w:type="character" w:styleId="CommentReference">
    <w:name w:val="annotation reference"/>
    <w:basedOn w:val="DefaultParagraphFont"/>
    <w:uiPriority w:val="99"/>
    <w:semiHidden/>
    <w:unhideWhenUsed/>
    <w:rsid w:val="009964FF"/>
    <w:rPr>
      <w:sz w:val="16"/>
      <w:szCs w:val="16"/>
    </w:rPr>
  </w:style>
  <w:style w:type="paragraph" w:styleId="CommentText">
    <w:name w:val="annotation text"/>
    <w:basedOn w:val="Normal"/>
    <w:link w:val="CommentTextChar"/>
    <w:uiPriority w:val="99"/>
    <w:semiHidden/>
    <w:unhideWhenUsed/>
    <w:rsid w:val="009964FF"/>
    <w:pPr>
      <w:spacing w:line="240" w:lineRule="auto"/>
    </w:pPr>
    <w:rPr>
      <w:sz w:val="20"/>
      <w:szCs w:val="20"/>
    </w:rPr>
  </w:style>
  <w:style w:type="character" w:customStyle="1" w:styleId="CommentTextChar">
    <w:name w:val="Comment Text Char"/>
    <w:basedOn w:val="DefaultParagraphFont"/>
    <w:link w:val="CommentText"/>
    <w:uiPriority w:val="99"/>
    <w:semiHidden/>
    <w:rsid w:val="009964FF"/>
    <w:rPr>
      <w:sz w:val="20"/>
      <w:szCs w:val="20"/>
    </w:rPr>
  </w:style>
  <w:style w:type="paragraph" w:styleId="CommentSubject">
    <w:name w:val="annotation subject"/>
    <w:basedOn w:val="CommentText"/>
    <w:next w:val="CommentText"/>
    <w:link w:val="CommentSubjectChar"/>
    <w:uiPriority w:val="99"/>
    <w:semiHidden/>
    <w:unhideWhenUsed/>
    <w:rsid w:val="009964FF"/>
    <w:rPr>
      <w:b/>
      <w:bCs/>
    </w:rPr>
  </w:style>
  <w:style w:type="character" w:customStyle="1" w:styleId="CommentSubjectChar">
    <w:name w:val="Comment Subject Char"/>
    <w:basedOn w:val="CommentTextChar"/>
    <w:link w:val="CommentSubject"/>
    <w:uiPriority w:val="99"/>
    <w:semiHidden/>
    <w:rsid w:val="009964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ryk.czulno@brist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2042</Words>
  <Characters>11646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Czułno</dc:creator>
  <cp:keywords/>
  <dc:description/>
  <cp:lastModifiedBy>Daisy Pemble</cp:lastModifiedBy>
  <cp:revision>165</cp:revision>
  <dcterms:created xsi:type="dcterms:W3CDTF">2022-09-06T16:35:00Z</dcterms:created>
  <dcterms:modified xsi:type="dcterms:W3CDTF">2022-09-27T07:18:00Z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2022-09-27T07:16:42Z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5a422699-b2b8-4948-be9a-10a92f71d741</vt:lpwstr>
  </property>
  <property fmtid="{D5CDD505-2E9C-101B-9397-08002B2CF9AE}" pid="8" name="MSIP_Label_be5cb09a-2992-49d6-8ac9-5f63e7b1ad2f_ContentBits">
    <vt:lpwstr>0</vt:lpwstr>
  </property>
</Properties>
</file>