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AA41" w14:textId="77777777" w:rsidR="005A3E31" w:rsidRDefault="00584D52">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14</w:t>
      </w:r>
    </w:p>
    <w:p w14:paraId="62633F4D"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 xml:space="preserve">The bill of indictment is the document that contains the charges against the defendant on which he is arraigned at the commencement of a trial on indictment. </w:t>
      </w:r>
    </w:p>
    <w:p w14:paraId="148055F4" w14:textId="77777777" w:rsidR="005A3E31" w:rsidRDefault="005A3E31">
      <w:pPr>
        <w:pStyle w:val="APPTXTfirst"/>
        <w:spacing w:line="480" w:lineRule="auto"/>
        <w:rPr>
          <w:rFonts w:ascii="Arial" w:hAnsi="Arial" w:cs="Arial"/>
          <w:color w:val="00000A"/>
          <w:sz w:val="24"/>
          <w:szCs w:val="20"/>
        </w:rPr>
      </w:pPr>
    </w:p>
    <w:p w14:paraId="1A6E281E"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 xml:space="preserve">More than one offence may be charged in the same indictment where the offences are either founded on the same facts or form or are part of a series of offences of the same or similar nature, . The decision will be taken by the court after having regard to submissions made by the prosecutor and the defence advocate as well as the requirements of the ‘overriding objective’ in Crim PR Part 1 and s5(3) Indictments Act 1915.  </w:t>
      </w:r>
    </w:p>
    <w:p w14:paraId="0F05BC67" w14:textId="77777777" w:rsidR="005A3E31" w:rsidRDefault="005A3E31">
      <w:pPr>
        <w:pStyle w:val="APPTXTfirst"/>
        <w:spacing w:line="480" w:lineRule="auto"/>
        <w:rPr>
          <w:rFonts w:ascii="Arial" w:hAnsi="Arial" w:cs="Arial"/>
          <w:color w:val="00000A"/>
          <w:sz w:val="24"/>
          <w:szCs w:val="20"/>
        </w:rPr>
      </w:pPr>
    </w:p>
    <w:p w14:paraId="6A19630E"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 xml:space="preserve">For a submission of no case to answer to succeed before a Crown Court judge, the defence advocate must satisfy the test laid down in </w:t>
      </w:r>
      <w:r>
        <w:rPr>
          <w:rStyle w:val="italic"/>
          <w:rFonts w:ascii="Arial" w:hAnsi="Arial" w:cs="Arial"/>
          <w:color w:val="00000A"/>
          <w:sz w:val="24"/>
          <w:szCs w:val="20"/>
        </w:rPr>
        <w:t>R v Galbraith</w:t>
      </w:r>
      <w:r>
        <w:rPr>
          <w:rFonts w:ascii="Arial" w:hAnsi="Arial" w:cs="Arial"/>
          <w:color w:val="00000A"/>
          <w:sz w:val="24"/>
          <w:szCs w:val="20"/>
        </w:rPr>
        <w:t xml:space="preserve"> [1981] 2 All ER 1060 (see para. 14.11).</w:t>
      </w:r>
    </w:p>
    <w:p w14:paraId="6AF9ED4B" w14:textId="77777777" w:rsidR="005A3E31" w:rsidRDefault="005A3E31">
      <w:pPr>
        <w:pStyle w:val="APPTXTfirst"/>
        <w:spacing w:line="480" w:lineRule="auto"/>
        <w:rPr>
          <w:rFonts w:ascii="Arial" w:hAnsi="Arial" w:cs="Arial"/>
          <w:color w:val="00000A"/>
          <w:sz w:val="24"/>
          <w:szCs w:val="20"/>
        </w:rPr>
      </w:pPr>
    </w:p>
    <w:p w14:paraId="111154F4"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There is a strict separation of function between judge and jury in the Crown Court. The jury determines all issues of fact, while the judge determines all issues of law. Whenever a point of law arises it must be aired in the absence of the jury. This protects the jury from hearing what might be prejudicial information regarding the defendant. Generally speaking, most issues of law, particularly disputed evidence, are resolved before trial at a pre-trial hearing. Sometimes, a </w:t>
      </w:r>
      <w:r>
        <w:rPr>
          <w:rStyle w:val="italic"/>
          <w:rFonts w:ascii="Arial" w:hAnsi="Arial" w:cs="Arial"/>
          <w:color w:val="00000A"/>
          <w:sz w:val="24"/>
          <w:szCs w:val="20"/>
        </w:rPr>
        <w:t>voir dire</w:t>
      </w:r>
      <w:r>
        <w:rPr>
          <w:rFonts w:ascii="Arial" w:hAnsi="Arial" w:cs="Arial"/>
          <w:color w:val="00000A"/>
          <w:sz w:val="24"/>
          <w:szCs w:val="20"/>
        </w:rPr>
        <w:t xml:space="preserve"> (or trial within a trial) is required to determine admissibility of evidence.</w:t>
      </w:r>
    </w:p>
    <w:p w14:paraId="60F4CE1C" w14:textId="77777777" w:rsidR="005A3E31" w:rsidRDefault="005A3E31">
      <w:pPr>
        <w:pStyle w:val="APPTXTfirst"/>
        <w:spacing w:line="480" w:lineRule="auto"/>
        <w:rPr>
          <w:rFonts w:ascii="Arial" w:hAnsi="Arial" w:cs="Arial"/>
          <w:color w:val="00000A"/>
          <w:sz w:val="24"/>
          <w:szCs w:val="20"/>
        </w:rPr>
      </w:pPr>
    </w:p>
    <w:p w14:paraId="2A93EE3A"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 xml:space="preserve">The trial judge oversees the trial process. It is the duty of the trial judge to ensure </w:t>
      </w:r>
      <w:r>
        <w:rPr>
          <w:rFonts w:ascii="Arial" w:hAnsi="Arial" w:cs="Arial"/>
          <w:color w:val="00000A"/>
          <w:sz w:val="24"/>
          <w:szCs w:val="20"/>
        </w:rPr>
        <w:lastRenderedPageBreak/>
        <w:t>the defendant enjoys a fair trial. At the conclusion of the trial the trial judge sums up the case for the jury. The summing-up is important because it represents the last words said in the trial. The judge will remind the jury of the evidence they have heard and, crucially, he will direct them on the law. Any errors or omissions during the summing-up may provide a convicted defendant with grounds for appeal.</w:t>
      </w:r>
    </w:p>
    <w:p w14:paraId="0826E9AF" w14:textId="77777777" w:rsidR="005A3E31" w:rsidRDefault="005A3E31">
      <w:pPr>
        <w:pStyle w:val="APPTXTfirst"/>
        <w:spacing w:line="480" w:lineRule="auto"/>
        <w:rPr>
          <w:rFonts w:ascii="Arial" w:hAnsi="Arial" w:cs="Arial"/>
          <w:color w:val="00000A"/>
          <w:sz w:val="24"/>
          <w:szCs w:val="20"/>
        </w:rPr>
      </w:pPr>
    </w:p>
    <w:p w14:paraId="57DFA468" w14:textId="77777777" w:rsidR="005A3E31" w:rsidRDefault="00584D52">
      <w:pPr>
        <w:pStyle w:val="APPTXTfirst"/>
        <w:spacing w:line="480" w:lineRule="auto"/>
        <w:rPr>
          <w:rFonts w:ascii="Arial" w:hAnsi="Arial" w:cs="Arial"/>
          <w:color w:val="00000A"/>
          <w:sz w:val="24"/>
          <w:szCs w:val="20"/>
        </w:rPr>
      </w:pPr>
      <w:r>
        <w:rPr>
          <w:rFonts w:ascii="Arial" w:hAnsi="Arial" w:cs="Arial"/>
          <w:color w:val="00000A"/>
          <w:sz w:val="24"/>
          <w:szCs w:val="20"/>
        </w:rPr>
        <w:t>6.</w:t>
      </w:r>
      <w:r>
        <w:rPr>
          <w:rFonts w:ascii="Arial" w:eastAsia="MS Mincho" w:hAnsi="Arial" w:cs="Arial"/>
          <w:color w:val="00000A"/>
          <w:sz w:val="24"/>
          <w:szCs w:val="20"/>
        </w:rPr>
        <w:t>  </w:t>
      </w:r>
      <w:r>
        <w:rPr>
          <w:rFonts w:ascii="Arial" w:hAnsi="Arial" w:cs="Arial"/>
          <w:color w:val="00000A"/>
          <w:sz w:val="24"/>
          <w:szCs w:val="20"/>
        </w:rPr>
        <w:t>A litigation or attendance certificate is granted by a judge in the Crown Court and ensures payment by the LAA for the services of a solicitor or other legal representative at the Crown Court attending counsel.</w:t>
      </w:r>
    </w:p>
    <w:p w14:paraId="39B30EB6" w14:textId="77777777" w:rsidR="005A3E31" w:rsidRDefault="005A3E31"/>
    <w:sectPr w:rsidR="005A3E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C15B" w14:textId="77777777" w:rsidR="00584D52" w:rsidRDefault="00584D52">
      <w:pPr>
        <w:spacing w:after="0" w:line="240" w:lineRule="auto"/>
      </w:pPr>
      <w:r>
        <w:separator/>
      </w:r>
    </w:p>
  </w:endnote>
  <w:endnote w:type="continuationSeparator" w:id="0">
    <w:p w14:paraId="7F4D8324" w14:textId="77777777" w:rsidR="00584D52" w:rsidRDefault="0058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5AD" w14:textId="77777777" w:rsidR="003F3B00" w:rsidRDefault="003F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8F58" w14:textId="77777777" w:rsidR="005A3E31" w:rsidRDefault="00584D52">
    <w:pPr>
      <w:pStyle w:val="Footer"/>
      <w:pBdr>
        <w:top w:val="single" w:sz="4" w:space="1" w:color="808080"/>
      </w:pBdr>
      <w:jc w:val="right"/>
      <w:rPr>
        <w:rFonts w:ascii="OUP Swift" w:hAnsi="OUP Swift"/>
        <w:color w:val="808080"/>
      </w:rPr>
    </w:pPr>
    <w:r>
      <w:rPr>
        <w:noProof/>
        <w:lang w:eastAsia="en-GB"/>
      </w:rPr>
      <w:drawing>
        <wp:inline distT="0" distB="0" distL="0" distR="0" wp14:anchorId="4FC09784" wp14:editId="2A8176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367CEC79" w14:textId="0DBEABA8" w:rsidR="005A3E31" w:rsidRDefault="00584D52">
    <w:pPr>
      <w:pStyle w:val="Footer"/>
    </w:pPr>
    <w:r>
      <w:rPr>
        <w:rFonts w:ascii="Arial" w:hAnsi="Arial"/>
        <w:color w:val="808080"/>
      </w:rPr>
      <w:t>© Oxford University Press, 20</w:t>
    </w:r>
    <w:r w:rsidR="00520662">
      <w:rPr>
        <w:rFonts w:ascii="Arial" w:hAnsi="Arial"/>
        <w:color w:val="808080"/>
      </w:rPr>
      <w:t>2</w:t>
    </w:r>
    <w:r w:rsidR="003F3B00">
      <w:rPr>
        <w:rFonts w:ascii="Arial" w:hAnsi="Arial"/>
        <w:color w:val="808080"/>
      </w:rPr>
      <w:t>2</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6874" w14:textId="77777777" w:rsidR="003F3B00" w:rsidRDefault="003F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294C" w14:textId="77777777" w:rsidR="00584D52" w:rsidRDefault="00584D52">
      <w:pPr>
        <w:spacing w:after="0" w:line="240" w:lineRule="auto"/>
      </w:pPr>
      <w:r>
        <w:separator/>
      </w:r>
    </w:p>
  </w:footnote>
  <w:footnote w:type="continuationSeparator" w:id="0">
    <w:p w14:paraId="29ABE3B7" w14:textId="77777777" w:rsidR="00584D52" w:rsidRDefault="0058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C50" w14:textId="77777777" w:rsidR="003F3B00" w:rsidRDefault="003F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0183" w14:textId="322F9A4F" w:rsidR="005A3E31" w:rsidRDefault="00584D52">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3F3B00" w:rsidRPr="003F3B00">
      <w:rPr>
        <w:rFonts w:ascii="Arial" w:hAnsi="Arial"/>
        <w:iCs/>
        <w:color w:val="808080"/>
        <w:sz w:val="24"/>
      </w:rPr>
      <w:t>18e</w:t>
    </w:r>
  </w:p>
  <w:p w14:paraId="5E2CC2EC" w14:textId="77777777" w:rsidR="005A3E31" w:rsidRDefault="00584D52">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14</w:t>
    </w:r>
  </w:p>
  <w:p w14:paraId="763ECABF" w14:textId="77777777" w:rsidR="005A3E31" w:rsidRDefault="005A3E31">
    <w:pPr>
      <w:pStyle w:val="Header"/>
      <w:pBdr>
        <w:bottom w:val="single" w:sz="4" w:space="1" w:color="808080"/>
      </w:pBdr>
      <w:jc w:val="center"/>
      <w:rPr>
        <w:rFonts w:ascii="Arial" w:hAnsi="Arial"/>
        <w:color w:val="808080"/>
        <w:sz w:val="24"/>
      </w:rPr>
    </w:pPr>
  </w:p>
  <w:p w14:paraId="61F4FA9E" w14:textId="77777777" w:rsidR="005A3E31" w:rsidRDefault="005A3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E156" w14:textId="77777777" w:rsidR="003F3B00" w:rsidRDefault="003F3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31"/>
    <w:rsid w:val="003F3B00"/>
    <w:rsid w:val="00520662"/>
    <w:rsid w:val="00584D52"/>
    <w:rsid w:val="005A3E31"/>
    <w:rsid w:val="00671056"/>
    <w:rsid w:val="009E1992"/>
    <w:rsid w:val="00D67A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96FF"/>
  <w15:docId w15:val="{83E1AF33-8D5D-47E1-8FAB-3CFD376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2018-05-25T13:20:00Z</cp:lastPrinted>
  <dcterms:created xsi:type="dcterms:W3CDTF">2019-07-22T12:53:00Z</dcterms:created>
  <dcterms:modified xsi:type="dcterms:W3CDTF">2022-06-13T10:05:00Z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-1549633183</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2022-06-13T10:05:42Z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5399f19f-483a-4a62-adb6-0000562e2dce</vt:lpwstr>
  </property>
  <property fmtid="{D5CDD505-2E9C-101B-9397-08002B2CF9AE}" pid="21" name="MSIP_Label_be5cb09a-2992-49d6-8ac9-5f63e7b1ad2f_ContentBits">
    <vt:lpwstr>0</vt:lpwstr>
  </property>
</Properties>
</file>