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5BE01" w14:textId="77777777" w:rsidR="003F393E" w:rsidRDefault="00A80A8E">
      <w:pPr>
        <w:pStyle w:val="APPA"/>
        <w:suppressAutoHyphens w:val="0"/>
        <w:spacing w:before="0" w:after="0" w:line="480" w:lineRule="auto"/>
        <w:jc w:val="both"/>
        <w:rPr>
          <w:rFonts w:ascii="Arial" w:hAnsi="Arial" w:cs="Arial"/>
          <w:b/>
          <w:color w:val="00000A"/>
          <w:spacing w:val="0"/>
          <w:sz w:val="24"/>
          <w:szCs w:val="20"/>
        </w:rPr>
      </w:pPr>
      <w:r>
        <w:rPr>
          <w:rFonts w:ascii="Arial" w:hAnsi="Arial" w:cs="Arial"/>
          <w:b/>
          <w:color w:val="00000A"/>
          <w:spacing w:val="0"/>
          <w:sz w:val="24"/>
          <w:szCs w:val="20"/>
        </w:rPr>
        <w:t>CHAPTER 13</w:t>
      </w:r>
    </w:p>
    <w:p w14:paraId="70472106" w14:textId="77777777" w:rsidR="003F393E" w:rsidRDefault="003F393E">
      <w:pPr>
        <w:pStyle w:val="APPA"/>
        <w:suppressAutoHyphens w:val="0"/>
        <w:spacing w:before="0" w:after="0" w:line="480" w:lineRule="auto"/>
        <w:jc w:val="both"/>
        <w:rPr>
          <w:rFonts w:ascii="Arial" w:hAnsi="Arial" w:cs="Arial"/>
          <w:b/>
          <w:color w:val="00000A"/>
          <w:spacing w:val="0"/>
          <w:sz w:val="24"/>
          <w:szCs w:val="20"/>
        </w:rPr>
      </w:pPr>
    </w:p>
    <w:p w14:paraId="73CADC56" w14:textId="77777777" w:rsidR="003F393E" w:rsidRDefault="00A80A8E">
      <w:pPr>
        <w:pStyle w:val="APPTXTfirst"/>
        <w:spacing w:line="480" w:lineRule="auto"/>
        <w:rPr>
          <w:rFonts w:ascii="Arial" w:hAnsi="Arial" w:cs="Arial"/>
          <w:color w:val="00000A"/>
          <w:sz w:val="24"/>
          <w:szCs w:val="20"/>
        </w:rPr>
      </w:pPr>
      <w:r>
        <w:rPr>
          <w:rFonts w:ascii="Arial" w:hAnsi="Arial" w:cs="Arial"/>
          <w:color w:val="00000A"/>
          <w:sz w:val="24"/>
          <w:szCs w:val="20"/>
        </w:rPr>
        <w:t>1.</w:t>
      </w:r>
      <w:r>
        <w:rPr>
          <w:rFonts w:ascii="Arial" w:eastAsia="MS Mincho" w:hAnsi="Arial" w:cs="Arial"/>
          <w:color w:val="00000A"/>
          <w:sz w:val="24"/>
          <w:szCs w:val="20"/>
        </w:rPr>
        <w:t>  </w:t>
      </w:r>
      <w:r>
        <w:rPr>
          <w:rFonts w:ascii="Arial" w:hAnsi="Arial" w:cs="Arial"/>
          <w:color w:val="00000A"/>
          <w:sz w:val="24"/>
          <w:szCs w:val="20"/>
        </w:rPr>
        <w:t>All defendants appear initially before a magistrates’ court. In a case where the defendant is alleged to have committed an indictable-only offence, the magistrates will send the case forthwith to the Crown Court (s 51 CDA 1998). Matters relating to representation orders and the defendant’s bail status in the meantime will be determined at the initial appearance before magistrates.</w:t>
      </w:r>
    </w:p>
    <w:p w14:paraId="4873C481" w14:textId="77777777" w:rsidR="003F393E" w:rsidRDefault="003F393E">
      <w:pPr>
        <w:pStyle w:val="APPTXTfirst"/>
        <w:spacing w:line="480" w:lineRule="auto"/>
        <w:rPr>
          <w:rFonts w:ascii="Arial" w:hAnsi="Arial" w:cs="Arial"/>
          <w:color w:val="00000A"/>
          <w:sz w:val="24"/>
          <w:szCs w:val="20"/>
        </w:rPr>
      </w:pPr>
    </w:p>
    <w:p w14:paraId="1C466D0B" w14:textId="77777777" w:rsidR="003F393E" w:rsidRDefault="00A80A8E">
      <w:pPr>
        <w:pStyle w:val="APPTXTfirst"/>
        <w:spacing w:line="480" w:lineRule="auto"/>
        <w:rPr>
          <w:rFonts w:ascii="Arial" w:hAnsi="Arial" w:cs="Arial"/>
          <w:color w:val="00000A"/>
          <w:sz w:val="24"/>
          <w:szCs w:val="20"/>
        </w:rPr>
      </w:pPr>
      <w:r>
        <w:rPr>
          <w:rFonts w:ascii="Arial" w:hAnsi="Arial" w:cs="Arial"/>
          <w:color w:val="00000A"/>
          <w:sz w:val="24"/>
          <w:szCs w:val="20"/>
        </w:rPr>
        <w:t>2.</w:t>
      </w:r>
      <w:r>
        <w:rPr>
          <w:rFonts w:ascii="Arial" w:eastAsia="MS Mincho" w:hAnsi="Arial" w:cs="Arial"/>
          <w:color w:val="00000A"/>
          <w:sz w:val="24"/>
          <w:szCs w:val="20"/>
        </w:rPr>
        <w:t>  </w:t>
      </w:r>
      <w:r>
        <w:rPr>
          <w:rFonts w:ascii="Arial" w:hAnsi="Arial" w:cs="Arial"/>
          <w:color w:val="00000A"/>
          <w:sz w:val="24"/>
          <w:szCs w:val="20"/>
        </w:rPr>
        <w:t>The prosecution must make disclosure of all used material in its case sent bundle. Thereafter it comes under obligations to make available unused material in accordance with the requirements of the CPIA 1996. The requirement to file a defence statement is compulsory in cases to be tried on indictment (s. 5 CPIA 1996).</w:t>
      </w:r>
    </w:p>
    <w:p w14:paraId="54D21337" w14:textId="77777777" w:rsidR="003F393E" w:rsidRDefault="003F393E">
      <w:pPr>
        <w:pStyle w:val="APPTXTfirst"/>
        <w:spacing w:line="480" w:lineRule="auto"/>
        <w:rPr>
          <w:rFonts w:ascii="Arial" w:hAnsi="Arial" w:cs="Arial"/>
          <w:color w:val="00000A"/>
          <w:sz w:val="24"/>
          <w:szCs w:val="20"/>
        </w:rPr>
      </w:pPr>
    </w:p>
    <w:p w14:paraId="1A38051E" w14:textId="6062B1CC" w:rsidR="003F393E" w:rsidRDefault="00A80A8E">
      <w:pPr>
        <w:pStyle w:val="APPTXTfirst"/>
        <w:spacing w:line="480" w:lineRule="auto"/>
        <w:rPr>
          <w:rFonts w:ascii="Arial" w:hAnsi="Arial" w:cs="Arial"/>
          <w:color w:val="00000A"/>
          <w:sz w:val="24"/>
          <w:szCs w:val="20"/>
        </w:rPr>
      </w:pPr>
      <w:r>
        <w:rPr>
          <w:rFonts w:ascii="Arial" w:hAnsi="Arial" w:cs="Arial"/>
          <w:color w:val="00000A"/>
          <w:sz w:val="24"/>
          <w:szCs w:val="20"/>
        </w:rPr>
        <w:t>3.</w:t>
      </w:r>
      <w:r>
        <w:rPr>
          <w:rFonts w:ascii="Arial" w:eastAsia="MS Mincho" w:hAnsi="Arial" w:cs="Arial"/>
          <w:color w:val="00000A"/>
          <w:sz w:val="24"/>
          <w:szCs w:val="20"/>
        </w:rPr>
        <w:t>  </w:t>
      </w:r>
      <w:r>
        <w:rPr>
          <w:rFonts w:ascii="Arial" w:hAnsi="Arial" w:cs="Arial"/>
          <w:color w:val="00000A"/>
          <w:sz w:val="24"/>
          <w:szCs w:val="20"/>
        </w:rPr>
        <w:t xml:space="preserve">Where the defence concludes that the prosecution’s pre-trial disclosure does not disclose a case to answer, </w:t>
      </w:r>
      <w:r w:rsidR="003A7C24">
        <w:rPr>
          <w:rFonts w:ascii="Arial" w:hAnsi="Arial" w:cs="Arial"/>
          <w:color w:val="00000A"/>
          <w:sz w:val="24"/>
          <w:szCs w:val="20"/>
        </w:rPr>
        <w:t xml:space="preserve">a </w:t>
      </w:r>
      <w:r>
        <w:rPr>
          <w:rFonts w:ascii="Arial" w:hAnsi="Arial" w:cs="Arial"/>
          <w:color w:val="00000A"/>
          <w:sz w:val="24"/>
          <w:szCs w:val="20"/>
        </w:rPr>
        <w:t xml:space="preserve">written or </w:t>
      </w:r>
      <w:r w:rsidR="003A7C24">
        <w:rPr>
          <w:rFonts w:ascii="Arial" w:hAnsi="Arial" w:cs="Arial"/>
          <w:color w:val="00000A"/>
          <w:sz w:val="24"/>
          <w:szCs w:val="20"/>
        </w:rPr>
        <w:t xml:space="preserve">an </w:t>
      </w:r>
      <w:r>
        <w:rPr>
          <w:rFonts w:ascii="Arial" w:hAnsi="Arial" w:cs="Arial"/>
          <w:color w:val="00000A"/>
          <w:sz w:val="24"/>
          <w:szCs w:val="20"/>
        </w:rPr>
        <w:t xml:space="preserve">oral application can be made under Sch. 3 CDA 1998 (see Part </w:t>
      </w:r>
      <w:r w:rsidR="004F603A">
        <w:rPr>
          <w:rFonts w:ascii="Arial" w:hAnsi="Arial" w:cs="Arial"/>
          <w:color w:val="00000A"/>
          <w:sz w:val="24"/>
          <w:szCs w:val="20"/>
        </w:rPr>
        <w:t>3</w:t>
      </w:r>
      <w:r>
        <w:rPr>
          <w:rFonts w:ascii="Arial" w:hAnsi="Arial" w:cs="Arial"/>
          <w:color w:val="00000A"/>
          <w:sz w:val="24"/>
          <w:szCs w:val="20"/>
        </w:rPr>
        <w:t>.</w:t>
      </w:r>
      <w:r w:rsidR="004F603A">
        <w:rPr>
          <w:rFonts w:ascii="Arial" w:hAnsi="Arial" w:cs="Arial"/>
          <w:color w:val="00000A"/>
          <w:sz w:val="24"/>
          <w:szCs w:val="20"/>
        </w:rPr>
        <w:t>20</w:t>
      </w:r>
      <w:r>
        <w:rPr>
          <w:rFonts w:ascii="Arial" w:hAnsi="Arial" w:cs="Arial"/>
          <w:color w:val="00000A"/>
          <w:sz w:val="24"/>
          <w:szCs w:val="20"/>
        </w:rPr>
        <w:t xml:space="preserve"> Crim PR). Oral evidence may be given at this hearing only with leave of the judge.</w:t>
      </w:r>
    </w:p>
    <w:p w14:paraId="72290518" w14:textId="77777777" w:rsidR="003F393E" w:rsidRDefault="003F393E">
      <w:pPr>
        <w:pStyle w:val="APPTXTfirst"/>
        <w:spacing w:line="480" w:lineRule="auto"/>
        <w:rPr>
          <w:rFonts w:ascii="Arial" w:hAnsi="Arial" w:cs="Arial"/>
          <w:color w:val="00000A"/>
          <w:sz w:val="24"/>
          <w:szCs w:val="20"/>
        </w:rPr>
      </w:pPr>
    </w:p>
    <w:p w14:paraId="2AB56893" w14:textId="2D0E1A87" w:rsidR="003F393E" w:rsidRDefault="00A80A8E">
      <w:pPr>
        <w:pStyle w:val="APPTXTfirst"/>
        <w:spacing w:line="480" w:lineRule="auto"/>
      </w:pPr>
      <w:r>
        <w:rPr>
          <w:rFonts w:ascii="Arial" w:hAnsi="Arial" w:cs="Arial"/>
          <w:color w:val="00000A"/>
          <w:sz w:val="24"/>
          <w:szCs w:val="20"/>
        </w:rPr>
        <w:t>4.</w:t>
      </w:r>
      <w:r>
        <w:rPr>
          <w:rFonts w:ascii="Arial" w:eastAsia="MS Mincho" w:hAnsi="Arial" w:cs="Arial"/>
          <w:color w:val="00000A"/>
          <w:sz w:val="24"/>
          <w:szCs w:val="20"/>
        </w:rPr>
        <w:t>  </w:t>
      </w:r>
      <w:r>
        <w:rPr>
          <w:rFonts w:ascii="Arial" w:hAnsi="Arial" w:cs="Arial"/>
          <w:color w:val="00000A"/>
          <w:sz w:val="24"/>
          <w:szCs w:val="20"/>
        </w:rPr>
        <w:t>The primary purpose of the PTPH is to allow the Crown Court to arraign the accused and to take a plea. If the defendant pleads not guilty, the Crown Court will engage in effective trial management of the case. The parties must complete the PTPH questionnaire in advance of the hearing.  The PTPH will identify the issues that are in dispute, make clear what evidence can be agreed and</w:t>
      </w:r>
      <w:r w:rsidR="00E81FC0">
        <w:rPr>
          <w:rFonts w:ascii="Arial" w:hAnsi="Arial" w:cs="Arial"/>
          <w:color w:val="00000A"/>
          <w:sz w:val="24"/>
          <w:szCs w:val="20"/>
        </w:rPr>
        <w:t xml:space="preserve"> </w:t>
      </w:r>
      <w:r>
        <w:rPr>
          <w:rFonts w:ascii="Arial" w:hAnsi="Arial" w:cs="Arial"/>
          <w:color w:val="00000A"/>
          <w:sz w:val="24"/>
          <w:szCs w:val="20"/>
        </w:rPr>
        <w:t xml:space="preserve">how many witnesses on each side need to attend court to give evidence (perhaps with special </w:t>
      </w:r>
      <w:r>
        <w:rPr>
          <w:rFonts w:ascii="Arial" w:hAnsi="Arial" w:cs="Arial"/>
          <w:color w:val="00000A"/>
          <w:sz w:val="24"/>
          <w:szCs w:val="20"/>
        </w:rPr>
        <w:lastRenderedPageBreak/>
        <w:t>measures). It will cover the need for expert evidence, bad character and hearsay applications and the PTPH judge will make case management directions and set a date for trial on indictment based on an indication as to likely length or for a Further Case Management Hearing... It is possible for the PTPH judge to make binding rulings on any points of law that are in dispute.</w:t>
      </w:r>
    </w:p>
    <w:p w14:paraId="0C7996D0" w14:textId="77777777" w:rsidR="003F393E" w:rsidRDefault="003F393E">
      <w:pPr>
        <w:pStyle w:val="APPTXTfirst"/>
        <w:spacing w:line="480" w:lineRule="auto"/>
        <w:rPr>
          <w:rFonts w:ascii="Arial" w:hAnsi="Arial" w:cs="Arial"/>
          <w:color w:val="00000A"/>
          <w:sz w:val="24"/>
          <w:szCs w:val="20"/>
        </w:rPr>
      </w:pPr>
    </w:p>
    <w:p w14:paraId="2F9B6103" w14:textId="77777777" w:rsidR="003F393E" w:rsidRDefault="003F393E"/>
    <w:sectPr w:rsidR="003F393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97FCE" w14:textId="77777777" w:rsidR="00971B9E" w:rsidRDefault="00971B9E">
      <w:pPr>
        <w:spacing w:after="0" w:line="240" w:lineRule="auto"/>
      </w:pPr>
      <w:r>
        <w:separator/>
      </w:r>
    </w:p>
  </w:endnote>
  <w:endnote w:type="continuationSeparator" w:id="0">
    <w:p w14:paraId="3BC2E8D3" w14:textId="77777777" w:rsidR="00971B9E" w:rsidRDefault="00971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Italic">
    <w:altName w:val="Times New Roman"/>
    <w:charset w:val="01"/>
    <w:family w:val="roman"/>
    <w:pitch w:val="variable"/>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charset w:val="00"/>
    <w:family w:val="swiss"/>
    <w:pitch w:val="variable"/>
    <w:sig w:usb0="00000003" w:usb1="00000000" w:usb2="00000000" w:usb3="00000000" w:csb0="00000001" w:csb1="00000000"/>
  </w:font>
  <w:font w:name="Frutiger-BlackCn">
    <w:altName w:val="Calibri"/>
    <w:panose1 w:val="00000000000000000000"/>
    <w:charset w:val="4D"/>
    <w:family w:val="auto"/>
    <w:notTrueType/>
    <w:pitch w:val="default"/>
    <w:sig w:usb0="00000003" w:usb1="00000000" w:usb2="00000000" w:usb3="00000000" w:csb0="00000001" w:csb1="00000000"/>
  </w:font>
  <w:font w:name="StoneSerif">
    <w:altName w:val="Cambria"/>
    <w:charset w:val="01"/>
    <w:family w:val="roman"/>
    <w:pitch w:val="variable"/>
  </w:font>
  <w:font w:name="Frutiger-BoldCn">
    <w:altName w:val="Cambria"/>
    <w:charset w:val="01"/>
    <w:family w:val="roman"/>
    <w:pitch w:val="variable"/>
  </w:font>
  <w:font w:name="StoneSerif-Semibold">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UP Swift">
    <w:altName w:val="Calibri"/>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9CFE1" w14:textId="77777777" w:rsidR="00794D8A" w:rsidRDefault="00794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6E2C4" w14:textId="77777777" w:rsidR="003F393E" w:rsidRDefault="00A80A8E">
    <w:pPr>
      <w:pStyle w:val="Footer"/>
      <w:pBdr>
        <w:top w:val="single" w:sz="4" w:space="1" w:color="808080"/>
      </w:pBdr>
      <w:jc w:val="right"/>
      <w:rPr>
        <w:rFonts w:ascii="OUP Swift" w:hAnsi="OUP Swift"/>
        <w:color w:val="808080"/>
      </w:rPr>
    </w:pPr>
    <w:r>
      <w:rPr>
        <w:noProof/>
        <w:lang w:eastAsia="en-GB"/>
      </w:rPr>
      <w:drawing>
        <wp:inline distT="0" distB="0" distL="0" distR="0" wp14:anchorId="70F98A34" wp14:editId="3037E36E">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1106324D" w14:textId="3ED4B5C4" w:rsidR="003F393E" w:rsidRDefault="00A80A8E">
    <w:pPr>
      <w:pStyle w:val="Footer"/>
    </w:pPr>
    <w:r>
      <w:rPr>
        <w:rFonts w:ascii="Arial" w:hAnsi="Arial"/>
        <w:color w:val="808080"/>
      </w:rPr>
      <w:t>© Oxford University Press, 20</w:t>
    </w:r>
    <w:r w:rsidR="003A7C24">
      <w:rPr>
        <w:rFonts w:ascii="Arial" w:hAnsi="Arial"/>
        <w:color w:val="808080"/>
      </w:rPr>
      <w:t>2</w:t>
    </w:r>
    <w:r w:rsidR="00794D8A">
      <w:rPr>
        <w:rFonts w:ascii="Arial" w:hAnsi="Arial"/>
        <w:color w:val="808080"/>
      </w:rPr>
      <w:t>2</w:t>
    </w:r>
    <w:r>
      <w:rPr>
        <w:rFonts w:ascii="Arial" w:hAnsi="Arial"/>
        <w:color w:val="80808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F5602" w14:textId="77777777" w:rsidR="00794D8A" w:rsidRDefault="00794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08F64" w14:textId="77777777" w:rsidR="00971B9E" w:rsidRDefault="00971B9E">
      <w:pPr>
        <w:spacing w:after="0" w:line="240" w:lineRule="auto"/>
      </w:pPr>
      <w:r>
        <w:separator/>
      </w:r>
    </w:p>
  </w:footnote>
  <w:footnote w:type="continuationSeparator" w:id="0">
    <w:p w14:paraId="319D338C" w14:textId="77777777" w:rsidR="00971B9E" w:rsidRDefault="00971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714CB" w14:textId="77777777" w:rsidR="00794D8A" w:rsidRDefault="00794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F8702" w14:textId="08BF4F88" w:rsidR="003F393E" w:rsidRDefault="00A80A8E">
    <w:pPr>
      <w:pStyle w:val="Header"/>
      <w:pBdr>
        <w:bottom w:val="single" w:sz="4" w:space="1" w:color="808080"/>
      </w:pBdr>
      <w:jc w:val="center"/>
    </w:pPr>
    <w:r>
      <w:rPr>
        <w:rFonts w:ascii="Arial" w:hAnsi="Arial"/>
        <w:color w:val="808080"/>
        <w:sz w:val="24"/>
      </w:rPr>
      <w:t xml:space="preserve">Hannibal &amp; Mountford: </w:t>
    </w:r>
    <w:r>
      <w:rPr>
        <w:rFonts w:ascii="Arial" w:hAnsi="Arial"/>
        <w:i/>
        <w:color w:val="808080"/>
        <w:sz w:val="24"/>
      </w:rPr>
      <w:t>Criminal Litigation</w:t>
    </w:r>
    <w:r>
      <w:rPr>
        <w:rFonts w:ascii="Arial" w:hAnsi="Arial"/>
        <w:color w:val="808080"/>
        <w:sz w:val="24"/>
      </w:rPr>
      <w:t xml:space="preserve"> </w:t>
    </w:r>
    <w:r w:rsidR="00794D8A" w:rsidRPr="00794D8A">
      <w:rPr>
        <w:rFonts w:ascii="Arial" w:hAnsi="Arial"/>
        <w:iCs/>
        <w:color w:val="808080"/>
        <w:sz w:val="24"/>
      </w:rPr>
      <w:t>18e</w:t>
    </w:r>
  </w:p>
  <w:p w14:paraId="0BCB164C" w14:textId="77777777" w:rsidR="003F393E" w:rsidRDefault="00A80A8E">
    <w:pPr>
      <w:pStyle w:val="Header"/>
      <w:pBdr>
        <w:bottom w:val="single" w:sz="4" w:space="1" w:color="808080"/>
      </w:pBdr>
      <w:jc w:val="center"/>
      <w:rPr>
        <w:rFonts w:ascii="Arial" w:hAnsi="Arial"/>
        <w:color w:val="808080"/>
        <w:sz w:val="24"/>
      </w:rPr>
    </w:pPr>
    <w:r>
      <w:rPr>
        <w:rFonts w:ascii="Arial" w:hAnsi="Arial"/>
        <w:color w:val="808080"/>
        <w:sz w:val="24"/>
      </w:rPr>
      <w:t>Answers to self-test questions – Chapter 13</w:t>
    </w:r>
  </w:p>
  <w:p w14:paraId="0923086D" w14:textId="77777777" w:rsidR="003F393E" w:rsidRDefault="003F393E">
    <w:pPr>
      <w:pStyle w:val="Header"/>
      <w:pBdr>
        <w:bottom w:val="single" w:sz="4" w:space="1" w:color="808080"/>
      </w:pBdr>
      <w:jc w:val="center"/>
      <w:rPr>
        <w:rFonts w:ascii="Arial" w:hAnsi="Arial"/>
        <w:color w:val="808080"/>
        <w:sz w:val="24"/>
      </w:rPr>
    </w:pPr>
  </w:p>
  <w:p w14:paraId="2006F486" w14:textId="77777777" w:rsidR="003F393E" w:rsidRDefault="003F39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4897D" w14:textId="77777777" w:rsidR="00794D8A" w:rsidRDefault="00794D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93E"/>
    <w:rsid w:val="00390CF7"/>
    <w:rsid w:val="003A7C24"/>
    <w:rsid w:val="003F393E"/>
    <w:rsid w:val="004F603A"/>
    <w:rsid w:val="00794D8A"/>
    <w:rsid w:val="00971B9E"/>
    <w:rsid w:val="00A80A8E"/>
    <w:rsid w:val="00BD2A10"/>
    <w:rsid w:val="00CA3914"/>
    <w:rsid w:val="00E81FC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AD090"/>
  <w15:docId w15:val="{DC36F8D8-0D42-4409-B8A6-F1FFC384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6C8"/>
    <w:pPr>
      <w:suppressAutoHyphens/>
      <w:spacing w:after="200"/>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61FA9"/>
  </w:style>
  <w:style w:type="character" w:customStyle="1" w:styleId="FooterChar">
    <w:name w:val="Footer Char"/>
    <w:basedOn w:val="DefaultParagraphFont"/>
    <w:link w:val="Footer"/>
    <w:uiPriority w:val="99"/>
    <w:qFormat/>
    <w:rsid w:val="00861FA9"/>
  </w:style>
  <w:style w:type="character" w:customStyle="1" w:styleId="BalloonTextChar">
    <w:name w:val="Balloon Text Char"/>
    <w:basedOn w:val="DefaultParagraphFont"/>
    <w:link w:val="BalloonText"/>
    <w:uiPriority w:val="99"/>
    <w:semiHidden/>
    <w:qFormat/>
    <w:rsid w:val="00861FA9"/>
    <w:rPr>
      <w:rFonts w:ascii="Tahoma" w:hAnsi="Tahoma" w:cs="Tahoma"/>
      <w:sz w:val="16"/>
      <w:szCs w:val="16"/>
    </w:rPr>
  </w:style>
  <w:style w:type="character" w:customStyle="1" w:styleId="frutigerboldital">
    <w:name w:val="frutiger.boldital"/>
    <w:qFormat/>
    <w:rsid w:val="00403E89"/>
    <w:rPr>
      <w:rFonts w:ascii="Frutiger-BoldItalic" w:hAnsi="Frutiger-BoldItalic" w:cs="Frutiger-BoldItalic"/>
      <w:b/>
      <w:bCs/>
      <w:i/>
      <w:iCs/>
    </w:rPr>
  </w:style>
  <w:style w:type="character" w:customStyle="1" w:styleId="italic">
    <w:name w:val="italic"/>
    <w:qFormat/>
    <w:rsid w:val="00712106"/>
    <w:rPr>
      <w:i/>
      <w:iCs/>
    </w:rPr>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nhideWhenUsed/>
    <w:rsid w:val="00861FA9"/>
    <w:pPr>
      <w:tabs>
        <w:tab w:val="center" w:pos="4513"/>
        <w:tab w:val="right" w:pos="9026"/>
      </w:tabs>
      <w:spacing w:after="0" w:line="240" w:lineRule="auto"/>
    </w:pPr>
  </w:style>
  <w:style w:type="paragraph" w:styleId="Footer">
    <w:name w:val="footer"/>
    <w:basedOn w:val="Normal"/>
    <w:link w:val="FooterChar"/>
    <w:uiPriority w:val="99"/>
    <w:unhideWhenUsed/>
    <w:rsid w:val="00861FA9"/>
    <w:pPr>
      <w:tabs>
        <w:tab w:val="center" w:pos="4513"/>
        <w:tab w:val="right" w:pos="9026"/>
      </w:tabs>
      <w:spacing w:after="0" w:line="240" w:lineRule="auto"/>
    </w:pPr>
  </w:style>
  <w:style w:type="paragraph" w:customStyle="1" w:styleId="APPA">
    <w:name w:val="APP_A"/>
    <w:basedOn w:val="Normal"/>
    <w:qFormat/>
    <w:rsid w:val="00861FA9"/>
    <w:pPr>
      <w:widowControl w:val="0"/>
      <w:spacing w:before="170" w:after="40" w:line="230" w:lineRule="atLeast"/>
      <w:textAlignment w:val="center"/>
    </w:pPr>
    <w:rPr>
      <w:rFonts w:ascii="Frutiger-BlackCn" w:eastAsia="Times New Roman" w:hAnsi="Frutiger-BlackCn" w:cs="Frutiger-BlackCn"/>
      <w:color w:val="000000"/>
      <w:spacing w:val="17"/>
      <w:sz w:val="18"/>
      <w:szCs w:val="18"/>
    </w:rPr>
  </w:style>
  <w:style w:type="paragraph" w:customStyle="1" w:styleId="APPL">
    <w:name w:val="APP_L"/>
    <w:basedOn w:val="Normal"/>
    <w:qFormat/>
    <w:rsid w:val="00861FA9"/>
    <w:pPr>
      <w:widowControl w:val="0"/>
      <w:tabs>
        <w:tab w:val="left" w:pos="168"/>
        <w:tab w:val="left" w:pos="360"/>
        <w:tab w:val="left" w:pos="460"/>
      </w:tabs>
      <w:spacing w:after="70" w:line="230" w:lineRule="atLeast"/>
      <w:jc w:val="both"/>
      <w:textAlignment w:val="center"/>
    </w:pPr>
    <w:rPr>
      <w:rFonts w:ascii="StoneSerif" w:eastAsia="Times New Roman" w:hAnsi="StoneSerif" w:cs="StoneSerif"/>
      <w:color w:val="000000"/>
      <w:sz w:val="16"/>
      <w:szCs w:val="16"/>
    </w:rPr>
  </w:style>
  <w:style w:type="paragraph" w:styleId="BalloonText">
    <w:name w:val="Balloon Text"/>
    <w:basedOn w:val="Normal"/>
    <w:link w:val="BalloonTextChar"/>
    <w:uiPriority w:val="99"/>
    <w:semiHidden/>
    <w:unhideWhenUsed/>
    <w:qFormat/>
    <w:rsid w:val="00861FA9"/>
    <w:pPr>
      <w:spacing w:after="0" w:line="240" w:lineRule="auto"/>
    </w:pPr>
    <w:rPr>
      <w:rFonts w:ascii="Tahoma" w:hAnsi="Tahoma" w:cs="Tahoma"/>
      <w:sz w:val="16"/>
      <w:szCs w:val="16"/>
    </w:rPr>
  </w:style>
  <w:style w:type="paragraph" w:customStyle="1" w:styleId="APPB">
    <w:name w:val="APP_B"/>
    <w:basedOn w:val="Normal"/>
    <w:qFormat/>
    <w:rsid w:val="00403E89"/>
    <w:pPr>
      <w:widowControl w:val="0"/>
      <w:spacing w:before="232" w:after="40" w:line="230" w:lineRule="atLeast"/>
      <w:textAlignment w:val="center"/>
    </w:pPr>
    <w:rPr>
      <w:rFonts w:ascii="Frutiger-BoldCn" w:eastAsia="Times New Roman" w:hAnsi="Frutiger-BoldCn" w:cs="Frutiger-BoldCn"/>
      <w:b/>
      <w:bCs/>
      <w:color w:val="000000"/>
      <w:spacing w:val="15"/>
      <w:sz w:val="16"/>
      <w:szCs w:val="16"/>
    </w:rPr>
  </w:style>
  <w:style w:type="paragraph" w:customStyle="1" w:styleId="APPTXTfirst">
    <w:name w:val="APP_TXT.first"/>
    <w:basedOn w:val="Normal"/>
    <w:qFormat/>
    <w:rsid w:val="00403E89"/>
    <w:pPr>
      <w:widowControl w:val="0"/>
      <w:spacing w:after="0" w:line="230" w:lineRule="atLeast"/>
      <w:jc w:val="both"/>
      <w:textAlignment w:val="center"/>
    </w:pPr>
    <w:rPr>
      <w:rFonts w:ascii="StoneSerif" w:eastAsia="Times New Roman" w:hAnsi="StoneSerif" w:cs="StoneSerif"/>
      <w:color w:val="000000"/>
      <w:sz w:val="16"/>
      <w:szCs w:val="16"/>
    </w:rPr>
  </w:style>
  <w:style w:type="paragraph" w:customStyle="1" w:styleId="APPTXT">
    <w:name w:val="APP_TXT"/>
    <w:basedOn w:val="Normal"/>
    <w:qFormat/>
    <w:rsid w:val="00403E89"/>
    <w:pPr>
      <w:widowControl w:val="0"/>
      <w:spacing w:after="0" w:line="230" w:lineRule="atLeast"/>
      <w:ind w:firstLine="160"/>
      <w:jc w:val="both"/>
      <w:textAlignment w:val="center"/>
    </w:pPr>
    <w:rPr>
      <w:rFonts w:ascii="StoneSerif" w:eastAsia="Times New Roman" w:hAnsi="StoneSerif" w:cs="StoneSerif"/>
      <w:color w:val="000000"/>
      <w:sz w:val="16"/>
      <w:szCs w:val="16"/>
    </w:rPr>
  </w:style>
  <w:style w:type="paragraph" w:customStyle="1" w:styleId="APPC">
    <w:name w:val="APP_C"/>
    <w:basedOn w:val="Normal"/>
    <w:qFormat/>
    <w:rsid w:val="00D6575A"/>
    <w:pPr>
      <w:widowControl w:val="0"/>
      <w:spacing w:before="170" w:after="40" w:line="230" w:lineRule="atLeast"/>
      <w:textAlignment w:val="center"/>
    </w:pPr>
    <w:rPr>
      <w:rFonts w:ascii="StoneSerif-Semibold" w:eastAsia="Times New Roman" w:hAnsi="StoneSerif-Semibold" w:cs="StoneSerif-Semibold"/>
      <w:color w:val="000000"/>
      <w:spacing w:val="15"/>
      <w:sz w:val="16"/>
      <w:szCs w:val="16"/>
    </w:rPr>
  </w:style>
  <w:style w:type="paragraph" w:customStyle="1" w:styleId="EXTONLY">
    <w:name w:val="EXT_ONLY"/>
    <w:basedOn w:val="Normal"/>
    <w:qFormat/>
    <w:rsid w:val="00D6575A"/>
    <w:pPr>
      <w:widowControl w:val="0"/>
      <w:spacing w:before="120" w:after="120" w:line="210" w:lineRule="atLeast"/>
      <w:ind w:left="160" w:right="160"/>
      <w:jc w:val="both"/>
      <w:textAlignment w:val="center"/>
    </w:pPr>
    <w:rPr>
      <w:rFonts w:ascii="StoneSerif" w:eastAsia="Times New Roman" w:hAnsi="StoneSerif" w:cs="StoneSerif"/>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Helen</dc:creator>
  <cp:lastModifiedBy>MERRICK, Hayden</cp:lastModifiedBy>
  <cp:revision>5</cp:revision>
  <cp:lastPrinted>2015-08-17T15:41:00Z</cp:lastPrinted>
  <dcterms:created xsi:type="dcterms:W3CDTF">2019-07-22T12:52:00Z</dcterms:created>
  <dcterms:modified xsi:type="dcterms:W3CDTF">2022-06-13T10:03:00Z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Oxford University Press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AdHocReviewCycleID">
    <vt:i4>628221751</vt:i4>
  </property>
  <property fmtid="{D5CDD505-2E9C-101B-9397-08002B2CF9AE}" pid="10" name="_NewReviewCycle">
    <vt:lpwstr/>
  </property>
  <property fmtid="{D5CDD505-2E9C-101B-9397-08002B2CF9AE}" pid="11" name="_EmailSubject">
    <vt:lpwstr>Hannibal and Mountford ORC</vt:lpwstr>
  </property>
  <property fmtid="{D5CDD505-2E9C-101B-9397-08002B2CF9AE}" pid="12" name="_AuthorEmail">
    <vt:lpwstr>Liana.Green@oup.com</vt:lpwstr>
  </property>
  <property fmtid="{D5CDD505-2E9C-101B-9397-08002B2CF9AE}" pid="13" name="_AuthorEmailDisplayName">
    <vt:lpwstr>GREEN, Liana</vt:lpwstr>
  </property>
  <property fmtid="{D5CDD505-2E9C-101B-9397-08002B2CF9AE}" pid="14" name="_ReviewingToolsShownOnce">
    <vt:lpwstr/>
  </property>
  <property fmtid="{D5CDD505-2E9C-101B-9397-08002B2CF9AE}" pid="15" name="MSIP_Label_be5cb09a-2992-49d6-8ac9-5f63e7b1ad2f_Enabled">
    <vt:lpwstr>true</vt:lpwstr>
  </property>
  <property fmtid="{D5CDD505-2E9C-101B-9397-08002B2CF9AE}" pid="16" name="MSIP_Label_be5cb09a-2992-49d6-8ac9-5f63e7b1ad2f_SetDate">
    <vt:lpwstr>2022-06-13T10:03:41Z</vt:lpwstr>
  </property>
  <property fmtid="{D5CDD505-2E9C-101B-9397-08002B2CF9AE}" pid="17" name="MSIP_Label_be5cb09a-2992-49d6-8ac9-5f63e7b1ad2f_Method">
    <vt:lpwstr>Standard</vt:lpwstr>
  </property>
  <property fmtid="{D5CDD505-2E9C-101B-9397-08002B2CF9AE}" pid="18" name="MSIP_Label_be5cb09a-2992-49d6-8ac9-5f63e7b1ad2f_Name">
    <vt:lpwstr>Controlled</vt:lpwstr>
  </property>
  <property fmtid="{D5CDD505-2E9C-101B-9397-08002B2CF9AE}" pid="19" name="MSIP_Label_be5cb09a-2992-49d6-8ac9-5f63e7b1ad2f_SiteId">
    <vt:lpwstr>91761b62-4c45-43f5-9f0e-be8ad9b551ff</vt:lpwstr>
  </property>
  <property fmtid="{D5CDD505-2E9C-101B-9397-08002B2CF9AE}" pid="20" name="MSIP_Label_be5cb09a-2992-49d6-8ac9-5f63e7b1ad2f_ActionId">
    <vt:lpwstr>5956d8c0-93a5-4c3e-b423-0000108f2d51</vt:lpwstr>
  </property>
  <property fmtid="{D5CDD505-2E9C-101B-9397-08002B2CF9AE}" pid="21" name="MSIP_Label_be5cb09a-2992-49d6-8ac9-5f63e7b1ad2f_ContentBits">
    <vt:lpwstr>0</vt:lpwstr>
  </property>
</Properties>
</file>