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FDE7B" w14:textId="77777777" w:rsidR="00D17AC8" w:rsidRDefault="009C1680">
      <w:pPr>
        <w:pStyle w:val="APPA"/>
        <w:suppressAutoHyphens w:val="0"/>
        <w:spacing w:before="0" w:after="0" w:line="480" w:lineRule="auto"/>
        <w:jc w:val="both"/>
        <w:rPr>
          <w:rFonts w:ascii="Arial" w:hAnsi="Arial" w:cs="Arial"/>
          <w:b/>
          <w:color w:val="00000A"/>
          <w:spacing w:val="0"/>
          <w:sz w:val="24"/>
          <w:szCs w:val="24"/>
        </w:rPr>
      </w:pPr>
      <w:r>
        <w:rPr>
          <w:rFonts w:ascii="Arial" w:hAnsi="Arial" w:cs="Arial"/>
          <w:b/>
          <w:color w:val="00000A"/>
          <w:spacing w:val="0"/>
          <w:sz w:val="24"/>
          <w:szCs w:val="24"/>
        </w:rPr>
        <w:t>CHAPTER 3</w:t>
      </w:r>
    </w:p>
    <w:p w14:paraId="5DB6DE56" w14:textId="7F8FB805" w:rsidR="00D17AC8" w:rsidRDefault="009C1680">
      <w:pPr>
        <w:pStyle w:val="APPTXTfirst"/>
        <w:spacing w:line="480" w:lineRule="auto"/>
        <w:rPr>
          <w:rFonts w:ascii="Arial" w:hAnsi="Arial" w:cs="Arial"/>
          <w:color w:val="00000A"/>
          <w:sz w:val="24"/>
          <w:szCs w:val="24"/>
        </w:rPr>
      </w:pPr>
      <w:r>
        <w:rPr>
          <w:rFonts w:ascii="Arial" w:hAnsi="Arial" w:cs="Arial"/>
          <w:color w:val="00000A"/>
          <w:sz w:val="24"/>
          <w:szCs w:val="24"/>
        </w:rPr>
        <w:t>1.</w:t>
      </w:r>
      <w:r>
        <w:rPr>
          <w:rFonts w:ascii="Arial" w:eastAsia="MS Mincho" w:hAnsi="Arial" w:cs="Arial"/>
          <w:color w:val="00000A"/>
          <w:sz w:val="24"/>
          <w:szCs w:val="24"/>
        </w:rPr>
        <w:t>  </w:t>
      </w:r>
      <w:r>
        <w:rPr>
          <w:rFonts w:ascii="Arial" w:hAnsi="Arial" w:cs="Arial"/>
          <w:color w:val="00000A"/>
          <w:sz w:val="24"/>
          <w:szCs w:val="24"/>
        </w:rPr>
        <w:t xml:space="preserve">Judicial guidance on the reasonable suspicion or belief test is provided by </w:t>
      </w:r>
      <w:r>
        <w:rPr>
          <w:rStyle w:val="italic"/>
          <w:rFonts w:ascii="Arial" w:hAnsi="Arial" w:cs="Arial"/>
          <w:color w:val="00000A"/>
          <w:sz w:val="24"/>
          <w:szCs w:val="24"/>
        </w:rPr>
        <w:t>O’Hara v Chief Constable, RUC</w:t>
      </w:r>
      <w:r>
        <w:rPr>
          <w:rFonts w:ascii="Arial" w:hAnsi="Arial" w:cs="Arial"/>
          <w:color w:val="00000A"/>
          <w:sz w:val="24"/>
          <w:szCs w:val="24"/>
        </w:rPr>
        <w:t xml:space="preserve"> [1997] AC 286. Further, important guidance is located in Code A 2.2–2.11.</w:t>
      </w:r>
      <w:r w:rsidR="00743F35">
        <w:rPr>
          <w:rFonts w:ascii="Arial" w:hAnsi="Arial" w:cs="Arial"/>
          <w:color w:val="00000A"/>
          <w:sz w:val="24"/>
          <w:szCs w:val="24"/>
        </w:rPr>
        <w:t xml:space="preserve"> </w:t>
      </w:r>
    </w:p>
    <w:p w14:paraId="4B7C7849" w14:textId="77777777" w:rsidR="00D17AC8" w:rsidRDefault="00D17AC8">
      <w:pPr>
        <w:pStyle w:val="APPTXTfirst"/>
        <w:spacing w:line="480" w:lineRule="auto"/>
        <w:rPr>
          <w:rFonts w:ascii="Arial" w:hAnsi="Arial" w:cs="Arial"/>
          <w:color w:val="00000A"/>
          <w:sz w:val="24"/>
          <w:szCs w:val="24"/>
        </w:rPr>
      </w:pPr>
    </w:p>
    <w:p w14:paraId="011F69B5" w14:textId="77777777" w:rsidR="00D17AC8" w:rsidRDefault="009C1680">
      <w:pPr>
        <w:pStyle w:val="APPTXTfirst"/>
        <w:spacing w:line="480" w:lineRule="auto"/>
        <w:rPr>
          <w:rFonts w:ascii="Arial" w:hAnsi="Arial" w:cs="Arial"/>
          <w:color w:val="00000A"/>
          <w:sz w:val="24"/>
          <w:szCs w:val="24"/>
        </w:rPr>
      </w:pPr>
      <w:r>
        <w:rPr>
          <w:rFonts w:ascii="Arial" w:hAnsi="Arial" w:cs="Arial"/>
          <w:color w:val="00000A"/>
          <w:sz w:val="24"/>
          <w:szCs w:val="24"/>
        </w:rPr>
        <w:t>2.</w:t>
      </w:r>
      <w:r>
        <w:rPr>
          <w:rFonts w:ascii="Arial" w:eastAsia="MS Mincho" w:hAnsi="Arial" w:cs="Arial"/>
          <w:color w:val="00000A"/>
          <w:sz w:val="24"/>
          <w:szCs w:val="24"/>
        </w:rPr>
        <w:t>  </w:t>
      </w:r>
      <w:r>
        <w:rPr>
          <w:rFonts w:ascii="Arial" w:hAnsi="Arial" w:cs="Arial"/>
          <w:color w:val="00000A"/>
          <w:sz w:val="24"/>
          <w:szCs w:val="24"/>
        </w:rPr>
        <w:t>On arrest, the suspect will be cautioned in the following way: ‘</w:t>
      </w:r>
      <w:r>
        <w:rPr>
          <w:rFonts w:ascii="Arial" w:hAnsi="Arial" w:cs="Arial"/>
          <w:i/>
          <w:color w:val="00000A"/>
          <w:sz w:val="24"/>
          <w:szCs w:val="24"/>
        </w:rPr>
        <w:t>You do not have to say anything. But it may harm your defence if you do not mention, when questioned, something which you later rely on in court. Anything you do say may be given in evidence’</w:t>
      </w:r>
      <w:r>
        <w:rPr>
          <w:rFonts w:ascii="Arial" w:hAnsi="Arial" w:cs="Arial"/>
          <w:color w:val="00000A"/>
          <w:sz w:val="24"/>
          <w:szCs w:val="24"/>
        </w:rPr>
        <w:t>, Code C para. 10.</w:t>
      </w:r>
    </w:p>
    <w:p w14:paraId="2D26E86C" w14:textId="77777777" w:rsidR="00D17AC8" w:rsidRDefault="00D17AC8">
      <w:pPr>
        <w:pStyle w:val="APPTXTfirst"/>
        <w:spacing w:line="480" w:lineRule="auto"/>
        <w:rPr>
          <w:rFonts w:ascii="Arial" w:hAnsi="Arial" w:cs="Arial"/>
          <w:color w:val="00000A"/>
          <w:sz w:val="24"/>
          <w:szCs w:val="24"/>
        </w:rPr>
      </w:pPr>
    </w:p>
    <w:p w14:paraId="48AF3C65" w14:textId="77777777" w:rsidR="00D17AC8" w:rsidRDefault="009C1680">
      <w:pPr>
        <w:pStyle w:val="APPTXTfirst"/>
        <w:spacing w:line="480" w:lineRule="auto"/>
        <w:rPr>
          <w:rFonts w:ascii="Arial" w:hAnsi="Arial" w:cs="Arial"/>
          <w:color w:val="00000A"/>
          <w:sz w:val="24"/>
          <w:szCs w:val="24"/>
        </w:rPr>
      </w:pPr>
      <w:r>
        <w:rPr>
          <w:rFonts w:ascii="Arial" w:hAnsi="Arial" w:cs="Arial"/>
          <w:color w:val="00000A"/>
          <w:sz w:val="24"/>
          <w:szCs w:val="24"/>
        </w:rPr>
        <w:t>3.</w:t>
      </w:r>
      <w:r>
        <w:rPr>
          <w:rFonts w:ascii="Arial" w:eastAsia="MS Mincho" w:hAnsi="Arial" w:cs="Arial"/>
          <w:color w:val="00000A"/>
          <w:sz w:val="24"/>
          <w:szCs w:val="24"/>
        </w:rPr>
        <w:t>  </w:t>
      </w:r>
      <w:r>
        <w:rPr>
          <w:rFonts w:ascii="Arial" w:hAnsi="Arial" w:cs="Arial"/>
          <w:color w:val="00000A"/>
          <w:sz w:val="24"/>
          <w:szCs w:val="24"/>
        </w:rPr>
        <w:t>The powers to search a person after arrest are contained in s. 32 PACE 1984. The power to search the premises in which a person was at the time of his arrest or immediately before his arrest is also contained in s. 32 PACE 1984. The power to search premises occupied or controlled by a suspect after arrest is contained in s. 18 PACE 1984. Prerequisites apply.</w:t>
      </w:r>
    </w:p>
    <w:p w14:paraId="05ACC6C6" w14:textId="77777777" w:rsidR="00D17AC8" w:rsidRDefault="00D17AC8">
      <w:pPr>
        <w:pStyle w:val="APPTXTfirst"/>
        <w:spacing w:line="480" w:lineRule="auto"/>
        <w:rPr>
          <w:rFonts w:ascii="Arial" w:hAnsi="Arial" w:cs="Arial"/>
          <w:color w:val="00000A"/>
          <w:sz w:val="24"/>
          <w:szCs w:val="24"/>
        </w:rPr>
      </w:pPr>
    </w:p>
    <w:p w14:paraId="50524E14" w14:textId="77777777" w:rsidR="00D17AC8" w:rsidRDefault="009C1680">
      <w:pPr>
        <w:pStyle w:val="APPTXTfirst"/>
        <w:spacing w:line="480" w:lineRule="auto"/>
        <w:rPr>
          <w:rFonts w:ascii="Arial" w:hAnsi="Arial" w:cs="Arial"/>
          <w:color w:val="00000A"/>
          <w:sz w:val="24"/>
          <w:szCs w:val="24"/>
        </w:rPr>
      </w:pPr>
      <w:r>
        <w:rPr>
          <w:rFonts w:ascii="Arial" w:hAnsi="Arial" w:cs="Arial"/>
          <w:color w:val="00000A"/>
          <w:sz w:val="24"/>
          <w:szCs w:val="24"/>
        </w:rPr>
        <w:t>4.</w:t>
      </w:r>
      <w:r>
        <w:rPr>
          <w:rFonts w:ascii="Arial" w:eastAsia="MS Mincho" w:hAnsi="Arial" w:cs="Arial"/>
          <w:color w:val="00000A"/>
          <w:sz w:val="24"/>
          <w:szCs w:val="24"/>
        </w:rPr>
        <w:t>  </w:t>
      </w:r>
      <w:r>
        <w:rPr>
          <w:rFonts w:ascii="Arial" w:hAnsi="Arial" w:cs="Arial"/>
          <w:color w:val="00000A"/>
          <w:sz w:val="24"/>
          <w:szCs w:val="24"/>
        </w:rPr>
        <w:t>The police will apply to a magistrate to search premises under s. 8 PACE 1984 where it is not possible to contact the person who could allow the police to enter premises to search for evidence in connection with an indictable offence.</w:t>
      </w:r>
    </w:p>
    <w:p w14:paraId="008A3F4B" w14:textId="77777777" w:rsidR="00D17AC8" w:rsidRDefault="00D17AC8">
      <w:pPr>
        <w:pStyle w:val="APPTXTfirst"/>
        <w:spacing w:line="480" w:lineRule="auto"/>
        <w:rPr>
          <w:rFonts w:ascii="Arial" w:hAnsi="Arial" w:cs="Arial"/>
          <w:color w:val="00000A"/>
          <w:sz w:val="24"/>
          <w:szCs w:val="24"/>
        </w:rPr>
      </w:pPr>
    </w:p>
    <w:p w14:paraId="52AAD48C" w14:textId="77777777" w:rsidR="00D17AC8" w:rsidRDefault="009C1680">
      <w:pPr>
        <w:pStyle w:val="APPTXTfirst"/>
        <w:spacing w:line="480" w:lineRule="auto"/>
        <w:rPr>
          <w:rFonts w:ascii="Arial" w:hAnsi="Arial" w:cs="Arial"/>
          <w:color w:val="00000A"/>
          <w:sz w:val="24"/>
          <w:szCs w:val="24"/>
        </w:rPr>
      </w:pPr>
      <w:r>
        <w:rPr>
          <w:rFonts w:ascii="Arial" w:hAnsi="Arial" w:cs="Arial"/>
          <w:color w:val="00000A"/>
          <w:sz w:val="24"/>
          <w:szCs w:val="24"/>
        </w:rPr>
        <w:t>5.</w:t>
      </w:r>
      <w:r>
        <w:rPr>
          <w:rFonts w:ascii="Arial" w:eastAsia="MS Mincho" w:hAnsi="Arial" w:cs="Arial"/>
          <w:color w:val="00000A"/>
          <w:sz w:val="24"/>
          <w:szCs w:val="24"/>
        </w:rPr>
        <w:t>  </w:t>
      </w:r>
      <w:r>
        <w:rPr>
          <w:rFonts w:ascii="Arial" w:hAnsi="Arial" w:cs="Arial"/>
          <w:color w:val="00000A"/>
          <w:sz w:val="24"/>
          <w:szCs w:val="24"/>
        </w:rPr>
        <w:t xml:space="preserve">On the facts, the police could stop and search Antonio under s. 1 PACE 1984 provided the officer has reasonable grounds for suspecting Antonio may have on his person a prohibited article. Given the intelligence provided by CCTV operators, reasonable suspicion could easily be established in this case. Based on the </w:t>
      </w:r>
      <w:r>
        <w:rPr>
          <w:rFonts w:ascii="Arial" w:hAnsi="Arial" w:cs="Arial"/>
          <w:color w:val="00000A"/>
          <w:sz w:val="24"/>
          <w:szCs w:val="24"/>
        </w:rPr>
        <w:lastRenderedPageBreak/>
        <w:t>information provided and Antonio’s reaction when approached, the police would have reasonable grounds for suspecting Antonio to have been involved in an offence and that it is necessary to arrest him (s. 24 PACE 1984). Having arrested him and cautioned him, the police officer would be entitled to search Antonio under s. 32 PACE 1984 if he had reasonable grounds for believing Antonio may have evidence on him relating to an offence. The officer may choose to take Antonio into custody or possibly release him on ‘street bail’.</w:t>
      </w:r>
    </w:p>
    <w:p w14:paraId="7EA8D074" w14:textId="77777777" w:rsidR="00D17AC8" w:rsidRDefault="00D17AC8">
      <w:pPr>
        <w:pStyle w:val="APPTXTfirst"/>
        <w:spacing w:line="480" w:lineRule="auto"/>
        <w:rPr>
          <w:rFonts w:ascii="Arial" w:hAnsi="Arial" w:cs="Arial"/>
          <w:color w:val="00000A"/>
          <w:sz w:val="24"/>
          <w:szCs w:val="24"/>
        </w:rPr>
      </w:pPr>
    </w:p>
    <w:p w14:paraId="2D51F664" w14:textId="77777777" w:rsidR="00D17AC8" w:rsidRDefault="009C1680">
      <w:pPr>
        <w:pStyle w:val="APPTXTfirst"/>
        <w:spacing w:line="480" w:lineRule="auto"/>
        <w:rPr>
          <w:rFonts w:ascii="Arial" w:hAnsi="Arial" w:cs="Arial"/>
          <w:color w:val="00000A"/>
          <w:sz w:val="24"/>
          <w:szCs w:val="24"/>
        </w:rPr>
      </w:pPr>
      <w:r>
        <w:rPr>
          <w:rFonts w:ascii="Arial" w:hAnsi="Arial" w:cs="Arial"/>
          <w:color w:val="00000A"/>
          <w:sz w:val="24"/>
          <w:szCs w:val="24"/>
        </w:rPr>
        <w:t>6.</w:t>
      </w:r>
      <w:r>
        <w:rPr>
          <w:rFonts w:ascii="Arial" w:eastAsia="MS Mincho" w:hAnsi="Arial" w:cs="Arial"/>
          <w:color w:val="00000A"/>
          <w:sz w:val="24"/>
          <w:szCs w:val="24"/>
        </w:rPr>
        <w:t>  </w:t>
      </w:r>
      <w:r>
        <w:rPr>
          <w:rFonts w:ascii="Arial" w:hAnsi="Arial" w:cs="Arial"/>
          <w:color w:val="00000A"/>
          <w:sz w:val="24"/>
          <w:szCs w:val="24"/>
        </w:rPr>
        <w:t>A suggested solution can be found in the answers to the self-test questions supporting Chapter 6.</w:t>
      </w:r>
    </w:p>
    <w:p w14:paraId="3C6624BC" w14:textId="77777777" w:rsidR="00D17AC8" w:rsidRDefault="00D17AC8"/>
    <w:sectPr w:rsidR="00D17AC8">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9FE15" w14:textId="77777777" w:rsidR="000E36CE" w:rsidRDefault="000E36CE">
      <w:pPr>
        <w:spacing w:after="0" w:line="240" w:lineRule="auto"/>
      </w:pPr>
      <w:r>
        <w:separator/>
      </w:r>
    </w:p>
  </w:endnote>
  <w:endnote w:type="continuationSeparator" w:id="0">
    <w:p w14:paraId="6A4E93D9" w14:textId="77777777" w:rsidR="000E36CE" w:rsidRDefault="000E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BoldItalic">
    <w:altName w:val="Times New Roman"/>
    <w:charset w:val="01"/>
    <w:family w:val="roman"/>
    <w:pitch w:val="variable"/>
  </w:font>
  <w:font w:name="Liberation Sans">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w:altName w:val="Times New Roman"/>
    <w:charset w:val="00"/>
    <w:family w:val="swiss"/>
    <w:pitch w:val="variable"/>
    <w:sig w:usb0="00000003" w:usb1="00000000" w:usb2="00000000" w:usb3="00000000" w:csb0="00000001" w:csb1="00000000"/>
  </w:font>
  <w:font w:name="Frutiger-BlackCn">
    <w:altName w:val="Calibri"/>
    <w:panose1 w:val="00000000000000000000"/>
    <w:charset w:val="4D"/>
    <w:family w:val="auto"/>
    <w:notTrueType/>
    <w:pitch w:val="default"/>
    <w:sig w:usb0="00000003" w:usb1="00000000" w:usb2="00000000" w:usb3="00000000" w:csb0="00000001" w:csb1="00000000"/>
  </w:font>
  <w:font w:name="StoneSerif">
    <w:altName w:val="Cambria"/>
    <w:charset w:val="01"/>
    <w:family w:val="roman"/>
    <w:pitch w:val="variable"/>
  </w:font>
  <w:font w:name="Frutiger-BoldCn">
    <w:altName w:val="Cambria"/>
    <w:charset w:val="01"/>
    <w:family w:val="roman"/>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UP Swift">
    <w:altName w:val="Calibri"/>
    <w:panose1 w:val="0200050308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1F745" w14:textId="77777777" w:rsidR="00FD438B" w:rsidRDefault="00FD43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A2D84" w14:textId="77777777" w:rsidR="00D17AC8" w:rsidRDefault="009C1680">
    <w:pPr>
      <w:pStyle w:val="Footer"/>
      <w:pBdr>
        <w:top w:val="single" w:sz="4" w:space="1" w:color="808080"/>
      </w:pBdr>
      <w:jc w:val="right"/>
      <w:rPr>
        <w:rFonts w:ascii="OUP Swift" w:hAnsi="OUP Swift"/>
        <w:color w:val="808080"/>
      </w:rPr>
    </w:pPr>
    <w:r>
      <w:rPr>
        <w:noProof/>
        <w:lang w:eastAsia="en-GB"/>
      </w:rPr>
      <w:drawing>
        <wp:inline distT="0" distB="0" distL="0" distR="0" wp14:anchorId="74603568" wp14:editId="29EDD915">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219200" cy="457200"/>
                  </a:xfrm>
                  <a:prstGeom prst="rect">
                    <a:avLst/>
                  </a:prstGeom>
                  <a:noFill/>
                  <a:ln w="9525">
                    <a:noFill/>
                    <a:miter lim="800000"/>
                    <a:headEnd/>
                    <a:tailEnd/>
                  </a:ln>
                </pic:spPr>
              </pic:pic>
            </a:graphicData>
          </a:graphic>
        </wp:inline>
      </w:drawing>
    </w:r>
  </w:p>
  <w:p w14:paraId="4AA124E7" w14:textId="4E6F3F6B" w:rsidR="00D17AC8" w:rsidRDefault="00A74EC9">
    <w:pPr>
      <w:pStyle w:val="Footer"/>
      <w:rPr>
        <w:rFonts w:ascii="Arial" w:hAnsi="Arial"/>
        <w:color w:val="808080"/>
      </w:rPr>
    </w:pPr>
    <w:r>
      <w:rPr>
        <w:rFonts w:ascii="Arial" w:hAnsi="Arial"/>
        <w:color w:val="808080"/>
      </w:rPr>
      <w:t>© Oxford University Press, 20</w:t>
    </w:r>
    <w:r w:rsidR="00743F35">
      <w:rPr>
        <w:rFonts w:ascii="Arial" w:hAnsi="Arial"/>
        <w:color w:val="808080"/>
      </w:rPr>
      <w:t>2</w:t>
    </w:r>
    <w:r w:rsidR="00FD438B">
      <w:rPr>
        <w:rFonts w:ascii="Arial" w:hAnsi="Arial"/>
        <w:color w:val="808080"/>
      </w:rPr>
      <w:t>2</w:t>
    </w:r>
    <w:r w:rsidR="009C1680">
      <w:rPr>
        <w:rFonts w:ascii="Arial" w:hAnsi="Arial"/>
        <w:color w:val="808080"/>
      </w:rPr>
      <w:t>.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BD6F6" w14:textId="77777777" w:rsidR="00FD438B" w:rsidRDefault="00FD4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C01EF" w14:textId="77777777" w:rsidR="000E36CE" w:rsidRDefault="000E36CE">
      <w:pPr>
        <w:spacing w:after="0" w:line="240" w:lineRule="auto"/>
      </w:pPr>
      <w:r>
        <w:separator/>
      </w:r>
    </w:p>
  </w:footnote>
  <w:footnote w:type="continuationSeparator" w:id="0">
    <w:p w14:paraId="38F64EAC" w14:textId="77777777" w:rsidR="000E36CE" w:rsidRDefault="000E3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88AC8" w14:textId="77777777" w:rsidR="00FD438B" w:rsidRDefault="00FD43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3157F" w14:textId="2B536171" w:rsidR="00D17AC8" w:rsidRDefault="009C1680">
    <w:pPr>
      <w:pStyle w:val="Header"/>
      <w:pBdr>
        <w:bottom w:val="single" w:sz="4" w:space="1" w:color="808080"/>
      </w:pBdr>
      <w:jc w:val="center"/>
    </w:pPr>
    <w:r>
      <w:rPr>
        <w:rFonts w:ascii="Arial" w:hAnsi="Arial"/>
        <w:color w:val="808080"/>
        <w:sz w:val="24"/>
      </w:rPr>
      <w:t xml:space="preserve">Hannibal &amp; Mountford: </w:t>
    </w:r>
    <w:r>
      <w:rPr>
        <w:rFonts w:ascii="Arial" w:hAnsi="Arial"/>
        <w:i/>
        <w:color w:val="808080"/>
        <w:sz w:val="24"/>
      </w:rPr>
      <w:t>Criminal Litigation</w:t>
    </w:r>
    <w:r>
      <w:rPr>
        <w:rFonts w:ascii="Arial" w:hAnsi="Arial"/>
        <w:color w:val="808080"/>
        <w:sz w:val="24"/>
      </w:rPr>
      <w:t xml:space="preserve"> </w:t>
    </w:r>
    <w:r w:rsidR="00FD438B" w:rsidRPr="00FD438B">
      <w:rPr>
        <w:rFonts w:ascii="Arial" w:hAnsi="Arial"/>
        <w:iCs/>
        <w:color w:val="808080"/>
        <w:sz w:val="24"/>
      </w:rPr>
      <w:t>18e</w:t>
    </w:r>
  </w:p>
  <w:p w14:paraId="42DC9C4D" w14:textId="77777777" w:rsidR="00D17AC8" w:rsidRDefault="009C1680">
    <w:pPr>
      <w:pStyle w:val="Header"/>
      <w:pBdr>
        <w:bottom w:val="single" w:sz="4" w:space="1" w:color="808080"/>
      </w:pBdr>
      <w:jc w:val="center"/>
      <w:rPr>
        <w:rFonts w:ascii="Arial" w:hAnsi="Arial"/>
        <w:color w:val="808080"/>
        <w:sz w:val="24"/>
      </w:rPr>
    </w:pPr>
    <w:r>
      <w:rPr>
        <w:rFonts w:ascii="Arial" w:hAnsi="Arial"/>
        <w:color w:val="808080"/>
        <w:sz w:val="24"/>
      </w:rPr>
      <w:t>Answers to self-test questions – Chapter 3</w:t>
    </w:r>
  </w:p>
  <w:p w14:paraId="246516C8" w14:textId="77777777" w:rsidR="00D17AC8" w:rsidRDefault="00D17AC8">
    <w:pPr>
      <w:pStyle w:val="Header"/>
      <w:pBdr>
        <w:bottom w:val="single" w:sz="4" w:space="1" w:color="808080"/>
      </w:pBdr>
      <w:jc w:val="center"/>
      <w:rPr>
        <w:rFonts w:ascii="Arial" w:hAnsi="Arial"/>
        <w:color w:val="808080"/>
        <w:sz w:val="24"/>
      </w:rPr>
    </w:pPr>
  </w:p>
  <w:p w14:paraId="5527C435" w14:textId="77777777" w:rsidR="00D17AC8" w:rsidRDefault="00D1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E92A0" w14:textId="77777777" w:rsidR="00FD438B" w:rsidRDefault="00FD43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7AC8"/>
    <w:rsid w:val="0009192A"/>
    <w:rsid w:val="000E36CE"/>
    <w:rsid w:val="00743F35"/>
    <w:rsid w:val="009C1680"/>
    <w:rsid w:val="00A168CF"/>
    <w:rsid w:val="00A74EC9"/>
    <w:rsid w:val="00D17AC8"/>
    <w:rsid w:val="00FD438B"/>
    <w:rsid w:val="00FF7B4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04D98B"/>
  <w15:docId w15:val="{C9A65693-AA3E-4839-BDFE-3D3AEE67B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AD8"/>
    <w:pPr>
      <w:suppressAutoHyphens/>
      <w:spacing w:after="200"/>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61FA9"/>
  </w:style>
  <w:style w:type="character" w:customStyle="1" w:styleId="FooterChar">
    <w:name w:val="Footer Char"/>
    <w:basedOn w:val="DefaultParagraphFont"/>
    <w:link w:val="Footer"/>
    <w:uiPriority w:val="99"/>
    <w:qFormat/>
    <w:rsid w:val="00861FA9"/>
  </w:style>
  <w:style w:type="character" w:customStyle="1" w:styleId="BalloonTextChar">
    <w:name w:val="Balloon Text Char"/>
    <w:basedOn w:val="DefaultParagraphFont"/>
    <w:link w:val="BalloonText"/>
    <w:uiPriority w:val="99"/>
    <w:semiHidden/>
    <w:qFormat/>
    <w:rsid w:val="00861FA9"/>
    <w:rPr>
      <w:rFonts w:ascii="Tahoma" w:hAnsi="Tahoma" w:cs="Tahoma"/>
      <w:sz w:val="16"/>
      <w:szCs w:val="16"/>
    </w:rPr>
  </w:style>
  <w:style w:type="character" w:customStyle="1" w:styleId="frutigerboldital">
    <w:name w:val="frutiger.boldital"/>
    <w:qFormat/>
    <w:rsid w:val="00403E89"/>
    <w:rPr>
      <w:rFonts w:ascii="Frutiger-BoldItalic" w:hAnsi="Frutiger-BoldItalic" w:cs="Frutiger-BoldItalic"/>
      <w:b/>
      <w:bCs/>
      <w:i/>
      <w:iCs/>
    </w:rPr>
  </w:style>
  <w:style w:type="character" w:customStyle="1" w:styleId="italic">
    <w:name w:val="italic"/>
    <w:qFormat/>
    <w:rsid w:val="00712106"/>
    <w:rPr>
      <w:i/>
      <w:iCs/>
    </w:rPr>
  </w:style>
  <w:style w:type="paragraph" w:customStyle="1" w:styleId="Heading">
    <w:name w:val="Heading"/>
    <w:basedOn w:val="Normal"/>
    <w:next w:val="TextBody"/>
    <w:qFormat/>
    <w:pPr>
      <w:keepNext/>
      <w:spacing w:before="240" w:after="120"/>
    </w:pPr>
    <w:rPr>
      <w:rFonts w:ascii="Liberation Sans" w:eastAsia="SimSun"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nhideWhenUsed/>
    <w:rsid w:val="00861FA9"/>
    <w:pPr>
      <w:tabs>
        <w:tab w:val="center" w:pos="4513"/>
        <w:tab w:val="right" w:pos="9026"/>
      </w:tabs>
      <w:spacing w:after="0" w:line="240" w:lineRule="auto"/>
    </w:pPr>
  </w:style>
  <w:style w:type="paragraph" w:styleId="Footer">
    <w:name w:val="footer"/>
    <w:basedOn w:val="Normal"/>
    <w:link w:val="FooterChar"/>
    <w:uiPriority w:val="99"/>
    <w:unhideWhenUsed/>
    <w:rsid w:val="00861FA9"/>
    <w:pPr>
      <w:tabs>
        <w:tab w:val="center" w:pos="4513"/>
        <w:tab w:val="right" w:pos="9026"/>
      </w:tabs>
      <w:spacing w:after="0" w:line="240" w:lineRule="auto"/>
    </w:pPr>
  </w:style>
  <w:style w:type="paragraph" w:customStyle="1" w:styleId="APPA">
    <w:name w:val="APP_A"/>
    <w:basedOn w:val="Normal"/>
    <w:qFormat/>
    <w:rsid w:val="00861FA9"/>
    <w:pPr>
      <w:widowControl w:val="0"/>
      <w:spacing w:before="170" w:after="40" w:line="230" w:lineRule="atLeast"/>
      <w:textAlignment w:val="center"/>
    </w:pPr>
    <w:rPr>
      <w:rFonts w:ascii="Frutiger-BlackCn" w:eastAsia="Times New Roman" w:hAnsi="Frutiger-BlackCn" w:cs="Frutiger-BlackCn"/>
      <w:color w:val="000000"/>
      <w:spacing w:val="17"/>
      <w:sz w:val="18"/>
      <w:szCs w:val="18"/>
    </w:rPr>
  </w:style>
  <w:style w:type="paragraph" w:customStyle="1" w:styleId="APPL">
    <w:name w:val="APP_L"/>
    <w:basedOn w:val="Normal"/>
    <w:qFormat/>
    <w:rsid w:val="00861FA9"/>
    <w:pPr>
      <w:widowControl w:val="0"/>
      <w:tabs>
        <w:tab w:val="left" w:pos="168"/>
        <w:tab w:val="left" w:pos="360"/>
        <w:tab w:val="left" w:pos="460"/>
      </w:tabs>
      <w:spacing w:after="70" w:line="230" w:lineRule="atLeast"/>
      <w:jc w:val="both"/>
      <w:textAlignment w:val="center"/>
    </w:pPr>
    <w:rPr>
      <w:rFonts w:ascii="StoneSerif" w:eastAsia="Times New Roman" w:hAnsi="StoneSerif" w:cs="StoneSerif"/>
      <w:color w:val="000000"/>
      <w:sz w:val="16"/>
      <w:szCs w:val="16"/>
    </w:rPr>
  </w:style>
  <w:style w:type="paragraph" w:styleId="BalloonText">
    <w:name w:val="Balloon Text"/>
    <w:basedOn w:val="Normal"/>
    <w:link w:val="BalloonTextChar"/>
    <w:uiPriority w:val="99"/>
    <w:semiHidden/>
    <w:unhideWhenUsed/>
    <w:qFormat/>
    <w:rsid w:val="00861FA9"/>
    <w:pPr>
      <w:spacing w:after="0" w:line="240" w:lineRule="auto"/>
    </w:pPr>
    <w:rPr>
      <w:rFonts w:ascii="Tahoma" w:hAnsi="Tahoma" w:cs="Tahoma"/>
      <w:sz w:val="16"/>
      <w:szCs w:val="16"/>
    </w:rPr>
  </w:style>
  <w:style w:type="paragraph" w:customStyle="1" w:styleId="APPB">
    <w:name w:val="APP_B"/>
    <w:basedOn w:val="Normal"/>
    <w:qFormat/>
    <w:rsid w:val="00403E89"/>
    <w:pPr>
      <w:widowControl w:val="0"/>
      <w:spacing w:before="232" w:after="40" w:line="230" w:lineRule="atLeast"/>
      <w:textAlignment w:val="center"/>
    </w:pPr>
    <w:rPr>
      <w:rFonts w:ascii="Frutiger-BoldCn" w:eastAsia="Times New Roman" w:hAnsi="Frutiger-BoldCn" w:cs="Frutiger-BoldCn"/>
      <w:b/>
      <w:bCs/>
      <w:color w:val="000000"/>
      <w:spacing w:val="15"/>
      <w:sz w:val="16"/>
      <w:szCs w:val="16"/>
    </w:rPr>
  </w:style>
  <w:style w:type="paragraph" w:customStyle="1" w:styleId="APPTXTfirst">
    <w:name w:val="APP_TXT.first"/>
    <w:basedOn w:val="Normal"/>
    <w:qFormat/>
    <w:rsid w:val="00403E89"/>
    <w:pPr>
      <w:widowControl w:val="0"/>
      <w:spacing w:after="0" w:line="230" w:lineRule="atLeast"/>
      <w:jc w:val="both"/>
      <w:textAlignment w:val="center"/>
    </w:pPr>
    <w:rPr>
      <w:rFonts w:ascii="StoneSerif" w:eastAsia="Times New Roman" w:hAnsi="StoneSerif" w:cs="StoneSerif"/>
      <w:color w:val="000000"/>
      <w:sz w:val="16"/>
      <w:szCs w:val="16"/>
    </w:rPr>
  </w:style>
  <w:style w:type="paragraph" w:customStyle="1" w:styleId="APPTXT">
    <w:name w:val="APP_TXT"/>
    <w:basedOn w:val="Normal"/>
    <w:qFormat/>
    <w:rsid w:val="00403E89"/>
    <w:pPr>
      <w:widowControl w:val="0"/>
      <w:spacing w:after="0" w:line="230" w:lineRule="atLeast"/>
      <w:ind w:firstLine="160"/>
      <w:jc w:val="both"/>
      <w:textAlignment w:val="center"/>
    </w:pPr>
    <w:rPr>
      <w:rFonts w:ascii="StoneSerif" w:eastAsia="Times New Roman" w:hAnsi="StoneSerif" w:cs="StoneSerif"/>
      <w:color w:val="000000"/>
      <w:sz w:val="16"/>
      <w:szCs w:val="16"/>
    </w:rPr>
  </w:style>
  <w:style w:type="paragraph" w:styleId="Revision">
    <w:name w:val="Revision"/>
    <w:hidden/>
    <w:uiPriority w:val="99"/>
    <w:semiHidden/>
    <w:rsid w:val="00A168CF"/>
    <w:pPr>
      <w:spacing w:line="240" w:lineRule="auto"/>
    </w:pPr>
    <w:rPr>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Helen</dc:creator>
  <cp:lastModifiedBy>MERRICK, Hayden</cp:lastModifiedBy>
  <cp:revision>5</cp:revision>
  <cp:lastPrinted>2015-08-17T14:51:00Z</cp:lastPrinted>
  <dcterms:created xsi:type="dcterms:W3CDTF">2019-07-22T11:52:00Z</dcterms:created>
  <dcterms:modified xsi:type="dcterms:W3CDTF">2022-06-13T09:51:00Z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Oxford University Press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AdHocReviewCycleID">
    <vt:i4>-936394514</vt:i4>
  </property>
  <property fmtid="{D5CDD505-2E9C-101B-9397-08002B2CF9AE}" pid="10" name="_NewReviewCycle">
    <vt:lpwstr/>
  </property>
  <property fmtid="{D5CDD505-2E9C-101B-9397-08002B2CF9AE}" pid="11" name="_EmailSubject">
    <vt:lpwstr>Hannibal and Mountford ORC</vt:lpwstr>
  </property>
  <property fmtid="{D5CDD505-2E9C-101B-9397-08002B2CF9AE}" pid="12" name="_AuthorEmail">
    <vt:lpwstr>Liana.Green@oup.com</vt:lpwstr>
  </property>
  <property fmtid="{D5CDD505-2E9C-101B-9397-08002B2CF9AE}" pid="13" name="_AuthorEmailDisplayName">
    <vt:lpwstr>GREEN, Liana</vt:lpwstr>
  </property>
  <property fmtid="{D5CDD505-2E9C-101B-9397-08002B2CF9AE}" pid="14" name="_ReviewingToolsShownOnce">
    <vt:lpwstr/>
  </property>
  <property fmtid="{D5CDD505-2E9C-101B-9397-08002B2CF9AE}" pid="15" name="MSIP_Label_be5cb09a-2992-49d6-8ac9-5f63e7b1ad2f_Enabled">
    <vt:lpwstr>true</vt:lpwstr>
  </property>
  <property fmtid="{D5CDD505-2E9C-101B-9397-08002B2CF9AE}" pid="16" name="MSIP_Label_be5cb09a-2992-49d6-8ac9-5f63e7b1ad2f_SetDate">
    <vt:lpwstr>2022-06-13T09:51:37Z</vt:lpwstr>
  </property>
  <property fmtid="{D5CDD505-2E9C-101B-9397-08002B2CF9AE}" pid="17" name="MSIP_Label_be5cb09a-2992-49d6-8ac9-5f63e7b1ad2f_Method">
    <vt:lpwstr>Standard</vt:lpwstr>
  </property>
  <property fmtid="{D5CDD505-2E9C-101B-9397-08002B2CF9AE}" pid="18" name="MSIP_Label_be5cb09a-2992-49d6-8ac9-5f63e7b1ad2f_Name">
    <vt:lpwstr>Controlled</vt:lpwstr>
  </property>
  <property fmtid="{D5CDD505-2E9C-101B-9397-08002B2CF9AE}" pid="19" name="MSIP_Label_be5cb09a-2992-49d6-8ac9-5f63e7b1ad2f_SiteId">
    <vt:lpwstr>91761b62-4c45-43f5-9f0e-be8ad9b551ff</vt:lpwstr>
  </property>
  <property fmtid="{D5CDD505-2E9C-101B-9397-08002B2CF9AE}" pid="20" name="MSIP_Label_be5cb09a-2992-49d6-8ac9-5f63e7b1ad2f_ActionId">
    <vt:lpwstr>9dd28cb5-c397-45cb-a681-0000aea4ae46</vt:lpwstr>
  </property>
  <property fmtid="{D5CDD505-2E9C-101B-9397-08002B2CF9AE}" pid="21" name="MSIP_Label_be5cb09a-2992-49d6-8ac9-5f63e7b1ad2f_ContentBits">
    <vt:lpwstr>0</vt:lpwstr>
  </property>
</Properties>
</file>