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6F80" w14:textId="77777777" w:rsidR="00A93D47" w:rsidRDefault="00A93D47" w:rsidP="00A93D47">
      <w:pPr>
        <w:rPr>
          <w:rFonts w:ascii="Arial" w:hAnsi="Arial"/>
        </w:rPr>
      </w:pPr>
    </w:p>
    <w:p w14:paraId="00F665FC" w14:textId="77777777" w:rsidR="00A93D47" w:rsidRPr="00A93D47" w:rsidRDefault="00A93D47" w:rsidP="00A93D47">
      <w:pPr>
        <w:rPr>
          <w:rFonts w:ascii="Arial" w:hAnsi="Arial"/>
          <w:b/>
        </w:rPr>
      </w:pPr>
      <w:r w:rsidRPr="00A93D47">
        <w:rPr>
          <w:rFonts w:ascii="Arial" w:hAnsi="Arial"/>
          <w:b/>
        </w:rPr>
        <w:t>Suggested answers to self-test questions</w:t>
      </w:r>
    </w:p>
    <w:p w14:paraId="07B317FE" w14:textId="77777777" w:rsidR="00A93D47" w:rsidRDefault="00A93D47" w:rsidP="00A93D47">
      <w:pPr>
        <w:rPr>
          <w:rFonts w:ascii="Arial" w:hAnsi="Arial"/>
        </w:rPr>
      </w:pPr>
    </w:p>
    <w:p w14:paraId="7CAC1B86" w14:textId="77777777" w:rsidR="00A93D47" w:rsidRDefault="00A93D47" w:rsidP="00A93D47"/>
    <w:p w14:paraId="71A8EE7B" w14:textId="77777777" w:rsidR="00A93D47" w:rsidRDefault="00A93D47" w:rsidP="001E51CD">
      <w:pPr>
        <w:spacing w:line="480" w:lineRule="auto"/>
        <w:rPr>
          <w:rFonts w:ascii="Arial" w:hAnsi="Arial"/>
        </w:rPr>
      </w:pPr>
      <w:r w:rsidRPr="00A93D47">
        <w:rPr>
          <w:rFonts w:ascii="Arial" w:hAnsi="Arial"/>
          <w:b/>
        </w:rPr>
        <w:t>Question 1</w:t>
      </w:r>
      <w:r>
        <w:rPr>
          <w:rFonts w:ascii="Arial" w:hAnsi="Arial"/>
        </w:rPr>
        <w:t>: What are the elements of an action and in what way might a defendant seek to respond to them?</w:t>
      </w:r>
      <w:r>
        <w:rPr>
          <w:rFonts w:ascii="Arial" w:hAnsi="Arial"/>
        </w:rPr>
        <w:tab/>
      </w:r>
    </w:p>
    <w:p w14:paraId="78D1E495" w14:textId="77777777" w:rsidR="00A93D47" w:rsidRDefault="00A93D47" w:rsidP="001E51CD">
      <w:pPr>
        <w:spacing w:line="480" w:lineRule="auto"/>
        <w:rPr>
          <w:rFonts w:ascii="Arial" w:hAnsi="Arial"/>
        </w:rPr>
      </w:pPr>
      <w:r>
        <w:rPr>
          <w:rFonts w:ascii="Arial" w:hAnsi="Arial"/>
        </w:rPr>
        <w:t>Liability</w:t>
      </w:r>
    </w:p>
    <w:p w14:paraId="273B2ABB" w14:textId="77777777" w:rsidR="00A93D47" w:rsidRDefault="00A93D47" w:rsidP="001E51CD">
      <w:pPr>
        <w:numPr>
          <w:ilvl w:val="0"/>
          <w:numId w:val="2"/>
        </w:numPr>
        <w:spacing w:line="480" w:lineRule="auto"/>
        <w:rPr>
          <w:rFonts w:ascii="Arial" w:hAnsi="Arial"/>
        </w:rPr>
      </w:pPr>
      <w:r>
        <w:rPr>
          <w:rFonts w:ascii="Arial" w:hAnsi="Arial"/>
        </w:rPr>
        <w:t>The defendant may entirely refute the liability allegations made against him. In order to do this</w:t>
      </w:r>
      <w:r w:rsidR="00B91F48">
        <w:rPr>
          <w:rFonts w:ascii="Arial" w:hAnsi="Arial"/>
        </w:rPr>
        <w:t>,</w:t>
      </w:r>
      <w:r>
        <w:rPr>
          <w:rFonts w:ascii="Arial" w:hAnsi="Arial"/>
        </w:rPr>
        <w:t xml:space="preserve"> he will need to able to proffer an alternate version of the story the claimant has put forward. He will need to be able to give a version that satisfies the court that the claimant’s case is not made. He may seek to achieve this by challenging the evidence of the claimant or by adducing evidence of his own that supports his version of how the ‘event’ (the allegations of the claimant) happened.</w:t>
      </w:r>
    </w:p>
    <w:p w14:paraId="23E3127D" w14:textId="77777777" w:rsidR="00A93D47" w:rsidRDefault="00A93D47" w:rsidP="001E51CD">
      <w:pPr>
        <w:spacing w:line="480" w:lineRule="auto"/>
        <w:rPr>
          <w:rFonts w:ascii="Arial" w:hAnsi="Arial"/>
        </w:rPr>
      </w:pPr>
    </w:p>
    <w:p w14:paraId="594914FC" w14:textId="77777777" w:rsidR="00A93D47" w:rsidRDefault="00A93D47" w:rsidP="001E51CD">
      <w:pPr>
        <w:spacing w:line="480" w:lineRule="auto"/>
        <w:rPr>
          <w:rFonts w:ascii="Arial" w:hAnsi="Arial"/>
        </w:rPr>
      </w:pPr>
      <w:r>
        <w:rPr>
          <w:rFonts w:ascii="Arial" w:hAnsi="Arial"/>
        </w:rPr>
        <w:t>Causation</w:t>
      </w:r>
    </w:p>
    <w:p w14:paraId="63B6DDA3" w14:textId="77777777" w:rsidR="00A93D47" w:rsidRDefault="00A93D47" w:rsidP="001E51CD">
      <w:pPr>
        <w:numPr>
          <w:ilvl w:val="0"/>
          <w:numId w:val="2"/>
        </w:numPr>
        <w:spacing w:line="480" w:lineRule="auto"/>
        <w:rPr>
          <w:rFonts w:ascii="Arial" w:hAnsi="Arial"/>
        </w:rPr>
      </w:pPr>
      <w:r>
        <w:rPr>
          <w:rFonts w:ascii="Arial" w:hAnsi="Arial"/>
        </w:rPr>
        <w:t>The defendant may accept some involvement in the events set out by the claimant but deny that his actions either caused the breach or accident or that the breach or event caused the damages and losses that the claimant alleges. To do this he will need either</w:t>
      </w:r>
      <w:r w:rsidR="00954313">
        <w:rPr>
          <w:rFonts w:ascii="Arial" w:hAnsi="Arial"/>
        </w:rPr>
        <w:t xml:space="preserve"> to</w:t>
      </w:r>
      <w:r>
        <w:rPr>
          <w:rFonts w:ascii="Arial" w:hAnsi="Arial"/>
        </w:rPr>
        <w:t xml:space="preserve"> refute and challenge the claimant’s case on causation or adduce evidence of his own that substantiates his denial.</w:t>
      </w:r>
    </w:p>
    <w:p w14:paraId="7961AB1A" w14:textId="77777777" w:rsidR="00B91F48" w:rsidRPr="00B91F48" w:rsidRDefault="00B91F48" w:rsidP="00B91F48">
      <w:pPr>
        <w:spacing w:line="480" w:lineRule="auto"/>
        <w:ind w:left="720"/>
        <w:rPr>
          <w:rFonts w:ascii="Arial" w:hAnsi="Arial"/>
        </w:rPr>
      </w:pPr>
    </w:p>
    <w:p w14:paraId="32EDEC13" w14:textId="77777777" w:rsidR="00A93D47" w:rsidRDefault="00A93D47" w:rsidP="001E51CD">
      <w:pPr>
        <w:spacing w:line="480" w:lineRule="auto"/>
        <w:rPr>
          <w:rFonts w:ascii="Arial" w:hAnsi="Arial"/>
        </w:rPr>
      </w:pPr>
      <w:r>
        <w:rPr>
          <w:rFonts w:ascii="Arial" w:hAnsi="Arial"/>
        </w:rPr>
        <w:t xml:space="preserve">Quantum </w:t>
      </w:r>
    </w:p>
    <w:p w14:paraId="6C865078" w14:textId="77777777" w:rsidR="00A93D47" w:rsidRDefault="00A93D47" w:rsidP="001E51CD">
      <w:pPr>
        <w:numPr>
          <w:ilvl w:val="0"/>
          <w:numId w:val="2"/>
        </w:numPr>
        <w:spacing w:line="480" w:lineRule="auto"/>
        <w:rPr>
          <w:rFonts w:ascii="Arial" w:hAnsi="Arial"/>
        </w:rPr>
      </w:pPr>
      <w:r>
        <w:rPr>
          <w:rFonts w:ascii="Arial" w:hAnsi="Arial"/>
        </w:rPr>
        <w:t xml:space="preserve">The defendant may seek to deny the nature and extent of the injuries or damage and seek to suggest that the claimant contributed to his injuries. </w:t>
      </w:r>
    </w:p>
    <w:p w14:paraId="77C9F4F1" w14:textId="77777777" w:rsidR="00A93D47" w:rsidRDefault="00A93D47" w:rsidP="001E51CD">
      <w:pPr>
        <w:numPr>
          <w:ilvl w:val="0"/>
          <w:numId w:val="2"/>
        </w:numPr>
        <w:spacing w:line="480" w:lineRule="auto"/>
        <w:rPr>
          <w:rFonts w:ascii="Arial" w:hAnsi="Arial"/>
        </w:rPr>
      </w:pPr>
      <w:r>
        <w:rPr>
          <w:rFonts w:ascii="Arial" w:hAnsi="Arial"/>
        </w:rPr>
        <w:t>Or he may both admit and deny parts of the claimant’s claim for quantum</w:t>
      </w:r>
      <w:r w:rsidR="00954313">
        <w:rPr>
          <w:rFonts w:ascii="Arial" w:hAnsi="Arial"/>
        </w:rPr>
        <w:t>, a</w:t>
      </w:r>
      <w:r>
        <w:rPr>
          <w:rFonts w:ascii="Arial" w:hAnsi="Arial"/>
        </w:rPr>
        <w:t>dmitting some elements but denying other parts thereby reducing the sum of the claim.</w:t>
      </w:r>
    </w:p>
    <w:p w14:paraId="19C6AA61" w14:textId="77777777" w:rsidR="00A93D47" w:rsidRDefault="00A93D47" w:rsidP="001E51CD">
      <w:pPr>
        <w:spacing w:line="480" w:lineRule="auto"/>
        <w:rPr>
          <w:rFonts w:ascii="Arial" w:hAnsi="Arial"/>
        </w:rPr>
      </w:pPr>
    </w:p>
    <w:p w14:paraId="75830335" w14:textId="77777777" w:rsidR="00A93D47" w:rsidRDefault="00A93D47" w:rsidP="001E51CD">
      <w:pPr>
        <w:spacing w:line="480" w:lineRule="auto"/>
        <w:rPr>
          <w:rFonts w:ascii="Arial" w:hAnsi="Arial"/>
        </w:rPr>
      </w:pPr>
      <w:r w:rsidRPr="00A93D47">
        <w:rPr>
          <w:rFonts w:ascii="Arial" w:hAnsi="Arial"/>
          <w:b/>
        </w:rPr>
        <w:t>Question 2</w:t>
      </w:r>
      <w:r>
        <w:rPr>
          <w:rFonts w:ascii="Arial" w:hAnsi="Arial"/>
        </w:rPr>
        <w:t>: If a defendant makes a pre-action admission how will the admission be treated in any subsequent litigation?</w:t>
      </w:r>
    </w:p>
    <w:p w14:paraId="3E1EFC65" w14:textId="77777777" w:rsidR="00A93D47" w:rsidRDefault="00A93D47" w:rsidP="001E51CD">
      <w:pPr>
        <w:spacing w:line="480" w:lineRule="auto"/>
        <w:rPr>
          <w:rFonts w:ascii="Arial" w:hAnsi="Arial"/>
        </w:rPr>
      </w:pPr>
    </w:p>
    <w:p w14:paraId="45C57726" w14:textId="77777777" w:rsidR="00B91F48" w:rsidRDefault="00A93D47" w:rsidP="001E51CD">
      <w:pPr>
        <w:spacing w:line="480" w:lineRule="auto"/>
        <w:rPr>
          <w:rFonts w:ascii="Arial" w:hAnsi="Arial"/>
        </w:rPr>
      </w:pPr>
      <w:r>
        <w:rPr>
          <w:rFonts w:ascii="Arial" w:hAnsi="Arial"/>
        </w:rPr>
        <w:t xml:space="preserve">Where the defendant makes a </w:t>
      </w:r>
      <w:r w:rsidRPr="00B91F48">
        <w:rPr>
          <w:rFonts w:ascii="Arial" w:hAnsi="Arial"/>
        </w:rPr>
        <w:t>pre-action</w:t>
      </w:r>
      <w:r>
        <w:rPr>
          <w:rFonts w:ascii="Arial" w:hAnsi="Arial"/>
        </w:rPr>
        <w:t xml:space="preserve"> admission of liability (which may be during protocol) he will be bound by any admission</w:t>
      </w:r>
      <w:r w:rsidR="00B91F48">
        <w:rPr>
          <w:rFonts w:ascii="Arial" w:hAnsi="Arial"/>
        </w:rPr>
        <w:t xml:space="preserve"> though may withdraw an admission at any time, without the permission of the court, unless the matter relates to a claim for personal injury, clinical negligence or disease and illness claim.</w:t>
      </w:r>
    </w:p>
    <w:p w14:paraId="4378B915" w14:textId="77777777" w:rsidR="00B91F48" w:rsidRDefault="00B91F48" w:rsidP="001E51CD">
      <w:pPr>
        <w:spacing w:line="480" w:lineRule="auto"/>
        <w:rPr>
          <w:rFonts w:ascii="Arial" w:hAnsi="Arial"/>
        </w:rPr>
      </w:pPr>
    </w:p>
    <w:p w14:paraId="09613106" w14:textId="77777777" w:rsidR="00A93D47" w:rsidRDefault="00A93D47" w:rsidP="001E51CD">
      <w:pPr>
        <w:spacing w:line="480" w:lineRule="auto"/>
        <w:rPr>
          <w:rFonts w:ascii="Arial" w:hAnsi="Arial"/>
        </w:rPr>
      </w:pPr>
      <w:r>
        <w:rPr>
          <w:rFonts w:ascii="Arial" w:hAnsi="Arial"/>
        </w:rPr>
        <w:t>An admission may be made of the truth of an allegation or of the facts stated and they may be express or implied. They may be found in correspondence, in oral discussions between the parties, their legal representatives or between a party and a third party. An admission can also be inferred by conduct.</w:t>
      </w:r>
    </w:p>
    <w:p w14:paraId="70A27736" w14:textId="77777777" w:rsidR="00B91F48" w:rsidRDefault="00B91F48" w:rsidP="001E51CD">
      <w:pPr>
        <w:spacing w:line="480" w:lineRule="auto"/>
        <w:rPr>
          <w:rFonts w:ascii="Arial" w:hAnsi="Arial"/>
        </w:rPr>
      </w:pPr>
    </w:p>
    <w:p w14:paraId="23C45020" w14:textId="77777777" w:rsidR="00A93D47" w:rsidRDefault="00A93D47" w:rsidP="001E51CD">
      <w:pPr>
        <w:spacing w:line="480" w:lineRule="auto"/>
        <w:rPr>
          <w:rFonts w:ascii="Arial" w:hAnsi="Arial"/>
        </w:rPr>
      </w:pPr>
      <w:r>
        <w:rPr>
          <w:rFonts w:ascii="Arial" w:hAnsi="Arial"/>
        </w:rPr>
        <w:t>A party will not be bound by a previously made admission in the following cir</w:t>
      </w:r>
      <w:r w:rsidR="00954313">
        <w:rPr>
          <w:rFonts w:ascii="Arial" w:hAnsi="Arial"/>
        </w:rPr>
        <w:t>cumstances:</w:t>
      </w:r>
    </w:p>
    <w:p w14:paraId="3D4298B1" w14:textId="77777777" w:rsidR="00A93D47" w:rsidRPr="00525E6B" w:rsidRDefault="00954313" w:rsidP="001E51CD">
      <w:pPr>
        <w:numPr>
          <w:ilvl w:val="0"/>
          <w:numId w:val="5"/>
        </w:numPr>
        <w:spacing w:line="480" w:lineRule="auto"/>
        <w:rPr>
          <w:rFonts w:ascii="Arial" w:hAnsi="Arial"/>
        </w:rPr>
      </w:pPr>
      <w:r>
        <w:rPr>
          <w:rFonts w:ascii="Arial" w:hAnsi="Arial"/>
        </w:rPr>
        <w:t>A</w:t>
      </w:r>
      <w:r w:rsidR="00A93D47" w:rsidRPr="00525E6B">
        <w:rPr>
          <w:rFonts w:ascii="Arial" w:hAnsi="Arial"/>
        </w:rPr>
        <w:t>n admission made in previous proceedings that have not been placed before the current court as adopted and true.</w:t>
      </w:r>
    </w:p>
    <w:p w14:paraId="3EE89990" w14:textId="77777777" w:rsidR="00A93D47" w:rsidRPr="00525E6B" w:rsidRDefault="00A93D47" w:rsidP="001E51CD">
      <w:pPr>
        <w:numPr>
          <w:ilvl w:val="0"/>
          <w:numId w:val="5"/>
        </w:numPr>
        <w:spacing w:line="480" w:lineRule="auto"/>
        <w:rPr>
          <w:rFonts w:ascii="Arial" w:hAnsi="Arial"/>
          <w:i/>
        </w:rPr>
      </w:pPr>
      <w:r>
        <w:rPr>
          <w:rFonts w:ascii="Arial" w:hAnsi="Arial"/>
        </w:rPr>
        <w:t>An informal admission that is not proved.</w:t>
      </w:r>
    </w:p>
    <w:p w14:paraId="7C580C4A" w14:textId="77777777" w:rsidR="00A93D47" w:rsidRPr="00525E6B" w:rsidRDefault="00A93D47" w:rsidP="001E51CD">
      <w:pPr>
        <w:numPr>
          <w:ilvl w:val="0"/>
          <w:numId w:val="5"/>
        </w:numPr>
        <w:spacing w:line="480" w:lineRule="auto"/>
        <w:rPr>
          <w:rFonts w:ascii="Arial" w:hAnsi="Arial"/>
          <w:i/>
        </w:rPr>
      </w:pPr>
      <w:r>
        <w:rPr>
          <w:rFonts w:ascii="Arial" w:hAnsi="Arial"/>
        </w:rPr>
        <w:t xml:space="preserve">An admission made by a person not </w:t>
      </w:r>
      <w:r w:rsidR="00B02908">
        <w:rPr>
          <w:rFonts w:ascii="Arial" w:hAnsi="Arial"/>
        </w:rPr>
        <w:t xml:space="preserve">authorized </w:t>
      </w:r>
      <w:r>
        <w:rPr>
          <w:rFonts w:ascii="Arial" w:hAnsi="Arial"/>
        </w:rPr>
        <w:t xml:space="preserve">to make it unless there existed ostensible or apparent authority (of the agent) in which case the admission may bind (the principal) but he may have a right to claim an indemnity from the person who made the </w:t>
      </w:r>
      <w:r w:rsidR="00B02908">
        <w:rPr>
          <w:rFonts w:ascii="Arial" w:hAnsi="Arial"/>
        </w:rPr>
        <w:t>unauthorize</w:t>
      </w:r>
      <w:r>
        <w:rPr>
          <w:rFonts w:ascii="Arial" w:hAnsi="Arial"/>
        </w:rPr>
        <w:t>d admission.</w:t>
      </w:r>
    </w:p>
    <w:p w14:paraId="58DC7110" w14:textId="77777777" w:rsidR="00A93D47" w:rsidRPr="00525E6B" w:rsidRDefault="00A93D47" w:rsidP="001E51CD">
      <w:pPr>
        <w:numPr>
          <w:ilvl w:val="0"/>
          <w:numId w:val="5"/>
        </w:numPr>
        <w:spacing w:line="480" w:lineRule="auto"/>
        <w:rPr>
          <w:rFonts w:ascii="Arial" w:hAnsi="Arial"/>
          <w:i/>
        </w:rPr>
      </w:pPr>
      <w:r>
        <w:rPr>
          <w:rFonts w:ascii="Arial" w:hAnsi="Arial"/>
        </w:rPr>
        <w:t>An admission that is not clear and unambiguous.</w:t>
      </w:r>
    </w:p>
    <w:p w14:paraId="1BEA4829" w14:textId="77777777" w:rsidR="00A93D47" w:rsidRDefault="00A93D47" w:rsidP="001E51CD">
      <w:pPr>
        <w:spacing w:line="480" w:lineRule="auto"/>
        <w:rPr>
          <w:rFonts w:ascii="Arial" w:hAnsi="Arial"/>
        </w:rPr>
      </w:pPr>
    </w:p>
    <w:p w14:paraId="05DEFC1A" w14:textId="77777777" w:rsidR="00A93D47" w:rsidRDefault="00A93D47" w:rsidP="001E51CD">
      <w:pPr>
        <w:spacing w:line="480" w:lineRule="auto"/>
        <w:rPr>
          <w:rFonts w:ascii="Arial" w:hAnsi="Arial"/>
        </w:rPr>
      </w:pPr>
      <w:r>
        <w:rPr>
          <w:rFonts w:ascii="Arial" w:hAnsi="Arial"/>
        </w:rPr>
        <w:lastRenderedPageBreak/>
        <w:t>If the admission has been made formally neither party will need to adduce evidence of the issue or fact admitted in subsequent litigation. A formal admission</w:t>
      </w:r>
      <w:r w:rsidR="00B91F48">
        <w:rPr>
          <w:rFonts w:ascii="Arial" w:hAnsi="Arial"/>
        </w:rPr>
        <w:t>, made during proceedings,</w:t>
      </w:r>
      <w:r>
        <w:rPr>
          <w:rFonts w:ascii="Arial" w:hAnsi="Arial"/>
        </w:rPr>
        <w:t xml:space="preserve"> may be wit</w:t>
      </w:r>
      <w:r w:rsidR="00954313">
        <w:rPr>
          <w:rFonts w:ascii="Arial" w:hAnsi="Arial"/>
        </w:rPr>
        <w:t>hdrawn in certain circumstances:</w:t>
      </w:r>
    </w:p>
    <w:p w14:paraId="567A358E" w14:textId="77777777" w:rsidR="00A93D47" w:rsidRDefault="00A93D47" w:rsidP="001E51CD">
      <w:pPr>
        <w:spacing w:line="480" w:lineRule="auto"/>
        <w:rPr>
          <w:rFonts w:ascii="Arial" w:hAnsi="Arial"/>
        </w:rPr>
      </w:pPr>
    </w:p>
    <w:p w14:paraId="296566B3" w14:textId="77777777" w:rsidR="00A93D47" w:rsidRPr="00525E6B" w:rsidRDefault="00A93D47" w:rsidP="001E51CD">
      <w:pPr>
        <w:numPr>
          <w:ilvl w:val="0"/>
          <w:numId w:val="6"/>
        </w:numPr>
        <w:spacing w:line="480" w:lineRule="auto"/>
        <w:rPr>
          <w:rFonts w:ascii="Arial" w:hAnsi="Arial"/>
          <w:i/>
        </w:rPr>
      </w:pPr>
      <w:r>
        <w:rPr>
          <w:rFonts w:ascii="Arial" w:hAnsi="Arial"/>
        </w:rPr>
        <w:t>With the permission of the court. The court will consider the overriding objectives when considering such an application a</w:t>
      </w:r>
      <w:r w:rsidR="00954313">
        <w:rPr>
          <w:rFonts w:ascii="Arial" w:hAnsi="Arial"/>
        </w:rPr>
        <w:t>nd will consider such issues as:</w:t>
      </w:r>
      <w:r>
        <w:rPr>
          <w:rFonts w:ascii="Arial" w:hAnsi="Arial"/>
        </w:rPr>
        <w:t xml:space="preserve"> prejudice to a party, the reasons why the admission was made, the stress a party was under when the admission was made, the interests of the public in permitting the withdrawal of the formal admission</w:t>
      </w:r>
      <w:r w:rsidR="00B02908">
        <w:rPr>
          <w:rFonts w:ascii="Arial" w:hAnsi="Arial"/>
        </w:rPr>
        <w:t>,</w:t>
      </w:r>
      <w:r>
        <w:rPr>
          <w:rFonts w:ascii="Arial" w:hAnsi="Arial"/>
        </w:rPr>
        <w:t xml:space="preserve"> and the time when the application to withdraw from the admission is made.</w:t>
      </w:r>
    </w:p>
    <w:p w14:paraId="322199E6" w14:textId="77777777" w:rsidR="00A93D47" w:rsidRDefault="00A93D47" w:rsidP="001E51CD">
      <w:pPr>
        <w:spacing w:line="480" w:lineRule="auto"/>
        <w:rPr>
          <w:rFonts w:ascii="Arial" w:hAnsi="Arial"/>
        </w:rPr>
      </w:pPr>
    </w:p>
    <w:p w14:paraId="4E19E139" w14:textId="77777777" w:rsidR="00A93D47" w:rsidRDefault="00A93D47" w:rsidP="001E51CD">
      <w:pPr>
        <w:spacing w:line="480" w:lineRule="auto"/>
        <w:rPr>
          <w:rFonts w:ascii="Arial" w:hAnsi="Arial"/>
        </w:rPr>
      </w:pPr>
      <w:r>
        <w:rPr>
          <w:rFonts w:ascii="Arial" w:hAnsi="Arial"/>
        </w:rPr>
        <w:t xml:space="preserve">CPR 14A. This rule applies </w:t>
      </w:r>
      <w:r w:rsidR="00090085">
        <w:rPr>
          <w:rFonts w:ascii="Arial" w:hAnsi="Arial"/>
        </w:rPr>
        <w:t>where</w:t>
      </w:r>
      <w:r>
        <w:rPr>
          <w:rFonts w:ascii="Arial" w:hAnsi="Arial"/>
        </w:rPr>
        <w:t xml:space="preserve"> a person </w:t>
      </w:r>
      <w:r w:rsidR="00090085">
        <w:rPr>
          <w:rFonts w:ascii="Arial" w:hAnsi="Arial"/>
        </w:rPr>
        <w:t xml:space="preserve">wishes to </w:t>
      </w:r>
      <w:r w:rsidR="00954313">
        <w:rPr>
          <w:rFonts w:ascii="Arial" w:hAnsi="Arial"/>
        </w:rPr>
        <w:t>withdraw a pre-action admission</w:t>
      </w:r>
      <w:r w:rsidR="00090085">
        <w:rPr>
          <w:rFonts w:ascii="Arial" w:hAnsi="Arial"/>
        </w:rPr>
        <w:t>. This can be done</w:t>
      </w:r>
      <w:r w:rsidR="00954313">
        <w:rPr>
          <w:rFonts w:ascii="Arial" w:hAnsi="Arial"/>
        </w:rPr>
        <w:t>:</w:t>
      </w:r>
    </w:p>
    <w:p w14:paraId="51E22B49" w14:textId="77777777" w:rsidR="00A93D47" w:rsidRDefault="00A93D47" w:rsidP="001E51CD">
      <w:pPr>
        <w:numPr>
          <w:ilvl w:val="0"/>
          <w:numId w:val="6"/>
        </w:numPr>
        <w:spacing w:line="480" w:lineRule="auto"/>
        <w:rPr>
          <w:rFonts w:ascii="Arial" w:hAnsi="Arial"/>
        </w:rPr>
      </w:pPr>
      <w:r>
        <w:rPr>
          <w:rFonts w:ascii="Arial" w:hAnsi="Arial"/>
        </w:rPr>
        <w:t>With the consent of the person to whom the admission was made.</w:t>
      </w:r>
    </w:p>
    <w:p w14:paraId="6CA378B7" w14:textId="77777777" w:rsidR="00A93D47" w:rsidRDefault="00A93D47" w:rsidP="001E51CD">
      <w:pPr>
        <w:numPr>
          <w:ilvl w:val="0"/>
          <w:numId w:val="6"/>
        </w:numPr>
        <w:spacing w:line="480" w:lineRule="auto"/>
        <w:rPr>
          <w:rFonts w:ascii="Arial" w:hAnsi="Arial"/>
        </w:rPr>
      </w:pPr>
      <w:r>
        <w:rPr>
          <w:rFonts w:ascii="Arial" w:hAnsi="Arial"/>
        </w:rPr>
        <w:t>After commencement of proceedings with the permission of the court.</w:t>
      </w:r>
    </w:p>
    <w:p w14:paraId="565B0595" w14:textId="77777777" w:rsidR="00A93D47" w:rsidRDefault="00A93D47" w:rsidP="001E51CD">
      <w:pPr>
        <w:spacing w:line="480" w:lineRule="auto"/>
        <w:rPr>
          <w:rFonts w:ascii="Arial" w:hAnsi="Arial"/>
        </w:rPr>
      </w:pPr>
    </w:p>
    <w:p w14:paraId="7CF1FDC4" w14:textId="77777777" w:rsidR="00A93D47" w:rsidRDefault="00954313" w:rsidP="001E51CD">
      <w:pPr>
        <w:spacing w:line="480" w:lineRule="auto"/>
        <w:rPr>
          <w:rFonts w:ascii="Arial" w:hAnsi="Arial"/>
        </w:rPr>
      </w:pPr>
      <w:r>
        <w:rPr>
          <w:rFonts w:ascii="Arial" w:hAnsi="Arial"/>
        </w:rPr>
        <w:t>These conditions apply when:</w:t>
      </w:r>
    </w:p>
    <w:p w14:paraId="6AA143D5" w14:textId="77777777" w:rsidR="00A93D47" w:rsidRDefault="00A93D47" w:rsidP="001E51CD">
      <w:pPr>
        <w:numPr>
          <w:ilvl w:val="0"/>
          <w:numId w:val="7"/>
        </w:numPr>
        <w:spacing w:line="480" w:lineRule="auto"/>
        <w:rPr>
          <w:rFonts w:ascii="Arial" w:hAnsi="Arial"/>
        </w:rPr>
      </w:pPr>
      <w:r>
        <w:rPr>
          <w:rFonts w:ascii="Arial" w:hAnsi="Arial"/>
        </w:rPr>
        <w:t>The admission was made in proceedings listed under the rule – personal injury, clinical disputes and disease and illness claims.</w:t>
      </w:r>
    </w:p>
    <w:p w14:paraId="47B4377E" w14:textId="77777777" w:rsidR="00A93D47" w:rsidRDefault="00A93D47" w:rsidP="001E51CD">
      <w:pPr>
        <w:numPr>
          <w:ilvl w:val="0"/>
          <w:numId w:val="7"/>
        </w:numPr>
        <w:spacing w:line="480" w:lineRule="auto"/>
        <w:rPr>
          <w:rFonts w:ascii="Arial" w:hAnsi="Arial"/>
        </w:rPr>
      </w:pPr>
      <w:r>
        <w:rPr>
          <w:rFonts w:ascii="Arial" w:hAnsi="Arial"/>
        </w:rPr>
        <w:t>The admission was made after a Letter of Claim has been sent or if before, the admission states that it has been made under the provisions of CPR 14.</w:t>
      </w:r>
    </w:p>
    <w:p w14:paraId="67C1B2F0" w14:textId="77777777" w:rsidR="00A93D47" w:rsidRDefault="00A93D47" w:rsidP="001E51CD">
      <w:pPr>
        <w:spacing w:line="480" w:lineRule="auto"/>
        <w:rPr>
          <w:rFonts w:ascii="Arial" w:hAnsi="Arial"/>
        </w:rPr>
      </w:pPr>
    </w:p>
    <w:p w14:paraId="0CFA9D0C" w14:textId="77777777" w:rsidR="00A93D47" w:rsidRDefault="00A93D47" w:rsidP="001E51CD">
      <w:pPr>
        <w:spacing w:line="480" w:lineRule="auto"/>
        <w:rPr>
          <w:rFonts w:ascii="Arial" w:hAnsi="Arial"/>
        </w:rPr>
      </w:pPr>
      <w:r>
        <w:rPr>
          <w:rFonts w:ascii="Arial" w:hAnsi="Arial"/>
        </w:rPr>
        <w:t>The rule also makes provision for these pre-action admissions to be dealt with in s</w:t>
      </w:r>
      <w:r w:rsidR="00954313">
        <w:rPr>
          <w:rFonts w:ascii="Arial" w:hAnsi="Arial"/>
        </w:rPr>
        <w:t>ubsequent litigation as follows:</w:t>
      </w:r>
    </w:p>
    <w:p w14:paraId="05679281" w14:textId="77777777" w:rsidR="00A93D47" w:rsidRDefault="00A93D47" w:rsidP="001E51CD">
      <w:pPr>
        <w:numPr>
          <w:ilvl w:val="0"/>
          <w:numId w:val="8"/>
        </w:numPr>
        <w:spacing w:line="480" w:lineRule="auto"/>
        <w:rPr>
          <w:rFonts w:ascii="Arial" w:hAnsi="Arial"/>
        </w:rPr>
      </w:pPr>
      <w:r>
        <w:rPr>
          <w:rFonts w:ascii="Arial" w:hAnsi="Arial"/>
        </w:rPr>
        <w:lastRenderedPageBreak/>
        <w:t>That any party may apply for judgment on a pre-action admission that is covered under the rule.</w:t>
      </w:r>
    </w:p>
    <w:p w14:paraId="716C1ABA" w14:textId="77777777" w:rsidR="00A93D47" w:rsidRPr="00780B2D" w:rsidRDefault="00A93D47" w:rsidP="001E51CD">
      <w:pPr>
        <w:numPr>
          <w:ilvl w:val="0"/>
          <w:numId w:val="8"/>
        </w:numPr>
        <w:spacing w:line="480" w:lineRule="auto"/>
        <w:rPr>
          <w:rFonts w:ascii="Arial" w:hAnsi="Arial"/>
        </w:rPr>
      </w:pPr>
      <w:r>
        <w:rPr>
          <w:rFonts w:ascii="Arial" w:hAnsi="Arial"/>
        </w:rPr>
        <w:t>The party who made the admission can apply to the court to withdraw it (and the court will apply the criteria noted above when considering the application).</w:t>
      </w:r>
    </w:p>
    <w:p w14:paraId="5B4A56CB" w14:textId="77777777" w:rsidR="00A93D47" w:rsidRDefault="00A93D47" w:rsidP="001E51CD">
      <w:pPr>
        <w:spacing w:line="480" w:lineRule="auto"/>
        <w:rPr>
          <w:rFonts w:ascii="Arial" w:hAnsi="Arial"/>
          <w:i/>
        </w:rPr>
      </w:pPr>
    </w:p>
    <w:p w14:paraId="4DF08216" w14:textId="77777777" w:rsidR="00A93D47" w:rsidRDefault="00A93D47" w:rsidP="001E51CD">
      <w:pPr>
        <w:spacing w:line="480" w:lineRule="auto"/>
        <w:rPr>
          <w:rFonts w:ascii="Arial" w:hAnsi="Arial"/>
        </w:rPr>
      </w:pPr>
      <w:r>
        <w:rPr>
          <w:rFonts w:ascii="Arial" w:hAnsi="Arial"/>
        </w:rPr>
        <w:t xml:space="preserve">Informal admissions however, are treated as pieces of evidence and further evidence may be adduced to disprove the informal admission or to explain away its apparent result. </w:t>
      </w:r>
    </w:p>
    <w:p w14:paraId="1EBB65C1" w14:textId="77777777" w:rsidR="00A93D47" w:rsidRDefault="00A93D47" w:rsidP="001E51CD">
      <w:pPr>
        <w:spacing w:line="480" w:lineRule="auto"/>
        <w:rPr>
          <w:rFonts w:ascii="Arial" w:hAnsi="Arial"/>
        </w:rPr>
      </w:pPr>
    </w:p>
    <w:p w14:paraId="163B55D6" w14:textId="77777777" w:rsidR="00A93D47" w:rsidRDefault="00A93D47" w:rsidP="001E51CD">
      <w:pPr>
        <w:spacing w:line="480" w:lineRule="auto"/>
        <w:rPr>
          <w:rFonts w:ascii="Arial" w:hAnsi="Arial"/>
        </w:rPr>
      </w:pPr>
      <w:r>
        <w:rPr>
          <w:rFonts w:ascii="Arial" w:hAnsi="Arial"/>
        </w:rPr>
        <w:t>An admission made without knowledge of a material fact will have little evidential value.</w:t>
      </w:r>
    </w:p>
    <w:p w14:paraId="7D58B979" w14:textId="77777777" w:rsidR="00A93D47" w:rsidRDefault="00A93D47" w:rsidP="001E51CD">
      <w:pPr>
        <w:spacing w:line="480" w:lineRule="auto"/>
        <w:rPr>
          <w:rFonts w:ascii="Arial" w:hAnsi="Arial"/>
        </w:rPr>
      </w:pPr>
    </w:p>
    <w:p w14:paraId="4FD042C7" w14:textId="77777777" w:rsidR="00A93D47" w:rsidRDefault="00A93D47" w:rsidP="001E51CD">
      <w:pPr>
        <w:spacing w:line="480" w:lineRule="auto"/>
        <w:rPr>
          <w:rFonts w:ascii="Arial" w:hAnsi="Arial"/>
        </w:rPr>
      </w:pPr>
      <w:r w:rsidRPr="00A93D47">
        <w:rPr>
          <w:rFonts w:ascii="Arial" w:hAnsi="Arial"/>
          <w:b/>
        </w:rPr>
        <w:t>Question 3</w:t>
      </w:r>
      <w:r>
        <w:rPr>
          <w:rFonts w:ascii="Arial" w:hAnsi="Arial"/>
        </w:rPr>
        <w:t>: Which applications may be made by a defendant who believes that the claimant’s</w:t>
      </w:r>
      <w:r w:rsidR="005303F6">
        <w:rPr>
          <w:rFonts w:ascii="Arial" w:hAnsi="Arial"/>
        </w:rPr>
        <w:t xml:space="preserve"> case is very weak or does not (as it has been set down)</w:t>
      </w:r>
      <w:r>
        <w:rPr>
          <w:rFonts w:ascii="Arial" w:hAnsi="Arial"/>
        </w:rPr>
        <w:t xml:space="preserve"> reveal any substantive cause of action?</w:t>
      </w:r>
      <w:r>
        <w:rPr>
          <w:rFonts w:ascii="Arial" w:hAnsi="Arial"/>
        </w:rPr>
        <w:tab/>
      </w:r>
    </w:p>
    <w:p w14:paraId="039EB4D2" w14:textId="77777777" w:rsidR="001E51CD" w:rsidRDefault="001E51CD" w:rsidP="001E51CD">
      <w:pPr>
        <w:spacing w:line="480" w:lineRule="auto"/>
        <w:rPr>
          <w:rFonts w:ascii="Arial" w:hAnsi="Arial"/>
        </w:rPr>
      </w:pPr>
    </w:p>
    <w:p w14:paraId="7A8B9EAC" w14:textId="77777777" w:rsidR="00A93D47" w:rsidRDefault="00A93D47" w:rsidP="001E51CD">
      <w:pPr>
        <w:spacing w:line="480" w:lineRule="auto"/>
        <w:rPr>
          <w:rFonts w:ascii="Arial" w:hAnsi="Arial"/>
        </w:rPr>
      </w:pPr>
      <w:r>
        <w:rPr>
          <w:rFonts w:ascii="Arial" w:hAnsi="Arial"/>
        </w:rPr>
        <w:t xml:space="preserve">Summary </w:t>
      </w:r>
      <w:r w:rsidR="0036207E">
        <w:rPr>
          <w:rFonts w:ascii="Arial" w:hAnsi="Arial"/>
        </w:rPr>
        <w:t xml:space="preserve">Judgment </w:t>
      </w:r>
      <w:r>
        <w:rPr>
          <w:rFonts w:ascii="Arial" w:hAnsi="Arial"/>
        </w:rPr>
        <w:t xml:space="preserve">(CPR 24) which may be combined with an application for a strike out under CPR 3. </w:t>
      </w:r>
    </w:p>
    <w:p w14:paraId="59532A23" w14:textId="77777777" w:rsidR="00A93D47" w:rsidRDefault="00A93D47" w:rsidP="001E51CD">
      <w:pPr>
        <w:spacing w:line="480" w:lineRule="auto"/>
        <w:rPr>
          <w:rFonts w:ascii="Arial" w:hAnsi="Arial"/>
        </w:rPr>
      </w:pPr>
    </w:p>
    <w:p w14:paraId="66847214" w14:textId="77777777" w:rsidR="00A93D47" w:rsidRDefault="00A93D47" w:rsidP="001E51CD">
      <w:pPr>
        <w:spacing w:line="480" w:lineRule="auto"/>
        <w:rPr>
          <w:rFonts w:ascii="Arial" w:hAnsi="Arial"/>
        </w:rPr>
      </w:pPr>
      <w:r w:rsidRPr="00A93D47">
        <w:rPr>
          <w:rFonts w:ascii="Arial" w:hAnsi="Arial"/>
          <w:b/>
        </w:rPr>
        <w:t>Question 4</w:t>
      </w:r>
      <w:r>
        <w:rPr>
          <w:rFonts w:ascii="Arial" w:hAnsi="Arial"/>
        </w:rPr>
        <w:t>: When will an application for Security for Costs NOT be successful?</w:t>
      </w:r>
    </w:p>
    <w:p w14:paraId="021962A7" w14:textId="77777777" w:rsidR="00A93D47" w:rsidRDefault="00A93D47" w:rsidP="001E51CD">
      <w:pPr>
        <w:spacing w:line="480" w:lineRule="auto"/>
        <w:rPr>
          <w:rFonts w:ascii="Arial" w:hAnsi="Arial"/>
        </w:rPr>
      </w:pPr>
    </w:p>
    <w:p w14:paraId="22EA5E09" w14:textId="77777777" w:rsidR="00A93D47" w:rsidRDefault="00A93D47" w:rsidP="001E51CD">
      <w:pPr>
        <w:spacing w:line="480" w:lineRule="auto"/>
        <w:rPr>
          <w:rFonts w:ascii="Arial" w:hAnsi="Arial"/>
        </w:rPr>
      </w:pPr>
      <w:r>
        <w:rPr>
          <w:rFonts w:ascii="Arial" w:hAnsi="Arial"/>
        </w:rPr>
        <w:t>When to do so would stifle a claimant’s action or when the grounds set down in CPR 25.12 are not met.</w:t>
      </w:r>
    </w:p>
    <w:p w14:paraId="1426500C" w14:textId="77777777" w:rsidR="00A93D47" w:rsidRDefault="00A93D47" w:rsidP="001E51CD">
      <w:pPr>
        <w:spacing w:line="480" w:lineRule="auto"/>
        <w:rPr>
          <w:rFonts w:ascii="Arial" w:hAnsi="Arial"/>
        </w:rPr>
      </w:pPr>
    </w:p>
    <w:p w14:paraId="1CD99F7F" w14:textId="77777777" w:rsidR="00A93D47" w:rsidRDefault="00A93D47" w:rsidP="001E51CD">
      <w:pPr>
        <w:spacing w:line="480" w:lineRule="auto"/>
        <w:rPr>
          <w:rFonts w:ascii="Arial" w:hAnsi="Arial"/>
        </w:rPr>
      </w:pPr>
    </w:p>
    <w:p w14:paraId="63C89B62" w14:textId="77777777" w:rsidR="00A93D47" w:rsidRDefault="00A93D47" w:rsidP="001E51CD">
      <w:pPr>
        <w:spacing w:line="480" w:lineRule="auto"/>
        <w:rPr>
          <w:rFonts w:ascii="Arial" w:hAnsi="Arial"/>
        </w:rPr>
      </w:pPr>
      <w:r w:rsidRPr="00A93D47">
        <w:rPr>
          <w:rFonts w:ascii="Arial" w:hAnsi="Arial"/>
          <w:b/>
        </w:rPr>
        <w:lastRenderedPageBreak/>
        <w:t>Question 5</w:t>
      </w:r>
      <w:r>
        <w:rPr>
          <w:rFonts w:ascii="Arial" w:hAnsi="Arial"/>
        </w:rPr>
        <w:t>: When MUST a defendant respond to a claim made against him? What are the steps he can take an</w:t>
      </w:r>
      <w:r w:rsidR="00954313">
        <w:rPr>
          <w:rFonts w:ascii="Arial" w:hAnsi="Arial"/>
        </w:rPr>
        <w:t>d when must he take those steps?</w:t>
      </w:r>
    </w:p>
    <w:p w14:paraId="21FDED0C" w14:textId="77777777" w:rsidR="00A93D47" w:rsidRDefault="00A93D47" w:rsidP="001E51CD">
      <w:pPr>
        <w:spacing w:line="480" w:lineRule="auto"/>
        <w:rPr>
          <w:rFonts w:ascii="Arial" w:hAnsi="Arial"/>
        </w:rPr>
      </w:pPr>
    </w:p>
    <w:p w14:paraId="257BB529" w14:textId="77777777" w:rsidR="00A93D47" w:rsidRPr="004547B0" w:rsidRDefault="00A93D47" w:rsidP="001E51CD">
      <w:pPr>
        <w:spacing w:line="480" w:lineRule="auto"/>
        <w:rPr>
          <w:rFonts w:ascii="Arial" w:hAnsi="Arial"/>
        </w:rPr>
      </w:pPr>
      <w:r w:rsidRPr="004547B0">
        <w:rPr>
          <w:rFonts w:ascii="Arial" w:hAnsi="Arial"/>
        </w:rPr>
        <w:t xml:space="preserve">Time begins to run from the deemed date of service of the Particulars of Claim on the defendant (CPR 9.2). The </w:t>
      </w:r>
      <w:r w:rsidR="00954313">
        <w:rPr>
          <w:rFonts w:ascii="Arial" w:hAnsi="Arial"/>
        </w:rPr>
        <w:t>defendant has fourteen</w:t>
      </w:r>
      <w:r w:rsidRPr="004547B0">
        <w:rPr>
          <w:rFonts w:ascii="Arial" w:hAnsi="Arial"/>
        </w:rPr>
        <w:t xml:space="preserve"> days f</w:t>
      </w:r>
      <w:r>
        <w:rPr>
          <w:rFonts w:ascii="Arial" w:hAnsi="Arial"/>
        </w:rPr>
        <w:t>rom the date of service of the P</w:t>
      </w:r>
      <w:r w:rsidRPr="004547B0">
        <w:rPr>
          <w:rFonts w:ascii="Arial" w:hAnsi="Arial"/>
        </w:rPr>
        <w:t xml:space="preserve">articulars of </w:t>
      </w:r>
      <w:r>
        <w:rPr>
          <w:rFonts w:ascii="Arial" w:hAnsi="Arial"/>
        </w:rPr>
        <w:t>C</w:t>
      </w:r>
      <w:r w:rsidRPr="004547B0">
        <w:rPr>
          <w:rFonts w:ascii="Arial" w:hAnsi="Arial"/>
        </w:rPr>
        <w:t xml:space="preserve">laim to </w:t>
      </w:r>
      <w:r w:rsidR="00954313">
        <w:rPr>
          <w:rFonts w:ascii="Arial" w:hAnsi="Arial"/>
        </w:rPr>
        <w:t>take one of the following steps:</w:t>
      </w:r>
      <w:r w:rsidR="001E51CD">
        <w:rPr>
          <w:rFonts w:ascii="Arial" w:hAnsi="Arial"/>
        </w:rPr>
        <w:t xml:space="preserve"> </w:t>
      </w:r>
    </w:p>
    <w:p w14:paraId="15E1AA88" w14:textId="77777777" w:rsidR="00A93D47" w:rsidRPr="004547B0" w:rsidRDefault="00A93D47" w:rsidP="001E51CD">
      <w:pPr>
        <w:spacing w:line="480" w:lineRule="auto"/>
        <w:rPr>
          <w:rFonts w:ascii="Arial" w:hAnsi="Arial"/>
        </w:rPr>
      </w:pPr>
    </w:p>
    <w:p w14:paraId="0D57E592" w14:textId="77777777" w:rsidR="00A93D47" w:rsidRPr="004547B0" w:rsidRDefault="00954313" w:rsidP="001E51CD">
      <w:pPr>
        <w:numPr>
          <w:ilvl w:val="0"/>
          <w:numId w:val="4"/>
        </w:numPr>
        <w:spacing w:line="480" w:lineRule="auto"/>
        <w:rPr>
          <w:rFonts w:ascii="Arial" w:hAnsi="Arial"/>
        </w:rPr>
      </w:pPr>
      <w:r>
        <w:rPr>
          <w:rFonts w:ascii="Arial" w:hAnsi="Arial"/>
        </w:rPr>
        <w:t>F</w:t>
      </w:r>
      <w:r w:rsidR="00A93D47" w:rsidRPr="004547B0">
        <w:rPr>
          <w:rFonts w:ascii="Arial" w:hAnsi="Arial"/>
        </w:rPr>
        <w:t>ile or serve an admission</w:t>
      </w:r>
      <w:r w:rsidR="0036207E">
        <w:rPr>
          <w:rFonts w:ascii="Arial" w:hAnsi="Arial"/>
        </w:rPr>
        <w:t xml:space="preserve"> (CPR 14)</w:t>
      </w:r>
      <w:r>
        <w:rPr>
          <w:rFonts w:ascii="Arial" w:hAnsi="Arial"/>
        </w:rPr>
        <w:t>.</w:t>
      </w:r>
    </w:p>
    <w:p w14:paraId="000ED46E" w14:textId="77777777" w:rsidR="00A93D47" w:rsidRPr="004547B0" w:rsidRDefault="00954313" w:rsidP="001E51CD">
      <w:pPr>
        <w:numPr>
          <w:ilvl w:val="0"/>
          <w:numId w:val="4"/>
        </w:numPr>
        <w:spacing w:line="480" w:lineRule="auto"/>
        <w:rPr>
          <w:rFonts w:ascii="Arial" w:hAnsi="Arial"/>
        </w:rPr>
      </w:pPr>
      <w:r>
        <w:rPr>
          <w:rFonts w:ascii="Arial" w:hAnsi="Arial"/>
        </w:rPr>
        <w:t>F</w:t>
      </w:r>
      <w:r w:rsidR="00A93D47" w:rsidRPr="004547B0">
        <w:rPr>
          <w:rFonts w:ascii="Arial" w:hAnsi="Arial"/>
        </w:rPr>
        <w:t>ile a defence (which may be combined with a counterclaim)</w:t>
      </w:r>
      <w:r>
        <w:rPr>
          <w:rFonts w:ascii="Arial" w:hAnsi="Arial"/>
        </w:rPr>
        <w:t>.</w:t>
      </w:r>
      <w:r w:rsidR="0036207E">
        <w:rPr>
          <w:rFonts w:ascii="Arial" w:hAnsi="Arial"/>
        </w:rPr>
        <w:t xml:space="preserve"> Or a defendant may file an admission and a defence if part of the claim is admitted and part not admitted. (CPR 15)</w:t>
      </w:r>
    </w:p>
    <w:p w14:paraId="53F830E3" w14:textId="77777777" w:rsidR="00A93D47" w:rsidRDefault="00954313" w:rsidP="001E51CD">
      <w:pPr>
        <w:numPr>
          <w:ilvl w:val="0"/>
          <w:numId w:val="4"/>
        </w:numPr>
        <w:spacing w:line="480" w:lineRule="auto"/>
        <w:rPr>
          <w:rFonts w:ascii="Arial" w:hAnsi="Arial"/>
        </w:rPr>
      </w:pPr>
      <w:r>
        <w:rPr>
          <w:rFonts w:ascii="Arial" w:hAnsi="Arial"/>
        </w:rPr>
        <w:t>F</w:t>
      </w:r>
      <w:r w:rsidR="00A93D47" w:rsidRPr="004547B0">
        <w:rPr>
          <w:rFonts w:ascii="Arial" w:hAnsi="Arial"/>
        </w:rPr>
        <w:t>ile an acknowledgement of service</w:t>
      </w:r>
      <w:r w:rsidR="00A93D47">
        <w:rPr>
          <w:rFonts w:ascii="Arial" w:hAnsi="Arial"/>
        </w:rPr>
        <w:t>.</w:t>
      </w:r>
      <w:r w:rsidR="0036207E">
        <w:rPr>
          <w:rFonts w:ascii="Arial" w:hAnsi="Arial"/>
        </w:rPr>
        <w:t xml:space="preserve"> (CPR 10)</w:t>
      </w:r>
    </w:p>
    <w:p w14:paraId="737865C1" w14:textId="77777777" w:rsidR="007B71C0" w:rsidRDefault="007B71C0" w:rsidP="001E51CD">
      <w:pPr>
        <w:spacing w:line="480" w:lineRule="auto"/>
        <w:rPr>
          <w:rFonts w:ascii="Arial" w:hAnsi="Arial"/>
        </w:rPr>
      </w:pPr>
    </w:p>
    <w:p w14:paraId="6CE49D2A" w14:textId="77777777" w:rsidR="007B71C0" w:rsidRPr="004547B0" w:rsidRDefault="007B71C0" w:rsidP="001E51CD">
      <w:pPr>
        <w:spacing w:line="480" w:lineRule="auto"/>
        <w:rPr>
          <w:rFonts w:ascii="Arial" w:hAnsi="Arial"/>
        </w:rPr>
      </w:pPr>
      <w:r>
        <w:rPr>
          <w:rFonts w:ascii="Arial" w:hAnsi="Arial"/>
        </w:rPr>
        <w:t>These rules are different in specialist courts in the High Court. The specific Court Guide must be consulted.</w:t>
      </w:r>
    </w:p>
    <w:p w14:paraId="196E3E6F" w14:textId="77777777" w:rsidR="00A93D47" w:rsidRDefault="00A93D47">
      <w:pPr>
        <w:pStyle w:val="PlainText"/>
        <w:rPr>
          <w:rFonts w:ascii="Arial" w:hAnsi="Arial"/>
        </w:rPr>
      </w:pPr>
    </w:p>
    <w:sectPr w:rsidR="00A93D47">
      <w:headerReference w:type="even" r:id="rId7"/>
      <w:headerReference w:type="default" r:id="rId8"/>
      <w:footerReference w:type="even" r:id="rId9"/>
      <w:footerReference w:type="default" r:id="rId10"/>
      <w:headerReference w:type="first" r:id="rId11"/>
      <w:footerReference w:type="first" r:id="rId12"/>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C52B" w14:textId="77777777" w:rsidR="00E1793B" w:rsidRDefault="00E1793B">
      <w:r>
        <w:separator/>
      </w:r>
    </w:p>
  </w:endnote>
  <w:endnote w:type="continuationSeparator" w:id="0">
    <w:p w14:paraId="7929E7C4" w14:textId="77777777" w:rsidR="00E1793B" w:rsidRDefault="00E1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64CA" w14:textId="77777777" w:rsidR="004D632B" w:rsidRDefault="004D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CCBE" w14:textId="77777777" w:rsidR="00A351EA" w:rsidRDefault="006913E6" w:rsidP="00A351EA">
    <w:pPr>
      <w:pStyle w:val="Footer"/>
      <w:pBdr>
        <w:top w:val="single" w:sz="4" w:space="1" w:color="808080"/>
      </w:pBdr>
      <w:jc w:val="right"/>
      <w:rPr>
        <w:rFonts w:ascii="OUP Swift" w:hAnsi="OUP Swift"/>
        <w:color w:val="808080"/>
      </w:rPr>
    </w:pPr>
    <w:r w:rsidRPr="00ED5D2E">
      <w:rPr>
        <w:rFonts w:ascii="OUP Swift" w:hAnsi="OUP Swift"/>
        <w:noProof/>
        <w:color w:val="808080"/>
      </w:rPr>
      <w:drawing>
        <wp:inline distT="0" distB="0" distL="0" distR="0" wp14:anchorId="6DEEE140" wp14:editId="0044447F">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100B4CA0" w14:textId="65B9CF46" w:rsidR="00122D08" w:rsidRPr="00A351EA" w:rsidRDefault="00A351EA" w:rsidP="00A351EA">
    <w:pPr>
      <w:pStyle w:val="Footer"/>
      <w:rPr>
        <w:rFonts w:ascii="Arial" w:hAnsi="Arial"/>
        <w:color w:val="808080"/>
      </w:rPr>
    </w:pPr>
    <w:r>
      <w:rPr>
        <w:rFonts w:ascii="Arial" w:hAnsi="Arial"/>
        <w:color w:val="808080"/>
      </w:rPr>
      <w:t>© Oxford University Press, 20</w:t>
    </w:r>
    <w:r w:rsidR="006913E6">
      <w:rPr>
        <w:rFonts w:ascii="Arial" w:hAnsi="Arial"/>
        <w:color w:val="808080"/>
      </w:rPr>
      <w:t>2</w:t>
    </w:r>
    <w:r w:rsidR="0002353E">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5D1" w14:textId="77777777" w:rsidR="004D632B" w:rsidRDefault="004D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15C2" w14:textId="77777777" w:rsidR="00E1793B" w:rsidRDefault="00E1793B">
      <w:r>
        <w:separator/>
      </w:r>
    </w:p>
  </w:footnote>
  <w:footnote w:type="continuationSeparator" w:id="0">
    <w:p w14:paraId="11AEE047" w14:textId="77777777" w:rsidR="00E1793B" w:rsidRDefault="00E1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034B" w14:textId="77777777" w:rsidR="004D632B" w:rsidRDefault="004D6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F73B" w14:textId="58CA58B4" w:rsidR="00A779A2" w:rsidRDefault="006913E6">
    <w:pPr>
      <w:pStyle w:val="Header"/>
      <w:pBdr>
        <w:bottom w:val="single" w:sz="4" w:space="1" w:color="808080"/>
      </w:pBdr>
      <w:jc w:val="center"/>
      <w:rPr>
        <w:rFonts w:ascii="Arial" w:hAnsi="Arial"/>
        <w:color w:val="808080"/>
      </w:rPr>
    </w:pPr>
    <w:r w:rsidRPr="00D476F9">
      <w:rPr>
        <w:rFonts w:ascii="Arial" w:hAnsi="Arial" w:cs="Arial"/>
        <w:color w:val="7F7F7F" w:themeColor="text1" w:themeTint="80"/>
      </w:rPr>
      <w:t>Macgregor, Peacey &amp; Ridsdale</w:t>
    </w:r>
    <w:r w:rsidR="00A779A2">
      <w:rPr>
        <w:rFonts w:ascii="Arial" w:hAnsi="Arial"/>
        <w:color w:val="808080"/>
      </w:rPr>
      <w:t xml:space="preserve">: </w:t>
    </w:r>
    <w:r w:rsidR="00A779A2" w:rsidRPr="004F65CC">
      <w:rPr>
        <w:rFonts w:ascii="Arial" w:hAnsi="Arial"/>
        <w:i/>
        <w:color w:val="808080"/>
      </w:rPr>
      <w:t xml:space="preserve">Civil Litigation </w:t>
    </w:r>
    <w:r w:rsidR="0002353E">
      <w:rPr>
        <w:rFonts w:ascii="Arial" w:hAnsi="Arial"/>
        <w:color w:val="808080"/>
      </w:rPr>
      <w:t>15e</w:t>
    </w:r>
  </w:p>
  <w:p w14:paraId="1F184610" w14:textId="77777777" w:rsidR="00B164DB" w:rsidRDefault="00A93D47">
    <w:pPr>
      <w:pStyle w:val="Header"/>
      <w:pBdr>
        <w:bottom w:val="single" w:sz="4" w:space="1" w:color="808080"/>
      </w:pBdr>
      <w:jc w:val="center"/>
      <w:rPr>
        <w:rFonts w:ascii="Arial" w:hAnsi="Arial"/>
        <w:color w:val="808080"/>
      </w:rPr>
    </w:pPr>
    <w:r>
      <w:rPr>
        <w:rFonts w:ascii="Arial" w:hAnsi="Arial"/>
        <w:color w:val="808080"/>
      </w:rPr>
      <w:t>Chapter 10</w:t>
    </w:r>
    <w:r w:rsidR="00B164DB">
      <w:rPr>
        <w:rFonts w:ascii="Arial" w:hAnsi="Arial"/>
        <w:color w:val="808080"/>
      </w:rPr>
      <w:t xml:space="preserve">: </w:t>
    </w:r>
    <w:r w:rsidR="00BD02DB" w:rsidRPr="00BD02DB">
      <w:rPr>
        <w:rFonts w:ascii="Arial" w:hAnsi="Arial"/>
        <w:color w:val="808080"/>
      </w:rPr>
      <w:t>Defending a claim</w:t>
    </w:r>
  </w:p>
  <w:p w14:paraId="0144A40E" w14:textId="77777777" w:rsidR="00122D08" w:rsidRDefault="00122D08">
    <w:pPr>
      <w:pStyle w:val="Header"/>
      <w:pBdr>
        <w:bottom w:val="single" w:sz="4" w:space="1" w:color="808080"/>
      </w:pBdr>
      <w:jc w:val="center"/>
      <w:rPr>
        <w:rFonts w:ascii="Arial" w:hAnsi="Arial"/>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3939" w14:textId="77777777" w:rsidR="004D632B" w:rsidRDefault="004D6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AFF"/>
    <w:multiLevelType w:val="hybridMultilevel"/>
    <w:tmpl w:val="7E3C418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02139"/>
    <w:multiLevelType w:val="hybridMultilevel"/>
    <w:tmpl w:val="773834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619F6"/>
    <w:multiLevelType w:val="hybridMultilevel"/>
    <w:tmpl w:val="9AD0C594"/>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34510DD"/>
    <w:multiLevelType w:val="hybridMultilevel"/>
    <w:tmpl w:val="3134F61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732308"/>
    <w:multiLevelType w:val="hybridMultilevel"/>
    <w:tmpl w:val="4D1C7E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167446"/>
    <w:multiLevelType w:val="hybridMultilevel"/>
    <w:tmpl w:val="8BE0A59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DD6011"/>
    <w:multiLevelType w:val="hybridMultilevel"/>
    <w:tmpl w:val="5C488D42"/>
    <w:lvl w:ilvl="0" w:tplc="08090005">
      <w:start w:val="1"/>
      <w:numFmt w:val="bullet"/>
      <w:lvlText w:val=""/>
      <w:lvlJc w:val="left"/>
      <w:pPr>
        <w:tabs>
          <w:tab w:val="num" w:pos="849"/>
        </w:tabs>
        <w:ind w:left="849" w:hanging="360"/>
      </w:pPr>
      <w:rPr>
        <w:rFonts w:ascii="Wingdings" w:hAnsi="Wingdings" w:hint="default"/>
      </w:rPr>
    </w:lvl>
    <w:lvl w:ilvl="1" w:tplc="08090003" w:tentative="1">
      <w:start w:val="1"/>
      <w:numFmt w:val="bullet"/>
      <w:lvlText w:val="o"/>
      <w:lvlJc w:val="left"/>
      <w:pPr>
        <w:tabs>
          <w:tab w:val="num" w:pos="1569"/>
        </w:tabs>
        <w:ind w:left="1569" w:hanging="360"/>
      </w:pPr>
      <w:rPr>
        <w:rFonts w:ascii="Courier New" w:hAnsi="Courier New" w:cs="Courier New" w:hint="default"/>
      </w:rPr>
    </w:lvl>
    <w:lvl w:ilvl="2" w:tplc="08090005" w:tentative="1">
      <w:start w:val="1"/>
      <w:numFmt w:val="bullet"/>
      <w:lvlText w:val=""/>
      <w:lvlJc w:val="left"/>
      <w:pPr>
        <w:tabs>
          <w:tab w:val="num" w:pos="2289"/>
        </w:tabs>
        <w:ind w:left="2289" w:hanging="360"/>
      </w:pPr>
      <w:rPr>
        <w:rFonts w:ascii="Wingdings" w:hAnsi="Wingdings" w:hint="default"/>
      </w:rPr>
    </w:lvl>
    <w:lvl w:ilvl="3" w:tplc="08090001" w:tentative="1">
      <w:start w:val="1"/>
      <w:numFmt w:val="bullet"/>
      <w:lvlText w:val=""/>
      <w:lvlJc w:val="left"/>
      <w:pPr>
        <w:tabs>
          <w:tab w:val="num" w:pos="3009"/>
        </w:tabs>
        <w:ind w:left="3009" w:hanging="360"/>
      </w:pPr>
      <w:rPr>
        <w:rFonts w:ascii="Symbol" w:hAnsi="Symbol" w:hint="default"/>
      </w:rPr>
    </w:lvl>
    <w:lvl w:ilvl="4" w:tplc="08090003" w:tentative="1">
      <w:start w:val="1"/>
      <w:numFmt w:val="bullet"/>
      <w:lvlText w:val="o"/>
      <w:lvlJc w:val="left"/>
      <w:pPr>
        <w:tabs>
          <w:tab w:val="num" w:pos="3729"/>
        </w:tabs>
        <w:ind w:left="3729" w:hanging="360"/>
      </w:pPr>
      <w:rPr>
        <w:rFonts w:ascii="Courier New" w:hAnsi="Courier New" w:cs="Courier New" w:hint="default"/>
      </w:rPr>
    </w:lvl>
    <w:lvl w:ilvl="5" w:tplc="08090005" w:tentative="1">
      <w:start w:val="1"/>
      <w:numFmt w:val="bullet"/>
      <w:lvlText w:val=""/>
      <w:lvlJc w:val="left"/>
      <w:pPr>
        <w:tabs>
          <w:tab w:val="num" w:pos="4449"/>
        </w:tabs>
        <w:ind w:left="4449" w:hanging="360"/>
      </w:pPr>
      <w:rPr>
        <w:rFonts w:ascii="Wingdings" w:hAnsi="Wingdings" w:hint="default"/>
      </w:rPr>
    </w:lvl>
    <w:lvl w:ilvl="6" w:tplc="08090001" w:tentative="1">
      <w:start w:val="1"/>
      <w:numFmt w:val="bullet"/>
      <w:lvlText w:val=""/>
      <w:lvlJc w:val="left"/>
      <w:pPr>
        <w:tabs>
          <w:tab w:val="num" w:pos="5169"/>
        </w:tabs>
        <w:ind w:left="5169" w:hanging="360"/>
      </w:pPr>
      <w:rPr>
        <w:rFonts w:ascii="Symbol" w:hAnsi="Symbol" w:hint="default"/>
      </w:rPr>
    </w:lvl>
    <w:lvl w:ilvl="7" w:tplc="08090003" w:tentative="1">
      <w:start w:val="1"/>
      <w:numFmt w:val="bullet"/>
      <w:lvlText w:val="o"/>
      <w:lvlJc w:val="left"/>
      <w:pPr>
        <w:tabs>
          <w:tab w:val="num" w:pos="5889"/>
        </w:tabs>
        <w:ind w:left="5889" w:hanging="360"/>
      </w:pPr>
      <w:rPr>
        <w:rFonts w:ascii="Courier New" w:hAnsi="Courier New" w:cs="Courier New" w:hint="default"/>
      </w:rPr>
    </w:lvl>
    <w:lvl w:ilvl="8" w:tplc="08090005" w:tentative="1">
      <w:start w:val="1"/>
      <w:numFmt w:val="bullet"/>
      <w:lvlText w:val=""/>
      <w:lvlJc w:val="left"/>
      <w:pPr>
        <w:tabs>
          <w:tab w:val="num" w:pos="6609"/>
        </w:tabs>
        <w:ind w:left="6609" w:hanging="360"/>
      </w:pPr>
      <w:rPr>
        <w:rFonts w:ascii="Wingdings" w:hAnsi="Wingdings" w:hint="default"/>
      </w:rPr>
    </w:lvl>
  </w:abstractNum>
  <w:abstractNum w:abstractNumId="7" w15:restartNumberingAfterBreak="0">
    <w:nsid w:val="785404D2"/>
    <w:multiLevelType w:val="hybridMultilevel"/>
    <w:tmpl w:val="3C9452FA"/>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8852F7"/>
    <w:multiLevelType w:val="hybridMultilevel"/>
    <w:tmpl w:val="2CB455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008D6"/>
    <w:rsid w:val="0002353E"/>
    <w:rsid w:val="000461B4"/>
    <w:rsid w:val="00090085"/>
    <w:rsid w:val="000A7DE5"/>
    <w:rsid w:val="000D5074"/>
    <w:rsid w:val="00105786"/>
    <w:rsid w:val="00122D08"/>
    <w:rsid w:val="00184D1A"/>
    <w:rsid w:val="00190C49"/>
    <w:rsid w:val="001D4011"/>
    <w:rsid w:val="001E51CD"/>
    <w:rsid w:val="00221062"/>
    <w:rsid w:val="00232F9A"/>
    <w:rsid w:val="00273494"/>
    <w:rsid w:val="002A638F"/>
    <w:rsid w:val="002C6487"/>
    <w:rsid w:val="002E62DE"/>
    <w:rsid w:val="00312639"/>
    <w:rsid w:val="00312BBD"/>
    <w:rsid w:val="00354D1A"/>
    <w:rsid w:val="0036207E"/>
    <w:rsid w:val="0038166B"/>
    <w:rsid w:val="003B70F8"/>
    <w:rsid w:val="004B1A2E"/>
    <w:rsid w:val="004D58D6"/>
    <w:rsid w:val="004D632B"/>
    <w:rsid w:val="004F65CC"/>
    <w:rsid w:val="005303F6"/>
    <w:rsid w:val="00585466"/>
    <w:rsid w:val="005A461F"/>
    <w:rsid w:val="005D1D16"/>
    <w:rsid w:val="005E50B1"/>
    <w:rsid w:val="00623776"/>
    <w:rsid w:val="00647453"/>
    <w:rsid w:val="006722A3"/>
    <w:rsid w:val="006913E6"/>
    <w:rsid w:val="006E0AF0"/>
    <w:rsid w:val="006E70CB"/>
    <w:rsid w:val="00760A4B"/>
    <w:rsid w:val="00794BDE"/>
    <w:rsid w:val="007B71C0"/>
    <w:rsid w:val="007C3AE7"/>
    <w:rsid w:val="007E6160"/>
    <w:rsid w:val="007F35A7"/>
    <w:rsid w:val="00837CFE"/>
    <w:rsid w:val="00840A6B"/>
    <w:rsid w:val="00890752"/>
    <w:rsid w:val="008F035B"/>
    <w:rsid w:val="00906634"/>
    <w:rsid w:val="00947AFF"/>
    <w:rsid w:val="00954313"/>
    <w:rsid w:val="00955542"/>
    <w:rsid w:val="009E4693"/>
    <w:rsid w:val="00A2298F"/>
    <w:rsid w:val="00A351EA"/>
    <w:rsid w:val="00A779A2"/>
    <w:rsid w:val="00A93D47"/>
    <w:rsid w:val="00A95887"/>
    <w:rsid w:val="00AF69E6"/>
    <w:rsid w:val="00B02908"/>
    <w:rsid w:val="00B164DB"/>
    <w:rsid w:val="00B43F9D"/>
    <w:rsid w:val="00B51BAF"/>
    <w:rsid w:val="00B91F48"/>
    <w:rsid w:val="00BD02DB"/>
    <w:rsid w:val="00CA6708"/>
    <w:rsid w:val="00CF07CB"/>
    <w:rsid w:val="00D00758"/>
    <w:rsid w:val="00D114C8"/>
    <w:rsid w:val="00D30597"/>
    <w:rsid w:val="00D36C39"/>
    <w:rsid w:val="00D476F9"/>
    <w:rsid w:val="00D84943"/>
    <w:rsid w:val="00DF1DDE"/>
    <w:rsid w:val="00E11B19"/>
    <w:rsid w:val="00E1793B"/>
    <w:rsid w:val="00E71374"/>
    <w:rsid w:val="00EA68C7"/>
    <w:rsid w:val="00ED1640"/>
    <w:rsid w:val="00ED6B1C"/>
    <w:rsid w:val="00EE133E"/>
    <w:rsid w:val="00F27DF6"/>
    <w:rsid w:val="00FA0559"/>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024FD"/>
  <w15:chartTrackingRefBased/>
  <w15:docId w15:val="{387A1116-F9AB-4292-8179-FC97E5B2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776"/>
    <w:rPr>
      <w:sz w:val="24"/>
      <w:szCs w:val="24"/>
    </w:rPr>
  </w:style>
  <w:style w:type="paragraph" w:styleId="Heading3">
    <w:name w:val="heading 3"/>
    <w:basedOn w:val="Normal"/>
    <w:next w:val="Normal"/>
    <w:link w:val="Heading3Char"/>
    <w:qFormat/>
    <w:rsid w:val="0062377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link w:val="Heading3"/>
    <w:rsid w:val="00623776"/>
    <w:rPr>
      <w:rFonts w:ascii="Arial" w:hAnsi="Arial" w:cs="Arial"/>
      <w:b/>
      <w:bCs/>
      <w:sz w:val="26"/>
      <w:szCs w:val="26"/>
      <w:lang w:val="en-GB" w:eastAsia="en-GB" w:bidi="ar-SA"/>
    </w:rPr>
  </w:style>
  <w:style w:type="paragraph" w:styleId="BodyText">
    <w:name w:val="Body Text"/>
    <w:basedOn w:val="Normal"/>
    <w:rsid w:val="00623776"/>
    <w:pPr>
      <w:tabs>
        <w:tab w:val="left" w:pos="-3119"/>
        <w:tab w:val="left" w:pos="-720"/>
        <w:tab w:val="right" w:pos="6379"/>
      </w:tabs>
      <w:suppressAutoHyphens/>
      <w:jc w:val="both"/>
    </w:pPr>
    <w:rPr>
      <w:spacing w:val="-3"/>
      <w:szCs w:val="20"/>
      <w:lang w:eastAsia="en-US"/>
    </w:rPr>
  </w:style>
  <w:style w:type="character" w:styleId="Strong">
    <w:name w:val="Strong"/>
    <w:qFormat/>
    <w:rsid w:val="00EA68C7"/>
    <w:rPr>
      <w:b/>
      <w:bCs/>
    </w:rPr>
  </w:style>
  <w:style w:type="paragraph" w:styleId="NormalWeb">
    <w:name w:val="Normal (Web)"/>
    <w:basedOn w:val="Normal"/>
    <w:rsid w:val="00EA68C7"/>
    <w:pPr>
      <w:spacing w:before="100" w:beforeAutospacing="1" w:after="100" w:afterAutospacing="1"/>
    </w:pPr>
  </w:style>
  <w:style w:type="paragraph" w:styleId="BalloonText">
    <w:name w:val="Balloon Text"/>
    <w:basedOn w:val="Normal"/>
    <w:semiHidden/>
    <w:rsid w:val="00BD0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subject/>
  <dc:creator>CheyneS</dc:creator>
  <cp:keywords/>
  <cp:lastModifiedBy>MERRICK, Hayden</cp:lastModifiedBy>
  <cp:revision>3</cp:revision>
  <cp:lastPrinted>2018-06-08T09:49:00Z</cp:lastPrinted>
  <dcterms:created xsi:type="dcterms:W3CDTF">2022-04-05T11:27:00Z</dcterms:created>
  <dcterms:modified xsi:type="dcterms:W3CDTF">2022-04-19T10:19:00Z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2021-05-18T08:57:36Z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54133ec1-865c-4410-838d-00000310e793</vt:lpwstr>
  </property>
  <property fmtid="{D5CDD505-2E9C-101B-9397-08002B2CF9AE}" pid="8" name="MSIP_Label_be5cb09a-2992-49d6-8ac9-5f63e7b1ad2f_ContentBits">
    <vt:lpwstr>0</vt:lpwstr>
  </property>
</Properties>
</file>