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C363" w14:textId="77777777" w:rsidR="00E67F29" w:rsidRDefault="00E67F29">
      <w:pPr>
        <w:pStyle w:val="CN"/>
        <w:pageBreakBefore/>
        <w:spacing w:line="480" w:lineRule="auto"/>
        <w:rPr>
          <w:rFonts w:ascii="Times New Roman" w:hAnsi="Times New Roman"/>
          <w:b/>
          <w:bCs/>
          <w:color w:val="auto"/>
          <w:sz w:val="24"/>
          <w:szCs w:val="24"/>
        </w:rPr>
      </w:pPr>
      <w:r>
        <w:rPr>
          <w:rFonts w:ascii="Times New Roman" w:hAnsi="Times New Roman"/>
          <w:b/>
          <w:bCs/>
          <w:color w:val="auto"/>
          <w:sz w:val="24"/>
          <w:szCs w:val="24"/>
        </w:rPr>
        <w:t>W1</w:t>
      </w:r>
    </w:p>
    <w:p w14:paraId="18BDA05B" w14:textId="77777777" w:rsidR="00E67F29" w:rsidRDefault="00E67F29" w:rsidP="004E0801">
      <w:pPr>
        <w:pStyle w:val="CT"/>
        <w:spacing w:line="480" w:lineRule="auto"/>
      </w:pPr>
      <w:r>
        <w:rPr>
          <w:rFonts w:ascii="Times New Roman" w:hAnsi="Times New Roman"/>
          <w:b/>
          <w:bCs/>
          <w:color w:val="auto"/>
          <w:sz w:val="24"/>
          <w:szCs w:val="24"/>
        </w:rPr>
        <w:t>Incapacity</w:t>
      </w:r>
    </w:p>
    <w:p w14:paraId="3DBD9268" w14:textId="654F311E" w:rsidR="00E67F29" w:rsidRDefault="000D68C6" w:rsidP="004E0801">
      <w:pPr>
        <w:pStyle w:val="FT1Head"/>
        <w:pageBreakBefore w:val="0"/>
        <w:tabs>
          <w:tab w:val="left" w:pos="20"/>
        </w:tabs>
        <w:spacing w:line="480" w:lineRule="auto"/>
      </w:pPr>
      <w:r>
        <w:rPr>
          <w:rFonts w:ascii="Times New Roman" w:hAnsi="Times New Roman"/>
          <w:b/>
          <w:bCs/>
          <w:noProof/>
          <w:color w:val="auto"/>
          <w:spacing w:val="0"/>
          <w:lang w:eastAsia="en-GB"/>
        </w:rPr>
        <mc:AlternateContent>
          <mc:Choice Requires="wps">
            <w:drawing>
              <wp:inline distT="0" distB="0" distL="0" distR="0" wp14:anchorId="2C460423" wp14:editId="2B7291C6">
                <wp:extent cx="6626860" cy="805180"/>
                <wp:effectExtent l="9525" t="14605"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80518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2A6B18" w14:textId="77777777" w:rsidR="00B605B7" w:rsidRDefault="00B605B7" w:rsidP="00B605B7">
                            <w:pPr>
                              <w:rPr>
                                <w:rFonts w:ascii="Times New Roman" w:hAnsi="Times New Roman" w:cs="Times New Roman"/>
                                <w:b/>
                                <w:sz w:val="24"/>
                                <w:szCs w:val="24"/>
                              </w:rPr>
                            </w:pPr>
                            <w:r w:rsidRPr="004E0801">
                              <w:rPr>
                                <w:rFonts w:ascii="Times New Roman" w:hAnsi="Times New Roman" w:cs="Times New Roman"/>
                                <w:b/>
                                <w:sz w:val="24"/>
                                <w:szCs w:val="24"/>
                              </w:rPr>
                              <w:t>SUMMARY</w:t>
                            </w:r>
                          </w:p>
                          <w:p w14:paraId="725B3023" w14:textId="77777777" w:rsidR="00B605B7" w:rsidRPr="004E0801" w:rsidRDefault="00B605B7" w:rsidP="00B605B7">
                            <w:pPr>
                              <w:rPr>
                                <w:rFonts w:ascii="Times New Roman" w:hAnsi="Times New Roman" w:cs="Times New Roman"/>
                                <w:b/>
                                <w:sz w:val="24"/>
                                <w:szCs w:val="24"/>
                              </w:rPr>
                            </w:pPr>
                          </w:p>
                          <w:p w14:paraId="2F52A64D" w14:textId="77777777" w:rsidR="00B605B7" w:rsidRPr="004E0801" w:rsidRDefault="00B605B7" w:rsidP="00B605B7">
                            <w:pPr>
                              <w:rPr>
                                <w:rFonts w:ascii="Times New Roman" w:hAnsi="Times New Roman" w:cs="Times New Roman"/>
                                <w:sz w:val="24"/>
                              </w:rPr>
                            </w:pPr>
                            <w:r w:rsidRPr="004E0801">
                              <w:rPr>
                                <w:rFonts w:ascii="Times New Roman" w:hAnsi="Times New Roman" w:cs="Times New Roman"/>
                                <w:sz w:val="24"/>
                              </w:rPr>
                              <w:t>This chapter considers how the law deals with contracting parties who lack capacity, or full capacity, to contract: minors, those who lack mental capacity, companies and public authorities.</w:t>
                            </w:r>
                          </w:p>
                        </w:txbxContent>
                      </wps:txbx>
                      <wps:bodyPr rot="0" vert="horz" wrap="square" lIns="91440" tIns="45720" rIns="91440" bIns="45720" anchor="t" anchorCtr="0" upright="1">
                        <a:spAutoFit/>
                      </wps:bodyPr>
                    </wps:wsp>
                  </a:graphicData>
                </a:graphic>
              </wp:inline>
            </w:drawing>
          </mc:Choice>
          <mc:Fallback>
            <w:pict>
              <v:shapetype w14:anchorId="2C460423" id="_x0000_t202" coordsize="21600,21600" o:spt="202" path="m,l,21600r21600,l21600,xe">
                <v:stroke joinstyle="miter"/>
                <v:path gradientshapeok="t" o:connecttype="rect"/>
              </v:shapetype>
              <v:shape id="Text Box 2" o:spid="_x0000_s1026" type="#_x0000_t202" style="width:521.8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" strokecolor="#8064a2" strokeweight="1pt">
                <v:stroke dashstyle="dash"/>
                <v:shadow color="#868686"/>
                <v:textbox style="mso-fit-shape-to-text:t">
                  <w:txbxContent>
                    <w:p w14:paraId="2C2A6B18" w14:textId="77777777" w:rsidR="00B605B7" w:rsidRDefault="00B605B7" w:rsidP="00B605B7">
                      <w:pPr>
                        <w:rPr>
                          <w:rFonts w:ascii="Times New Roman" w:hAnsi="Times New Roman" w:cs="Times New Roman"/>
                          <w:b/>
                          <w:sz w:val="24"/>
                          <w:szCs w:val="24"/>
                        </w:rPr>
                      </w:pPr>
                      <w:r w:rsidRPr="004E0801">
                        <w:rPr>
                          <w:rFonts w:ascii="Times New Roman" w:hAnsi="Times New Roman" w:cs="Times New Roman"/>
                          <w:b/>
                          <w:sz w:val="24"/>
                          <w:szCs w:val="24"/>
                        </w:rPr>
                        <w:t>SUMMARY</w:t>
                      </w:r>
                    </w:p>
                    <w:p w14:paraId="725B3023" w14:textId="77777777" w:rsidR="00B605B7" w:rsidRPr="004E0801" w:rsidRDefault="00B605B7" w:rsidP="00B605B7">
                      <w:pPr>
                        <w:rPr>
                          <w:rFonts w:ascii="Times New Roman" w:hAnsi="Times New Roman" w:cs="Times New Roman"/>
                          <w:b/>
                          <w:sz w:val="24"/>
                          <w:szCs w:val="24"/>
                        </w:rPr>
                      </w:pPr>
                    </w:p>
                    <w:p w14:paraId="2F52A64D" w14:textId="77777777" w:rsidR="00B605B7" w:rsidRPr="004E0801" w:rsidRDefault="00B605B7" w:rsidP="00B605B7">
                      <w:pPr>
                        <w:rPr>
                          <w:rFonts w:ascii="Times New Roman" w:hAnsi="Times New Roman" w:cs="Times New Roman"/>
                          <w:sz w:val="24"/>
                        </w:rPr>
                      </w:pPr>
                      <w:r w:rsidRPr="004E0801">
                        <w:rPr>
                          <w:rFonts w:ascii="Times New Roman" w:hAnsi="Times New Roman" w:cs="Times New Roman"/>
                          <w:sz w:val="24"/>
                        </w:rPr>
                        <w:t>This chapter considers how the law deals with contracting parties who lack capacity, or full capacity, to contract: minors, those who lack mental capacity, companies and public authorities.</w:t>
                      </w:r>
                    </w:p>
                  </w:txbxContent>
                </v:textbox>
                <w10:anchorlock/>
              </v:shape>
            </w:pict>
          </mc:Fallback>
        </mc:AlternateContent>
      </w:r>
    </w:p>
    <w:p w14:paraId="2CA68755" w14:textId="77777777" w:rsidR="00E67F29" w:rsidRDefault="00E67F29">
      <w:pPr>
        <w:pStyle w:val="Text"/>
        <w:rPr>
          <w:rFonts w:ascii="Times New Roman" w:hAnsi="Times New Roman"/>
        </w:rPr>
      </w:pPr>
      <w:r>
        <w:rPr>
          <w:rFonts w:ascii="Times New Roman" w:hAnsi="Times New Roman"/>
          <w:b/>
          <w:bCs/>
        </w:rPr>
        <w:t>W1.1</w:t>
      </w:r>
      <w:r>
        <w:rPr>
          <w:rFonts w:ascii="Times New Roman" w:hAnsi="Times New Roman"/>
          <w:b/>
          <w:bCs/>
        </w:rPr>
        <w:tab/>
      </w:r>
      <w:r>
        <w:rPr>
          <w:rFonts w:ascii="Times New Roman" w:hAnsi="Times New Roman"/>
        </w:rPr>
        <w:t>This chapter concerns the law’s approach to parties who do not have full capacity to contract. An adult of sound mind is free to make any contract permitted by law and, more to the point, to bind himself by incurring enforceable contractual obligations, but others have more limited capacity. There are different reasons for limiting contractual capacity. Infants and people with mental infirmity lack the capacity to contract in certain circumstances, because the law recognises them as particularly vulnerable and deserving of protection. Non-natural persons, such as companies and public authorities, are legal fictions and only have ‘capacity’ to contract (or indeed to do anything) insofar as the law chooses to recognise it. But whatever its rationale, the law’s response to incapacity always involves a delicate balance between the interests of those of limited capacity and of those who contract with them in good faith.</w:t>
      </w:r>
    </w:p>
    <w:p w14:paraId="0BA2A2C5" w14:textId="77777777" w:rsidR="00E67F29" w:rsidRDefault="00E67F29">
      <w:pPr>
        <w:pStyle w:val="AHead"/>
        <w:spacing w:line="480" w:lineRule="auto"/>
        <w:ind w:right="700"/>
        <w:rPr>
          <w:rFonts w:ascii="Times New Roman" w:hAnsi="Times New Roman"/>
          <w:b/>
          <w:color w:val="auto"/>
          <w:spacing w:val="0"/>
          <w:sz w:val="24"/>
          <w:szCs w:val="24"/>
        </w:rPr>
      </w:pPr>
      <w:r>
        <w:rPr>
          <w:rFonts w:ascii="Times New Roman" w:hAnsi="Times New Roman"/>
          <w:b/>
          <w:color w:val="auto"/>
          <w:spacing w:val="0"/>
          <w:sz w:val="24"/>
          <w:szCs w:val="24"/>
        </w:rPr>
        <w:t>Minors</w:t>
      </w:r>
    </w:p>
    <w:p w14:paraId="794B1FB4" w14:textId="77777777" w:rsidR="00E67F29" w:rsidRDefault="00E67F29">
      <w:pPr>
        <w:pStyle w:val="Text"/>
        <w:rPr>
          <w:rFonts w:ascii="Times New Roman" w:hAnsi="Times New Roman"/>
        </w:rPr>
      </w:pPr>
      <w:r>
        <w:rPr>
          <w:rFonts w:ascii="Times New Roman" w:hAnsi="Times New Roman"/>
          <w:b/>
          <w:bCs/>
        </w:rPr>
        <w:t>W1.2</w:t>
      </w:r>
      <w:r>
        <w:rPr>
          <w:rFonts w:ascii="Times New Roman" w:hAnsi="Times New Roman"/>
          <w:b/>
          <w:bCs/>
        </w:rPr>
        <w:tab/>
      </w:r>
      <w:r>
        <w:rPr>
          <w:rFonts w:ascii="Times New Roman" w:hAnsi="Times New Roman"/>
        </w:rPr>
        <w:t>The rules about the contractual capacity of minors are of less practical significance since the reduction in the age of majority from 21 to 18, but nonetheless raise some very interesting theoretical issues about the extent to which a minor can escape what appear to be ‘contractual’ obligations (there is, of course, no need to protect minors from acquiring contractual rights). Contracts made by minors fall into one of three categories.</w:t>
      </w:r>
    </w:p>
    <w:p w14:paraId="520C28D0" w14:textId="77777777" w:rsidR="00E67F29" w:rsidRDefault="00E67F29">
      <w:pPr>
        <w:pStyle w:val="TextInd"/>
        <w:rPr>
          <w:rFonts w:ascii="Times New Roman" w:hAnsi="Times New Roman"/>
          <w:b/>
          <w:color w:val="auto"/>
        </w:rPr>
      </w:pPr>
      <w:r>
        <w:rPr>
          <w:rFonts w:ascii="Times New Roman" w:hAnsi="Times New Roman"/>
          <w:b/>
          <w:bCs/>
        </w:rPr>
        <w:t>W1.3</w:t>
      </w:r>
      <w:r>
        <w:rPr>
          <w:rFonts w:ascii="Times New Roman" w:hAnsi="Times New Roman"/>
        </w:rPr>
        <w:tab/>
        <w:t>In the first category, certain contracts are enforceable against the minor, principally contracts for the ‘necessaries of life’ and, where beneficial to the minor, contracts of employment, apprenticeship</w:t>
      </w:r>
      <w:r w:rsidR="00471B11">
        <w:rPr>
          <w:rFonts w:ascii="Times New Roman" w:hAnsi="Times New Roman"/>
        </w:rPr>
        <w:t>,</w:t>
      </w:r>
      <w:r>
        <w:rPr>
          <w:rFonts w:ascii="Times New Roman" w:hAnsi="Times New Roman"/>
        </w:rPr>
        <w:t xml:space="preserve"> and </w:t>
      </w:r>
      <w:r>
        <w:rPr>
          <w:rFonts w:ascii="Times New Roman" w:hAnsi="Times New Roman"/>
        </w:rPr>
        <w:lastRenderedPageBreak/>
        <w:t xml:space="preserve">education. ‘Necessaries’ are defined in s 3 of the Sale of Goods Act as ‘goods suitable to the condition in life of the minor ... and to his actual requirements at the time of the sale and delivery’. </w:t>
      </w:r>
      <w:proofErr w:type="gramStart"/>
      <w:r>
        <w:rPr>
          <w:rFonts w:ascii="Times New Roman" w:hAnsi="Times New Roman"/>
        </w:rPr>
        <w:t>So</w:t>
      </w:r>
      <w:proofErr w:type="gramEnd"/>
      <w:r>
        <w:rPr>
          <w:rFonts w:ascii="Times New Roman" w:hAnsi="Times New Roman"/>
        </w:rPr>
        <w:t xml:space="preserve"> the court takes into account the type of goods and the minor’s circumstances. In </w:t>
      </w:r>
      <w:r>
        <w:rPr>
          <w:rFonts w:ascii="Times New Roman" w:hAnsi="Times New Roman"/>
          <w:i/>
          <w:iCs/>
        </w:rPr>
        <w:t xml:space="preserve">Nash v Inman </w:t>
      </w:r>
      <w:r>
        <w:rPr>
          <w:rFonts w:ascii="Times New Roman" w:hAnsi="Times New Roman"/>
        </w:rPr>
        <w:t xml:space="preserve">(1908) an under-graduate ordered 11 expensive waistcoats from a </w:t>
      </w:r>
      <w:proofErr w:type="gramStart"/>
      <w:r>
        <w:rPr>
          <w:rFonts w:ascii="Times New Roman" w:hAnsi="Times New Roman"/>
        </w:rPr>
        <w:t>tailor, but</w:t>
      </w:r>
      <w:proofErr w:type="gramEnd"/>
      <w:r>
        <w:rPr>
          <w:rFonts w:ascii="Times New Roman" w:hAnsi="Times New Roman"/>
        </w:rPr>
        <w:t xml:space="preserve"> did not pay for them. The tailor failed to convince the court that the waistcoats were necessary for the under-graduate’s status in life. (It is interesting to speculate whether a court would regard a mobile phone as one of life’s ‘necessaries’ in the twenty-first century!) In addition to contracts for the sale of goods, other contracts may also count as contracts for necessaries, provided they are beneficial and reasonably necessary, such as essential legal advice or medical care.</w:t>
      </w:r>
    </w:p>
    <w:p w14:paraId="3786871C" w14:textId="067A2FFE" w:rsidR="00E67F29" w:rsidRDefault="00E67F29">
      <w:pPr>
        <w:pStyle w:val="TextInd"/>
        <w:rPr>
          <w:rFonts w:ascii="Times New Roman" w:hAnsi="Times New Roman"/>
          <w:b/>
          <w:color w:val="auto"/>
        </w:rPr>
      </w:pPr>
      <w:r>
        <w:rPr>
          <w:rFonts w:ascii="Times New Roman" w:hAnsi="Times New Roman"/>
          <w:b/>
          <w:bCs/>
        </w:rPr>
        <w:t>W1.4</w:t>
      </w:r>
      <w:r>
        <w:rPr>
          <w:rFonts w:ascii="Times New Roman" w:hAnsi="Times New Roman"/>
          <w:b/>
          <w:bCs/>
        </w:rPr>
        <w:tab/>
      </w:r>
      <w:r>
        <w:rPr>
          <w:rFonts w:ascii="Times New Roman" w:hAnsi="Times New Roman"/>
        </w:rPr>
        <w:t xml:space="preserve">The meaning and scope of ‘contracts of employment, apprenticeship and education’ was considered by the court in </w:t>
      </w:r>
      <w:proofErr w:type="spellStart"/>
      <w:r>
        <w:rPr>
          <w:rFonts w:ascii="Times New Roman" w:hAnsi="Times New Roman"/>
          <w:i/>
          <w:iCs/>
        </w:rPr>
        <w:t>Proform</w:t>
      </w:r>
      <w:proofErr w:type="spellEnd"/>
      <w:r>
        <w:rPr>
          <w:rFonts w:ascii="Times New Roman" w:hAnsi="Times New Roman"/>
          <w:i/>
          <w:iCs/>
        </w:rPr>
        <w:t xml:space="preserve"> Sports Management Ltd v Proactive Sports Management Ltd </w:t>
      </w:r>
      <w:r>
        <w:rPr>
          <w:rFonts w:ascii="Times New Roman" w:hAnsi="Times New Roman"/>
        </w:rPr>
        <w:t>(2006). Wayne Rooney, the prodigious and world-famous footballer, entered into a representation agreement with the claimant company when he was only 15 years old and an apprentice at Everton FC. Rooney later met the defendant management company, pulled out of the agreement with the claimant and contracted with the defendant instead. The claimant sued the defendant for damages in tort, alleging that it was liable for inducing Rooney to breach his contract with the claimant. This action had no prospect of success, unless that contract had been enforceable against Rooney (because it is not tortious to procure the ‘breach’ of a</w:t>
      </w:r>
      <w:r w:rsidR="0099377C">
        <w:rPr>
          <w:rFonts w:ascii="Times New Roman" w:hAnsi="Times New Roman"/>
        </w:rPr>
        <w:t>n</w:t>
      </w:r>
      <w:r>
        <w:rPr>
          <w:rFonts w:ascii="Times New Roman" w:hAnsi="Times New Roman"/>
        </w:rPr>
        <w:t xml:space="preserve"> </w:t>
      </w:r>
      <w:r w:rsidR="0099377C">
        <w:rPr>
          <w:rFonts w:ascii="Times New Roman" w:hAnsi="Times New Roman"/>
        </w:rPr>
        <w:t>unenforceabl</w:t>
      </w:r>
      <w:r>
        <w:rPr>
          <w:rFonts w:ascii="Times New Roman" w:hAnsi="Times New Roman"/>
        </w:rPr>
        <w:t xml:space="preserve">e contract). The judge held that the representation agreement was </w:t>
      </w:r>
      <w:r>
        <w:rPr>
          <w:rFonts w:ascii="Times New Roman" w:hAnsi="Times New Roman"/>
          <w:i/>
          <w:iCs/>
        </w:rPr>
        <w:t xml:space="preserve">not </w:t>
      </w:r>
      <w:r>
        <w:rPr>
          <w:rFonts w:ascii="Times New Roman" w:hAnsi="Times New Roman"/>
        </w:rPr>
        <w:t>analogous to a contract of employment, apprenticeship</w:t>
      </w:r>
      <w:r w:rsidR="00471B11">
        <w:rPr>
          <w:rFonts w:ascii="Times New Roman" w:hAnsi="Times New Roman"/>
        </w:rPr>
        <w:t>,</w:t>
      </w:r>
      <w:r>
        <w:rPr>
          <w:rFonts w:ascii="Times New Roman" w:hAnsi="Times New Roman"/>
        </w:rPr>
        <w:t xml:space="preserve"> or education (unlike Rooney’s contract with Everton FC), concluding</w:t>
      </w:r>
      <w:r w:rsidR="00471B11">
        <w:rPr>
          <w:rFonts w:ascii="Times New Roman" w:hAnsi="Times New Roman"/>
        </w:rPr>
        <w:t>,</w:t>
      </w:r>
      <w:r>
        <w:rPr>
          <w:rFonts w:ascii="Times New Roman" w:hAnsi="Times New Roman"/>
        </w:rPr>
        <w:t xml:space="preserve"> ‘It seems to me that this case falls within the general principle that merely because a contract is beneficial to a minor, if such is the case, it is not binding on him unless it falls within a particular category.’ Consequently, the claimant’s action had no reasonable prospect of success and the judge gave summary judgment to the defendant.</w:t>
      </w:r>
    </w:p>
    <w:p w14:paraId="5D489645" w14:textId="77777777" w:rsidR="00E406B5" w:rsidRDefault="00E67F29">
      <w:pPr>
        <w:pStyle w:val="TextInd"/>
        <w:rPr>
          <w:rFonts w:ascii="Times New Roman" w:hAnsi="Times New Roman"/>
        </w:rPr>
      </w:pPr>
      <w:r>
        <w:rPr>
          <w:rFonts w:ascii="Times New Roman" w:hAnsi="Times New Roman"/>
          <w:b/>
          <w:bCs/>
        </w:rPr>
        <w:t>W1.5</w:t>
      </w:r>
      <w:r>
        <w:rPr>
          <w:rFonts w:ascii="Times New Roman" w:hAnsi="Times New Roman"/>
        </w:rPr>
        <w:tab/>
        <w:t xml:space="preserve">The second category is that of contracts involving permanent rights and obligations, such as contracts to acquire an interest in property. These are binding on the minor, </w:t>
      </w:r>
      <w:r>
        <w:rPr>
          <w:rFonts w:ascii="Times New Roman" w:hAnsi="Times New Roman"/>
          <w:i/>
          <w:iCs/>
        </w:rPr>
        <w:t xml:space="preserve">unless </w:t>
      </w:r>
      <w:r>
        <w:rPr>
          <w:rFonts w:ascii="Times New Roman" w:hAnsi="Times New Roman"/>
        </w:rPr>
        <w:t xml:space="preserve">he expressly disclaims the contract while still a minor or within a reasonable time after reaching majority (sometimes called </w:t>
      </w:r>
      <w:r>
        <w:rPr>
          <w:rFonts w:ascii="Times New Roman" w:hAnsi="Times New Roman"/>
        </w:rPr>
        <w:lastRenderedPageBreak/>
        <w:t xml:space="preserve">‘positive voidable contracts’). Although such contracts are binding and may give rise to an equitable interest in land, notice that under s 1(6) of the Law of Property Act 1925 a minor cannot hold a legal estate in land, an issue that the Court of Appeal had to consider in </w:t>
      </w:r>
      <w:r>
        <w:rPr>
          <w:rFonts w:ascii="Times New Roman" w:hAnsi="Times New Roman"/>
          <w:i/>
          <w:iCs/>
        </w:rPr>
        <w:t xml:space="preserve">Alexander-David v Hammersmith and Fulham LBC </w:t>
      </w:r>
      <w:r>
        <w:rPr>
          <w:rFonts w:ascii="Times New Roman" w:hAnsi="Times New Roman"/>
        </w:rPr>
        <w:t xml:space="preserve">(2009) in the context of local authority tenancies granted to homeless teenagers. The third category is the default category: all other contracts do not bind the minor (although he may enforce them against the other party) </w:t>
      </w:r>
      <w:r>
        <w:rPr>
          <w:rFonts w:ascii="Times New Roman" w:hAnsi="Times New Roman"/>
          <w:i/>
          <w:iCs/>
        </w:rPr>
        <w:t xml:space="preserve">unless </w:t>
      </w:r>
      <w:r>
        <w:rPr>
          <w:rFonts w:ascii="Times New Roman" w:hAnsi="Times New Roman"/>
        </w:rPr>
        <w:t>the minor ratifies them once he reaches majority. Although these are sometimes called ‘negative voidable contracts’ this is misleading, because the label ‘voidable’ suggests a contract which is enforceable unless avoided, whereas contracts in this third category are the opposite, unenforceable unless ratified.</w:t>
      </w:r>
      <w:r w:rsidR="00E406B5">
        <w:rPr>
          <w:rFonts w:ascii="Times New Roman" w:hAnsi="Times New Roman"/>
        </w:rPr>
        <w:t xml:space="preserve">  </w:t>
      </w:r>
    </w:p>
    <w:p w14:paraId="3EFA04F4" w14:textId="76D25706" w:rsidR="00E67F29" w:rsidRDefault="00E406B5">
      <w:pPr>
        <w:pStyle w:val="TextInd"/>
        <w:rPr>
          <w:rFonts w:ascii="Times New Roman" w:hAnsi="Times New Roman"/>
          <w:b/>
          <w:color w:val="auto"/>
        </w:rPr>
      </w:pPr>
      <w:r w:rsidRPr="000D0043">
        <w:rPr>
          <w:rFonts w:ascii="Times New Roman" w:hAnsi="Times New Roman"/>
          <w:b/>
        </w:rPr>
        <w:t>W1.6</w:t>
      </w:r>
      <w:r w:rsidRPr="00E406B5">
        <w:rPr>
          <w:rFonts w:ascii="Times New Roman" w:hAnsi="Times New Roman"/>
        </w:rPr>
        <w:tab/>
      </w:r>
      <w:r>
        <w:rPr>
          <w:rFonts w:ascii="Times New Roman" w:hAnsi="Times New Roman"/>
        </w:rPr>
        <w:t xml:space="preserve"> The various categories of minor contracts were in issue in </w:t>
      </w:r>
      <w:r w:rsidRPr="000D0043">
        <w:rPr>
          <w:rFonts w:ascii="Times New Roman" w:hAnsi="Times New Roman"/>
          <w:i/>
        </w:rPr>
        <w:t>Take-Two Interactive Software Inc v James</w:t>
      </w:r>
      <w:r>
        <w:rPr>
          <w:rFonts w:ascii="Times New Roman" w:hAnsi="Times New Roman"/>
        </w:rPr>
        <w:t xml:space="preserve"> (2020).  The claimants were the developers and publishers of the leading video game ‘Grand Theft Auto V</w:t>
      </w:r>
      <w:proofErr w:type="gramStart"/>
      <w:r>
        <w:rPr>
          <w:rFonts w:ascii="Times New Roman" w:hAnsi="Times New Roman"/>
        </w:rPr>
        <w:t>’, and</w:t>
      </w:r>
      <w:proofErr w:type="gramEnd"/>
      <w:r>
        <w:rPr>
          <w:rFonts w:ascii="Times New Roman" w:hAnsi="Times New Roman"/>
        </w:rPr>
        <w:t xml:space="preserve"> were suing various defendants in respect of the use of cheating software, which was a breach of the licence agreement to play the game.  One of the defendants was a minor</w:t>
      </w:r>
      <w:r w:rsidR="00C07CC1">
        <w:rPr>
          <w:rFonts w:ascii="Times New Roman" w:hAnsi="Times New Roman"/>
        </w:rPr>
        <w:t>.  The judge</w:t>
      </w:r>
      <w:r>
        <w:rPr>
          <w:rFonts w:ascii="Times New Roman" w:hAnsi="Times New Roman"/>
        </w:rPr>
        <w:t xml:space="preserve"> declined to grant summary judgment</w:t>
      </w:r>
      <w:r w:rsidR="00C07CC1">
        <w:rPr>
          <w:rFonts w:ascii="Times New Roman" w:hAnsi="Times New Roman"/>
        </w:rPr>
        <w:t xml:space="preserve"> for the claimants in the contractual claim against the minor defendant.  This was first because</w:t>
      </w:r>
      <w:r>
        <w:rPr>
          <w:rFonts w:ascii="Times New Roman" w:hAnsi="Times New Roman"/>
        </w:rPr>
        <w:t xml:space="preserve"> it was arguable that the licence agreement did not confer the sort of </w:t>
      </w:r>
      <w:r w:rsidR="00C07CC1">
        <w:rPr>
          <w:rFonts w:ascii="Times New Roman" w:hAnsi="Times New Roman"/>
        </w:rPr>
        <w:t xml:space="preserve">permanent </w:t>
      </w:r>
      <w:r>
        <w:rPr>
          <w:rFonts w:ascii="Times New Roman" w:hAnsi="Times New Roman"/>
        </w:rPr>
        <w:t xml:space="preserve">interest in property required for the second category.  </w:t>
      </w:r>
      <w:proofErr w:type="gramStart"/>
      <w:r>
        <w:rPr>
          <w:rFonts w:ascii="Times New Roman" w:hAnsi="Times New Roman"/>
        </w:rPr>
        <w:t>Similarly</w:t>
      </w:r>
      <w:proofErr w:type="gramEnd"/>
      <w:r>
        <w:rPr>
          <w:rFonts w:ascii="Times New Roman" w:hAnsi="Times New Roman"/>
        </w:rPr>
        <w:t xml:space="preserve"> it was arguable that the agreement was not one for necessaries.  As Falk J observed, ‘</w:t>
      </w:r>
      <w:r w:rsidRPr="00E406B5">
        <w:rPr>
          <w:rFonts w:ascii="Times New Roman" w:hAnsi="Times New Roman"/>
        </w:rPr>
        <w:t>In one sense computer games might be regarded as necessary for a certain age group. However, th</w:t>
      </w:r>
      <w:r>
        <w:rPr>
          <w:rFonts w:ascii="Times New Roman" w:hAnsi="Times New Roman"/>
        </w:rPr>
        <w:t>at does not mean that they are “necessary”</w:t>
      </w:r>
      <w:r w:rsidRPr="00E406B5">
        <w:rPr>
          <w:rFonts w:ascii="Times New Roman" w:hAnsi="Times New Roman"/>
        </w:rPr>
        <w:t xml:space="preserve"> as a matter of law</w:t>
      </w:r>
      <w:r>
        <w:rPr>
          <w:rFonts w:ascii="Times New Roman" w:hAnsi="Times New Roman"/>
        </w:rPr>
        <w:t>’</w:t>
      </w:r>
      <w:r w:rsidRPr="00E406B5">
        <w:rPr>
          <w:rFonts w:ascii="Times New Roman" w:hAnsi="Times New Roman"/>
        </w:rPr>
        <w:t>.</w:t>
      </w:r>
    </w:p>
    <w:p w14:paraId="189CDEEF" w14:textId="188FE0CB" w:rsidR="00E67F29" w:rsidRDefault="00E67F29">
      <w:pPr>
        <w:pStyle w:val="TextInd"/>
        <w:rPr>
          <w:rFonts w:ascii="Times New Roman" w:hAnsi="Times New Roman"/>
          <w:b/>
          <w:color w:val="auto"/>
        </w:rPr>
      </w:pPr>
      <w:r>
        <w:rPr>
          <w:rFonts w:ascii="Times New Roman" w:hAnsi="Times New Roman"/>
          <w:b/>
          <w:bCs/>
        </w:rPr>
        <w:t>W1.</w:t>
      </w:r>
      <w:r w:rsidR="00C07CC1">
        <w:rPr>
          <w:rFonts w:ascii="Times New Roman" w:hAnsi="Times New Roman"/>
          <w:b/>
          <w:bCs/>
        </w:rPr>
        <w:t>7</w:t>
      </w:r>
      <w:r>
        <w:rPr>
          <w:rFonts w:ascii="Times New Roman" w:hAnsi="Times New Roman"/>
          <w:b/>
          <w:bCs/>
        </w:rPr>
        <w:tab/>
      </w:r>
      <w:r>
        <w:rPr>
          <w:rFonts w:ascii="Times New Roman" w:hAnsi="Times New Roman"/>
        </w:rPr>
        <w:t>The nature of the minor’s liability under contracts in the first category and (until disclaimed) the second category is disputed. On one view, although the minor has limited contractual capacity, when acting within the limits of his capacity, he is liable on the contract in the normal way. This means that he could be sued for damages for breach of contract if he did not perform his part of the bargain, even where the contract was purely executory. The alternative view is that the minor i</w:t>
      </w:r>
      <w:r w:rsidR="00C37D0B">
        <w:rPr>
          <w:rFonts w:ascii="Times New Roman" w:hAnsi="Times New Roman"/>
        </w:rPr>
        <w:t xml:space="preserve">s only liable to pay on a </w:t>
      </w:r>
      <w:proofErr w:type="spellStart"/>
      <w:r w:rsidR="00C37D0B">
        <w:rPr>
          <w:rFonts w:ascii="Times New Roman" w:hAnsi="Times New Roman"/>
        </w:rPr>
        <w:t>resti</w:t>
      </w:r>
      <w:r>
        <w:rPr>
          <w:rFonts w:ascii="Times New Roman" w:hAnsi="Times New Roman"/>
        </w:rPr>
        <w:t>tutionary</w:t>
      </w:r>
      <w:proofErr w:type="spellEnd"/>
      <w:r>
        <w:rPr>
          <w:rFonts w:ascii="Times New Roman" w:hAnsi="Times New Roman"/>
        </w:rPr>
        <w:t xml:space="preserve"> basis for the benefit of what he </w:t>
      </w:r>
      <w:proofErr w:type="gramStart"/>
      <w:r>
        <w:rPr>
          <w:rFonts w:ascii="Times New Roman" w:hAnsi="Times New Roman"/>
        </w:rPr>
        <w:t>actually receives</w:t>
      </w:r>
      <w:proofErr w:type="gramEnd"/>
      <w:r>
        <w:rPr>
          <w:rFonts w:ascii="Times New Roman" w:hAnsi="Times New Roman"/>
        </w:rPr>
        <w:t xml:space="preserve"> under the contract (after all, the Sale of Goods Act obliges the minor to pay a reasonable sum for necessaries, not the contract price).</w:t>
      </w:r>
    </w:p>
    <w:p w14:paraId="55212594" w14:textId="62AF8417" w:rsidR="00E67F29" w:rsidRDefault="00E67F29">
      <w:pPr>
        <w:pStyle w:val="TextInd"/>
        <w:rPr>
          <w:rFonts w:ascii="Times New Roman" w:hAnsi="Times New Roman"/>
          <w:b/>
          <w:color w:val="auto"/>
        </w:rPr>
      </w:pPr>
      <w:r>
        <w:rPr>
          <w:rFonts w:ascii="Times New Roman" w:hAnsi="Times New Roman"/>
          <w:b/>
          <w:bCs/>
        </w:rPr>
        <w:lastRenderedPageBreak/>
        <w:t>W1.</w:t>
      </w:r>
      <w:r w:rsidR="00C07CC1">
        <w:rPr>
          <w:rFonts w:ascii="Times New Roman" w:hAnsi="Times New Roman"/>
          <w:b/>
          <w:bCs/>
        </w:rPr>
        <w:t>8</w:t>
      </w:r>
      <w:r>
        <w:rPr>
          <w:rFonts w:ascii="Times New Roman" w:hAnsi="Times New Roman"/>
          <w:b/>
          <w:bCs/>
        </w:rPr>
        <w:tab/>
      </w:r>
      <w:r>
        <w:rPr>
          <w:rFonts w:ascii="Times New Roman" w:hAnsi="Times New Roman"/>
        </w:rPr>
        <w:t xml:space="preserve">Further remedial difficulties arise in situations where the minor </w:t>
      </w:r>
      <w:proofErr w:type="gramStart"/>
      <w:r>
        <w:rPr>
          <w:rFonts w:ascii="Times New Roman" w:hAnsi="Times New Roman"/>
        </w:rPr>
        <w:t>definitely lacks</w:t>
      </w:r>
      <w:proofErr w:type="gramEnd"/>
      <w:r>
        <w:rPr>
          <w:rFonts w:ascii="Times New Roman" w:hAnsi="Times New Roman"/>
        </w:rPr>
        <w:t xml:space="preserve"> contractual capacity: for example, a contract to purchase luxury goods. The law does not allow the other party to </w:t>
      </w:r>
      <w:r>
        <w:rPr>
          <w:rFonts w:ascii="Times New Roman" w:hAnsi="Times New Roman"/>
          <w:i/>
          <w:iCs/>
        </w:rPr>
        <w:t xml:space="preserve">enforce </w:t>
      </w:r>
      <w:r>
        <w:rPr>
          <w:rFonts w:ascii="Times New Roman" w:hAnsi="Times New Roman"/>
        </w:rPr>
        <w:t xml:space="preserve">the contract against the minor and does not permit other relief that would amount to indirect enforcement, but that does not mean that the other party is left with no remedy at all. Equity traditionally assisted a claimant who was induced to contract with a minor because the minor fraudulently misrepresented his age, by ordering restitution of benefits transferred under the contract. In </w:t>
      </w:r>
      <w:r>
        <w:rPr>
          <w:rFonts w:ascii="Times New Roman" w:hAnsi="Times New Roman"/>
          <w:i/>
          <w:iCs/>
        </w:rPr>
        <w:t xml:space="preserve">Stocks v Wilson </w:t>
      </w:r>
      <w:r>
        <w:rPr>
          <w:rFonts w:ascii="Times New Roman" w:hAnsi="Times New Roman"/>
        </w:rPr>
        <w:t xml:space="preserve">(1913) a minor induced the claimant to sell him some furniture for £300, by misrepresenting his age. The minor did not pay (having disposed of the furniture already for £130) and was held liable to account to the claimant for the £130 proceeds. However, the claimant was not fully protected, as he was not entitled to sue for the £300 price, since this would have involved enforcing the contract against the minor (see also </w:t>
      </w:r>
      <w:r>
        <w:rPr>
          <w:rFonts w:ascii="Times New Roman" w:hAnsi="Times New Roman"/>
          <w:i/>
          <w:iCs/>
        </w:rPr>
        <w:t xml:space="preserve">R Leslie Ltd v </w:t>
      </w:r>
      <w:proofErr w:type="spellStart"/>
      <w:r>
        <w:rPr>
          <w:rFonts w:ascii="Times New Roman" w:hAnsi="Times New Roman"/>
          <w:i/>
          <w:iCs/>
        </w:rPr>
        <w:t>Sheill</w:t>
      </w:r>
      <w:proofErr w:type="spellEnd"/>
      <w:r>
        <w:rPr>
          <w:rFonts w:ascii="Times New Roman" w:hAnsi="Times New Roman"/>
          <w:i/>
          <w:iCs/>
        </w:rPr>
        <w:t xml:space="preserve"> </w:t>
      </w:r>
      <w:r>
        <w:rPr>
          <w:rFonts w:ascii="Times New Roman" w:hAnsi="Times New Roman"/>
        </w:rPr>
        <w:t>(1914)).</w:t>
      </w:r>
    </w:p>
    <w:p w14:paraId="73AB85CA" w14:textId="026B56FA" w:rsidR="00E67F29" w:rsidRDefault="00E67F29">
      <w:pPr>
        <w:pStyle w:val="TextInd"/>
        <w:rPr>
          <w:rFonts w:ascii="Times New Roman" w:hAnsi="Times New Roman"/>
          <w:b/>
          <w:color w:val="auto"/>
        </w:rPr>
      </w:pPr>
      <w:r>
        <w:rPr>
          <w:rFonts w:ascii="Times New Roman" w:hAnsi="Times New Roman"/>
          <w:b/>
          <w:bCs/>
        </w:rPr>
        <w:t>W1.</w:t>
      </w:r>
      <w:r w:rsidR="00C07CC1">
        <w:rPr>
          <w:rFonts w:ascii="Times New Roman" w:hAnsi="Times New Roman"/>
          <w:b/>
          <w:bCs/>
        </w:rPr>
        <w:t>9</w:t>
      </w:r>
      <w:r>
        <w:rPr>
          <w:rFonts w:ascii="Times New Roman" w:hAnsi="Times New Roman"/>
          <w:b/>
          <w:bCs/>
        </w:rPr>
        <w:tab/>
      </w:r>
      <w:r>
        <w:rPr>
          <w:rFonts w:ascii="Times New Roman" w:hAnsi="Times New Roman"/>
        </w:rPr>
        <w:t>Today, this equitable jurisdiction is less significant, because statute provides for an equivalent remedy without being confined to cases of fraudulent misrepresentation. The Minors’ Contracts Act 1987 provides that where a contract is unenforceable against a minor:</w:t>
      </w:r>
    </w:p>
    <w:p w14:paraId="16388D39" w14:textId="77777777" w:rsidR="00E67F29" w:rsidRDefault="00E67F29">
      <w:pPr>
        <w:pStyle w:val="Extract3"/>
      </w:pPr>
      <w:r>
        <w:t>the court may, if it is just and equitable to do so, require the defendant [minor] to transfer to the plaintiff any property acquired by the defendant under the contract or any property representing it.</w:t>
      </w:r>
    </w:p>
    <w:p w14:paraId="128E7A7C" w14:textId="77777777" w:rsidR="00E67F29" w:rsidRDefault="00E67F29">
      <w:pPr>
        <w:pStyle w:val="TextInd"/>
        <w:rPr>
          <w:rFonts w:ascii="Times New Roman" w:hAnsi="Times New Roman"/>
          <w:b/>
          <w:color w:val="auto"/>
        </w:rPr>
      </w:pPr>
      <w:r>
        <w:rPr>
          <w:rFonts w:ascii="Times New Roman" w:hAnsi="Times New Roman"/>
        </w:rPr>
        <w:tab/>
        <w:t xml:space="preserve">This provision gives the court a </w:t>
      </w:r>
      <w:r>
        <w:rPr>
          <w:rFonts w:ascii="Times New Roman" w:hAnsi="Times New Roman"/>
          <w:i/>
          <w:iCs/>
        </w:rPr>
        <w:t xml:space="preserve">discretion </w:t>
      </w:r>
      <w:r>
        <w:rPr>
          <w:rFonts w:ascii="Times New Roman" w:hAnsi="Times New Roman"/>
        </w:rPr>
        <w:t xml:space="preserve">to order the minor to return property acquired under the contract. The phrase ‘any property representing it’ probably includes the proceeds of sale if the minor has disposed of the property: after all, it makes no sense for the court to have the power to order the minor to hand over something he </w:t>
      </w:r>
      <w:r>
        <w:rPr>
          <w:rFonts w:ascii="Times New Roman" w:hAnsi="Times New Roman"/>
          <w:i/>
          <w:iCs/>
        </w:rPr>
        <w:t xml:space="preserve">swapped </w:t>
      </w:r>
      <w:r>
        <w:rPr>
          <w:rFonts w:ascii="Times New Roman" w:hAnsi="Times New Roman"/>
        </w:rPr>
        <w:t xml:space="preserve">for the property, but not money he received from selling it. The court’s discretion would certainly extend to ordering the minor to repay any money received from the other party under the contract; </w:t>
      </w:r>
      <w:proofErr w:type="gramStart"/>
      <w:r>
        <w:rPr>
          <w:rFonts w:ascii="Times New Roman" w:hAnsi="Times New Roman"/>
        </w:rPr>
        <w:t>moreover</w:t>
      </w:r>
      <w:proofErr w:type="gramEnd"/>
      <w:r>
        <w:rPr>
          <w:rFonts w:ascii="Times New Roman" w:hAnsi="Times New Roman"/>
        </w:rPr>
        <w:t xml:space="preserve"> a </w:t>
      </w:r>
      <w:proofErr w:type="spellStart"/>
      <w:r>
        <w:rPr>
          <w:rFonts w:ascii="Times New Roman" w:hAnsi="Times New Roman"/>
        </w:rPr>
        <w:t>restitutionary</w:t>
      </w:r>
      <w:proofErr w:type="spellEnd"/>
      <w:r>
        <w:rPr>
          <w:rFonts w:ascii="Times New Roman" w:hAnsi="Times New Roman"/>
        </w:rPr>
        <w:t xml:space="preserve"> action for the recovery of money paid on a total failure of consideration would probably be available, regardless of the statute, since it is not a claim for damages and thus does not represent indirect enforcement of the contract. There is no statutory </w:t>
      </w:r>
      <w:r>
        <w:rPr>
          <w:rFonts w:ascii="Times New Roman" w:hAnsi="Times New Roman"/>
        </w:rPr>
        <w:lastRenderedPageBreak/>
        <w:t>discretion to order the minor to pay for property received under the contract that has been consumed or destroyed. For a compelling discussion of the remedial treatment of minors’ contracts, see Hedley (2004).</w:t>
      </w:r>
    </w:p>
    <w:p w14:paraId="7EFD920D" w14:textId="77777777" w:rsidR="00E67F29" w:rsidRDefault="00E67F29">
      <w:pPr>
        <w:pStyle w:val="AHead"/>
        <w:spacing w:line="480" w:lineRule="auto"/>
        <w:ind w:right="700"/>
        <w:rPr>
          <w:rFonts w:ascii="Times New Roman" w:hAnsi="Times New Roman"/>
          <w:b/>
          <w:color w:val="auto"/>
          <w:spacing w:val="0"/>
          <w:sz w:val="24"/>
          <w:szCs w:val="24"/>
        </w:rPr>
      </w:pPr>
      <w:r>
        <w:rPr>
          <w:rFonts w:ascii="Times New Roman" w:hAnsi="Times New Roman"/>
          <w:b/>
          <w:color w:val="auto"/>
          <w:spacing w:val="0"/>
          <w:sz w:val="24"/>
          <w:szCs w:val="24"/>
        </w:rPr>
        <w:t>Mental incapacity</w:t>
      </w:r>
    </w:p>
    <w:p w14:paraId="60D906F7" w14:textId="3D5A9CE5" w:rsidR="00E67F29" w:rsidRDefault="00E67F29">
      <w:pPr>
        <w:pStyle w:val="TextInd"/>
        <w:rPr>
          <w:rFonts w:ascii="Times New Roman" w:hAnsi="Times New Roman"/>
          <w:b/>
          <w:color w:val="auto"/>
        </w:rPr>
      </w:pPr>
      <w:r>
        <w:rPr>
          <w:rFonts w:ascii="Times New Roman" w:hAnsi="Times New Roman"/>
          <w:b/>
          <w:bCs/>
        </w:rPr>
        <w:t>W1.</w:t>
      </w:r>
      <w:r w:rsidR="00C07CC1">
        <w:rPr>
          <w:rFonts w:ascii="Times New Roman" w:hAnsi="Times New Roman"/>
          <w:b/>
          <w:bCs/>
        </w:rPr>
        <w:t>10</w:t>
      </w:r>
      <w:r>
        <w:rPr>
          <w:rFonts w:ascii="Times New Roman" w:hAnsi="Times New Roman"/>
          <w:b/>
          <w:bCs/>
        </w:rPr>
        <w:tab/>
      </w:r>
      <w:r>
        <w:rPr>
          <w:rFonts w:ascii="Times New Roman" w:hAnsi="Times New Roman"/>
        </w:rPr>
        <w:t xml:space="preserve">At common law, a contract made by a mentally incapacitated person is binding and enforceable </w:t>
      </w:r>
      <w:r>
        <w:rPr>
          <w:rFonts w:ascii="Times New Roman" w:hAnsi="Times New Roman"/>
          <w:i/>
          <w:iCs/>
        </w:rPr>
        <w:t xml:space="preserve">unless </w:t>
      </w:r>
      <w:r>
        <w:rPr>
          <w:rFonts w:ascii="Times New Roman" w:hAnsi="Times New Roman"/>
        </w:rPr>
        <w:t xml:space="preserve">the other party </w:t>
      </w:r>
      <w:r>
        <w:rPr>
          <w:rFonts w:ascii="Times New Roman" w:hAnsi="Times New Roman"/>
          <w:i/>
          <w:iCs/>
        </w:rPr>
        <w:t xml:space="preserve">knew </w:t>
      </w:r>
      <w:r>
        <w:rPr>
          <w:rFonts w:ascii="Times New Roman" w:hAnsi="Times New Roman"/>
        </w:rPr>
        <w:t>or</w:t>
      </w:r>
      <w:r w:rsidR="00C37D0B">
        <w:rPr>
          <w:rFonts w:ascii="Times New Roman" w:hAnsi="Times New Roman"/>
        </w:rPr>
        <w:t xml:space="preserve">, </w:t>
      </w:r>
      <w:r>
        <w:rPr>
          <w:rFonts w:ascii="Times New Roman" w:hAnsi="Times New Roman"/>
        </w:rPr>
        <w:t xml:space="preserve">as </w:t>
      </w:r>
      <w:r w:rsidR="0099377C">
        <w:rPr>
          <w:rFonts w:ascii="Times New Roman" w:hAnsi="Times New Roman"/>
        </w:rPr>
        <w:t xml:space="preserve">Baroness Hale suggested (obiter) in </w:t>
      </w:r>
      <w:r>
        <w:rPr>
          <w:rFonts w:ascii="Times New Roman" w:hAnsi="Times New Roman"/>
        </w:rPr>
        <w:t xml:space="preserve">the Supreme Court in </w:t>
      </w:r>
      <w:r>
        <w:rPr>
          <w:rFonts w:ascii="Times New Roman" w:hAnsi="Times New Roman"/>
          <w:i/>
          <w:iCs/>
        </w:rPr>
        <w:t xml:space="preserve">Dunhill v Burgin </w:t>
      </w:r>
      <w:r>
        <w:rPr>
          <w:rFonts w:ascii="Times New Roman" w:hAnsi="Times New Roman"/>
        </w:rPr>
        <w:t>(2014)</w:t>
      </w:r>
      <w:r w:rsidR="00C37D0B">
        <w:rPr>
          <w:rFonts w:ascii="Times New Roman" w:hAnsi="Times New Roman"/>
        </w:rPr>
        <w:t>,</w:t>
      </w:r>
      <w:r>
        <w:rPr>
          <w:rFonts w:ascii="Times New Roman" w:hAnsi="Times New Roman"/>
        </w:rPr>
        <w:t xml:space="preserve"> </w:t>
      </w:r>
      <w:r>
        <w:rPr>
          <w:rFonts w:ascii="Times New Roman" w:hAnsi="Times New Roman"/>
          <w:i/>
          <w:iCs/>
        </w:rPr>
        <w:t xml:space="preserve">ought to have known </w:t>
      </w:r>
      <w:r>
        <w:rPr>
          <w:rFonts w:ascii="Times New Roman" w:hAnsi="Times New Roman"/>
        </w:rPr>
        <w:t>of his lack of capacity</w:t>
      </w:r>
      <w:r w:rsidR="00C37D0B">
        <w:rPr>
          <w:rFonts w:ascii="Times New Roman" w:hAnsi="Times New Roman"/>
        </w:rPr>
        <w:t xml:space="preserve"> (on which see also </w:t>
      </w:r>
      <w:proofErr w:type="spellStart"/>
      <w:r w:rsidR="00C37D0B" w:rsidRPr="004E0801">
        <w:rPr>
          <w:rFonts w:ascii="Times New Roman" w:hAnsi="Times New Roman"/>
          <w:i/>
        </w:rPr>
        <w:t>Josife</w:t>
      </w:r>
      <w:proofErr w:type="spellEnd"/>
      <w:r w:rsidR="00C37D0B" w:rsidRPr="004E0801">
        <w:rPr>
          <w:rFonts w:ascii="Times New Roman" w:hAnsi="Times New Roman"/>
          <w:i/>
        </w:rPr>
        <w:t xml:space="preserve"> v </w:t>
      </w:r>
      <w:proofErr w:type="spellStart"/>
      <w:r w:rsidR="00C37D0B" w:rsidRPr="004E0801">
        <w:rPr>
          <w:rFonts w:ascii="Times New Roman" w:hAnsi="Times New Roman"/>
          <w:i/>
        </w:rPr>
        <w:t>Summertrot</w:t>
      </w:r>
      <w:proofErr w:type="spellEnd"/>
      <w:r w:rsidR="00C37D0B" w:rsidRPr="004E0801">
        <w:rPr>
          <w:rFonts w:ascii="Times New Roman" w:hAnsi="Times New Roman"/>
          <w:i/>
        </w:rPr>
        <w:t xml:space="preserve"> Holdings Ltd</w:t>
      </w:r>
      <w:r w:rsidR="00C37D0B">
        <w:rPr>
          <w:rFonts w:ascii="Times New Roman" w:hAnsi="Times New Roman"/>
        </w:rPr>
        <w:t xml:space="preserve"> (2014))</w:t>
      </w:r>
      <w:r>
        <w:rPr>
          <w:rFonts w:ascii="Times New Roman" w:hAnsi="Times New Roman"/>
        </w:rPr>
        <w:t xml:space="preserve">, in which case the contract can be avoided. This principle was made clear by the House of Lords in </w:t>
      </w:r>
      <w:r>
        <w:rPr>
          <w:rFonts w:ascii="Times New Roman" w:hAnsi="Times New Roman"/>
          <w:i/>
          <w:iCs/>
        </w:rPr>
        <w:t xml:space="preserve">Imperial Loan Co v Stone </w:t>
      </w:r>
      <w:r>
        <w:rPr>
          <w:rFonts w:ascii="Times New Roman" w:hAnsi="Times New Roman"/>
        </w:rPr>
        <w:t xml:space="preserve">(1892) and was reaffirmed by the Privy Council in </w:t>
      </w:r>
      <w:r>
        <w:rPr>
          <w:rFonts w:ascii="Times New Roman" w:hAnsi="Times New Roman"/>
          <w:i/>
          <w:iCs/>
        </w:rPr>
        <w:t xml:space="preserve">Hart v O’Connor </w:t>
      </w:r>
      <w:r>
        <w:rPr>
          <w:rFonts w:ascii="Times New Roman" w:hAnsi="Times New Roman"/>
        </w:rPr>
        <w:t xml:space="preserve">(1985), in which an elderly man was suffering from </w:t>
      </w:r>
      <w:proofErr w:type="gramStart"/>
      <w:r>
        <w:rPr>
          <w:rFonts w:ascii="Times New Roman" w:hAnsi="Times New Roman"/>
        </w:rPr>
        <w:t>dementia</w:t>
      </w:r>
      <w:proofErr w:type="gramEnd"/>
      <w:r>
        <w:rPr>
          <w:rFonts w:ascii="Times New Roman" w:hAnsi="Times New Roman"/>
        </w:rPr>
        <w:t xml:space="preserve"> but his condition was unknown to the defendant, who purchased land from him (see also </w:t>
      </w:r>
      <w:r w:rsidR="00C37D0B">
        <w:rPr>
          <w:rFonts w:ascii="Times New Roman" w:hAnsi="Times New Roman"/>
          <w:bCs/>
        </w:rPr>
        <w:t>Chapter 12</w:t>
      </w:r>
      <w:r w:rsidRPr="004E0801">
        <w:rPr>
          <w:rFonts w:ascii="Times New Roman" w:hAnsi="Times New Roman"/>
          <w:bCs/>
        </w:rPr>
        <w:t>)</w:t>
      </w:r>
      <w:r w:rsidRPr="00DC2AD2">
        <w:rPr>
          <w:rFonts w:ascii="Times New Roman" w:hAnsi="Times New Roman"/>
        </w:rPr>
        <w:t xml:space="preserve">. </w:t>
      </w:r>
      <w:r>
        <w:rPr>
          <w:rFonts w:ascii="Times New Roman" w:hAnsi="Times New Roman"/>
        </w:rPr>
        <w:t xml:space="preserve">The Privy Council disapproved of the proposition in a New Zealand authority, </w:t>
      </w:r>
      <w:r>
        <w:rPr>
          <w:rFonts w:ascii="Times New Roman" w:hAnsi="Times New Roman"/>
          <w:i/>
          <w:iCs/>
        </w:rPr>
        <w:t xml:space="preserve">Archer v Cutler </w:t>
      </w:r>
      <w:r>
        <w:rPr>
          <w:rFonts w:ascii="Times New Roman" w:hAnsi="Times New Roman"/>
        </w:rPr>
        <w:t xml:space="preserve">(1980), that a contract made by a mentally incapacitated person could be avoided solely </w:t>
      </w:r>
      <w:proofErr w:type="gramStart"/>
      <w:r>
        <w:rPr>
          <w:rFonts w:ascii="Times New Roman" w:hAnsi="Times New Roman"/>
        </w:rPr>
        <w:t>on the ground that</w:t>
      </w:r>
      <w:proofErr w:type="gramEnd"/>
      <w:r>
        <w:rPr>
          <w:rFonts w:ascii="Times New Roman" w:hAnsi="Times New Roman"/>
        </w:rPr>
        <w:t xml:space="preserve"> it was ‘unfair’, even if the other party knew nothing of the mental incapacity.</w:t>
      </w:r>
    </w:p>
    <w:p w14:paraId="00ED1085" w14:textId="5841E138" w:rsidR="00E67F29" w:rsidRDefault="00E67F29">
      <w:pPr>
        <w:pStyle w:val="TextInd"/>
        <w:rPr>
          <w:rFonts w:ascii="Times New Roman" w:hAnsi="Times New Roman"/>
          <w:b/>
          <w:color w:val="auto"/>
        </w:rPr>
      </w:pPr>
      <w:r>
        <w:rPr>
          <w:rFonts w:ascii="Times New Roman" w:hAnsi="Times New Roman"/>
          <w:b/>
          <w:bCs/>
        </w:rPr>
        <w:t>W1.1</w:t>
      </w:r>
      <w:r w:rsidR="00C07CC1">
        <w:rPr>
          <w:rFonts w:ascii="Times New Roman" w:hAnsi="Times New Roman"/>
          <w:b/>
          <w:bCs/>
        </w:rPr>
        <w:t>1</w:t>
      </w:r>
      <w:r>
        <w:rPr>
          <w:rFonts w:ascii="Times New Roman" w:hAnsi="Times New Roman"/>
          <w:b/>
          <w:bCs/>
        </w:rPr>
        <w:tab/>
      </w:r>
      <w:r>
        <w:rPr>
          <w:rFonts w:ascii="Times New Roman" w:hAnsi="Times New Roman"/>
        </w:rPr>
        <w:t xml:space="preserve">In other words, unless the other party knew </w:t>
      </w:r>
      <w:r w:rsidR="0099377C">
        <w:rPr>
          <w:rFonts w:ascii="Times New Roman" w:hAnsi="Times New Roman"/>
        </w:rPr>
        <w:t>(</w:t>
      </w:r>
      <w:r>
        <w:rPr>
          <w:rFonts w:ascii="Times New Roman" w:hAnsi="Times New Roman"/>
        </w:rPr>
        <w:t xml:space="preserve">or </w:t>
      </w:r>
      <w:r w:rsidR="0099377C">
        <w:rPr>
          <w:rFonts w:ascii="Times New Roman" w:hAnsi="Times New Roman"/>
        </w:rPr>
        <w:t xml:space="preserve">possibly, if they </w:t>
      </w:r>
      <w:r>
        <w:rPr>
          <w:rFonts w:ascii="Times New Roman" w:hAnsi="Times New Roman"/>
        </w:rPr>
        <w:t>ought to know</w:t>
      </w:r>
      <w:r w:rsidR="0099377C">
        <w:rPr>
          <w:rFonts w:ascii="Times New Roman" w:hAnsi="Times New Roman"/>
        </w:rPr>
        <w:t>)</w:t>
      </w:r>
      <w:r>
        <w:rPr>
          <w:rFonts w:ascii="Times New Roman" w:hAnsi="Times New Roman"/>
        </w:rPr>
        <w:t xml:space="preserve"> they were contracting with someone of unsound mind, the transaction can only be set aside if the normal test of unconscionability is satisfied (discussed in Chapter 1</w:t>
      </w:r>
      <w:r w:rsidR="00C37D0B">
        <w:rPr>
          <w:rFonts w:ascii="Times New Roman" w:hAnsi="Times New Roman"/>
        </w:rPr>
        <w:t>2</w:t>
      </w:r>
      <w:r>
        <w:rPr>
          <w:rFonts w:ascii="Times New Roman" w:hAnsi="Times New Roman"/>
        </w:rPr>
        <w:t>) and this test requires more than just unfair or unbalanced contractual terms. This means that people who contract with the mentally incapacitated, without realising they are incapacitated, are better protected than people who contract with minors without realising they are minors. It is the actual age of the minor that is relevant, not the age the other party reasonably believed them to be.</w:t>
      </w:r>
    </w:p>
    <w:p w14:paraId="219F692D" w14:textId="726A0DFD" w:rsidR="00E67F29" w:rsidRDefault="00E67F29">
      <w:pPr>
        <w:pStyle w:val="TextInd"/>
        <w:rPr>
          <w:rFonts w:ascii="Times New Roman" w:hAnsi="Times New Roman"/>
          <w:b/>
          <w:color w:val="auto"/>
        </w:rPr>
      </w:pPr>
      <w:r>
        <w:rPr>
          <w:rFonts w:ascii="Times New Roman" w:hAnsi="Times New Roman"/>
          <w:b/>
          <w:bCs/>
        </w:rPr>
        <w:t>W1.1</w:t>
      </w:r>
      <w:r w:rsidR="00C07CC1">
        <w:rPr>
          <w:rFonts w:ascii="Times New Roman" w:hAnsi="Times New Roman"/>
          <w:b/>
          <w:bCs/>
        </w:rPr>
        <w:t>2</w:t>
      </w:r>
      <w:r>
        <w:rPr>
          <w:rFonts w:ascii="Times New Roman" w:hAnsi="Times New Roman"/>
          <w:b/>
          <w:bCs/>
        </w:rPr>
        <w:tab/>
      </w:r>
      <w:r>
        <w:rPr>
          <w:rFonts w:ascii="Times New Roman" w:hAnsi="Times New Roman"/>
        </w:rPr>
        <w:t xml:space="preserve">Three other issues are relevant to contracts made by the mentally incapacitated. First, provisions in the Sale of Goods Act concerning contracts for the sale of necessaries (see para </w:t>
      </w:r>
      <w:r>
        <w:rPr>
          <w:rFonts w:ascii="Times New Roman" w:hAnsi="Times New Roman"/>
          <w:b/>
          <w:bCs/>
        </w:rPr>
        <w:t>W1.3</w:t>
      </w:r>
      <w:r w:rsidRPr="00DC2AD2">
        <w:rPr>
          <w:rFonts w:ascii="Times New Roman" w:hAnsi="Times New Roman"/>
        </w:rPr>
        <w:t xml:space="preserve">) </w:t>
      </w:r>
      <w:r>
        <w:rPr>
          <w:rFonts w:ascii="Times New Roman" w:hAnsi="Times New Roman"/>
        </w:rPr>
        <w:t xml:space="preserve">used to apply equally </w:t>
      </w:r>
      <w:r>
        <w:rPr>
          <w:rFonts w:ascii="Times New Roman" w:hAnsi="Times New Roman"/>
        </w:rPr>
        <w:lastRenderedPageBreak/>
        <w:t>to adults who lack capacity to contract, but this regime has been replaced by new statutory rules contained in s 7 of the Mental Capacity Act 2005, which apply both to necessary goods and necessary services and which require that a reasonable price must be paid for them. The explanatory notes accompanying the Act provide a useful example of how ‘necessaries’ are defined:</w:t>
      </w:r>
    </w:p>
    <w:p w14:paraId="7B92B94A" w14:textId="77777777" w:rsidR="00E67F29" w:rsidRDefault="00E67F29">
      <w:pPr>
        <w:pStyle w:val="Extract3"/>
      </w:pPr>
      <w:r>
        <w:t>... if the milkman carries on delivering milk to the house of someone who has progressive dementia, he can expect to be paid. If, however, a roofer puts a completely unnecessary new roof on to that person’s house, when all that was required was a minor repair, then the rule will operate to prevent the roofer from being able to recover his charges.</w:t>
      </w:r>
    </w:p>
    <w:p w14:paraId="46DB3E56" w14:textId="00D0A84C" w:rsidR="00E67F29" w:rsidRPr="004E0801" w:rsidRDefault="00E67F29" w:rsidP="00C07CC1">
      <w:pPr>
        <w:pStyle w:val="TextInd"/>
        <w:rPr>
          <w:rFonts w:ascii="Times New Roman" w:hAnsi="Times New Roman"/>
          <w:color w:val="auto"/>
        </w:rPr>
      </w:pPr>
      <w:r>
        <w:rPr>
          <w:rFonts w:ascii="Times New Roman" w:hAnsi="Times New Roman"/>
        </w:rPr>
        <w:tab/>
        <w:t xml:space="preserve">Second, the Mental Capacity Act 2005 is relevant in other aspects, such as where someone with capacity executes a ‘lasting power of attorney’ which later becomes effective once the donor has lost contractual capacity, or where a ‘deputy’ has been appointed under the jurisdiction of the Court of Protection to deal with the property and affairs of an incapacitated person. Third, the regime relating to contracts made by the mentally incapacitated reveals how out of step the </w:t>
      </w:r>
      <w:r w:rsidRPr="00DC2AD2">
        <w:rPr>
          <w:rFonts w:ascii="Times New Roman" w:hAnsi="Times New Roman"/>
        </w:rPr>
        <w:t>‘</w:t>
      </w:r>
      <w:r>
        <w:rPr>
          <w:rFonts w:ascii="Times New Roman" w:hAnsi="Times New Roman"/>
          <w:i/>
          <w:iCs/>
        </w:rPr>
        <w:t xml:space="preserve">non </w:t>
      </w:r>
      <w:proofErr w:type="spellStart"/>
      <w:r>
        <w:rPr>
          <w:rFonts w:ascii="Times New Roman" w:hAnsi="Times New Roman"/>
          <w:i/>
          <w:iCs/>
        </w:rPr>
        <w:t>est</w:t>
      </w:r>
      <w:proofErr w:type="spellEnd"/>
      <w:r>
        <w:rPr>
          <w:rFonts w:ascii="Times New Roman" w:hAnsi="Times New Roman"/>
          <w:i/>
          <w:iCs/>
        </w:rPr>
        <w:t xml:space="preserve"> factum</w:t>
      </w:r>
      <w:r w:rsidRPr="00DC2AD2">
        <w:rPr>
          <w:rFonts w:ascii="Times New Roman" w:hAnsi="Times New Roman"/>
        </w:rPr>
        <w:t xml:space="preserve">’ </w:t>
      </w:r>
      <w:r>
        <w:rPr>
          <w:rFonts w:ascii="Times New Roman" w:hAnsi="Times New Roman"/>
        </w:rPr>
        <w:t xml:space="preserve">principle is in the twenty-first century (discussed further </w:t>
      </w:r>
      <w:r w:rsidR="00C37D0B">
        <w:rPr>
          <w:rFonts w:ascii="Times New Roman" w:hAnsi="Times New Roman"/>
          <w:bCs/>
        </w:rPr>
        <w:t>in Chapter 3).</w:t>
      </w:r>
    </w:p>
    <w:p w14:paraId="63F3416E" w14:textId="77777777" w:rsidR="00E67F29" w:rsidRDefault="00E67F29">
      <w:pPr>
        <w:pStyle w:val="AHead"/>
        <w:spacing w:line="480" w:lineRule="auto"/>
        <w:ind w:right="700"/>
        <w:rPr>
          <w:rFonts w:ascii="Times New Roman" w:hAnsi="Times New Roman"/>
          <w:b/>
          <w:color w:val="auto"/>
          <w:spacing w:val="0"/>
          <w:sz w:val="24"/>
          <w:szCs w:val="24"/>
        </w:rPr>
      </w:pPr>
      <w:r>
        <w:rPr>
          <w:rFonts w:ascii="Times New Roman" w:hAnsi="Times New Roman"/>
          <w:b/>
          <w:color w:val="auto"/>
          <w:spacing w:val="0"/>
          <w:sz w:val="24"/>
          <w:szCs w:val="24"/>
        </w:rPr>
        <w:t>Companies</w:t>
      </w:r>
    </w:p>
    <w:p w14:paraId="06221126" w14:textId="69A78B48" w:rsidR="00E67F29" w:rsidRDefault="00E67F29">
      <w:pPr>
        <w:pStyle w:val="TextInd"/>
        <w:rPr>
          <w:rFonts w:ascii="Times New Roman" w:hAnsi="Times New Roman"/>
          <w:b/>
          <w:color w:val="auto"/>
        </w:rPr>
      </w:pPr>
      <w:r>
        <w:rPr>
          <w:rFonts w:ascii="Times New Roman" w:hAnsi="Times New Roman"/>
          <w:b/>
          <w:bCs/>
        </w:rPr>
        <w:t>W1.1</w:t>
      </w:r>
      <w:r w:rsidR="00C07CC1">
        <w:rPr>
          <w:rFonts w:ascii="Times New Roman" w:hAnsi="Times New Roman"/>
          <w:b/>
          <w:bCs/>
        </w:rPr>
        <w:t>3</w:t>
      </w:r>
      <w:r>
        <w:rPr>
          <w:rFonts w:ascii="Times New Roman" w:hAnsi="Times New Roman"/>
          <w:b/>
          <w:bCs/>
        </w:rPr>
        <w:tab/>
      </w:r>
      <w:r>
        <w:rPr>
          <w:rFonts w:ascii="Times New Roman" w:hAnsi="Times New Roman"/>
        </w:rPr>
        <w:t xml:space="preserve">When a company is formed today, it is almost invariably given the status of a legal person (‘incorporated’) under the provisions of the Companies Act. Until </w:t>
      </w:r>
      <w:r w:rsidR="00C37D0B">
        <w:rPr>
          <w:rFonts w:ascii="Times New Roman" w:hAnsi="Times New Roman"/>
        </w:rPr>
        <w:t>2006</w:t>
      </w:r>
      <w:r>
        <w:rPr>
          <w:rFonts w:ascii="Times New Roman" w:hAnsi="Times New Roman"/>
        </w:rPr>
        <w:t xml:space="preserve">, the relevant legislation provided that a company could only do that which it was empowered to do by its constitutional documents, so if it purported to make a contract that was not authorised by its constitution, the contract was </w:t>
      </w:r>
      <w:r>
        <w:rPr>
          <w:rFonts w:ascii="Times New Roman" w:hAnsi="Times New Roman"/>
          <w:i/>
          <w:iCs/>
        </w:rPr>
        <w:t xml:space="preserve">ultra vires </w:t>
      </w:r>
      <w:r>
        <w:rPr>
          <w:rFonts w:ascii="Times New Roman" w:hAnsi="Times New Roman"/>
        </w:rPr>
        <w:t xml:space="preserve">and utterly void. This principle was modified to protect those who dealt in good faith with a company, but nonetheless represented a significant limitation on corporate capacity. Under the Companies Act 2006, the capacity of companies is now much closer to that of natural persons. Section 31(1) provides that a company has unrestricted objects and so unrestricted capacity, unless its </w:t>
      </w:r>
      <w:r>
        <w:rPr>
          <w:rFonts w:ascii="Times New Roman" w:hAnsi="Times New Roman"/>
        </w:rPr>
        <w:lastRenderedPageBreak/>
        <w:t>constitution contains a specific restriction. Even where an act is done contrary to such a specific restriction, thanks to s 39 its validity can nonetheless not be questioned on the ground of lack of capacity. Finally, where a director purports to act beyond his powers, s 40 provides that the transaction will be valid in favour of a person who deals with the company in good faith.</w:t>
      </w:r>
    </w:p>
    <w:p w14:paraId="63F89FC4" w14:textId="77777777" w:rsidR="00E67F29" w:rsidRDefault="00E67F29">
      <w:pPr>
        <w:pStyle w:val="AHead"/>
        <w:spacing w:line="480" w:lineRule="auto"/>
        <w:ind w:right="700"/>
        <w:rPr>
          <w:rFonts w:ascii="Times New Roman" w:hAnsi="Times New Roman"/>
          <w:b/>
          <w:color w:val="auto"/>
          <w:spacing w:val="0"/>
          <w:sz w:val="24"/>
          <w:szCs w:val="24"/>
        </w:rPr>
      </w:pPr>
      <w:r>
        <w:rPr>
          <w:rFonts w:ascii="Times New Roman" w:hAnsi="Times New Roman"/>
          <w:b/>
          <w:color w:val="auto"/>
          <w:spacing w:val="0"/>
          <w:sz w:val="24"/>
          <w:szCs w:val="24"/>
        </w:rPr>
        <w:t>Public authorities</w:t>
      </w:r>
    </w:p>
    <w:p w14:paraId="54160E8C" w14:textId="5B974A68" w:rsidR="00E67F29" w:rsidRDefault="00E67F29">
      <w:pPr>
        <w:pStyle w:val="TextInd"/>
        <w:rPr>
          <w:rFonts w:ascii="Times New Roman" w:hAnsi="Times New Roman"/>
          <w:b/>
          <w:color w:val="auto"/>
        </w:rPr>
      </w:pPr>
      <w:r>
        <w:rPr>
          <w:rFonts w:ascii="Times New Roman" w:hAnsi="Times New Roman"/>
          <w:b/>
          <w:bCs/>
        </w:rPr>
        <w:t>W1.1</w:t>
      </w:r>
      <w:r w:rsidR="00E5511D">
        <w:rPr>
          <w:rFonts w:ascii="Times New Roman" w:hAnsi="Times New Roman"/>
          <w:b/>
          <w:bCs/>
        </w:rPr>
        <w:t>4</w:t>
      </w:r>
      <w:r>
        <w:rPr>
          <w:rFonts w:ascii="Times New Roman" w:hAnsi="Times New Roman"/>
          <w:b/>
          <w:bCs/>
        </w:rPr>
        <w:t xml:space="preserve"> </w:t>
      </w:r>
      <w:r>
        <w:rPr>
          <w:rFonts w:ascii="Times New Roman" w:hAnsi="Times New Roman"/>
        </w:rPr>
        <w:t xml:space="preserve">Like companies, a public authority is a legal person whose capacity to contract derives from, and is restricted by, its statutory constitution. Where a public authority purports to make a contract that is outside its statutory powers, such a contract will be </w:t>
      </w:r>
      <w:r>
        <w:rPr>
          <w:rFonts w:ascii="Times New Roman" w:hAnsi="Times New Roman"/>
          <w:i/>
          <w:iCs/>
        </w:rPr>
        <w:t xml:space="preserve">ultra vires </w:t>
      </w:r>
      <w:r>
        <w:rPr>
          <w:rFonts w:ascii="Times New Roman" w:hAnsi="Times New Roman"/>
        </w:rPr>
        <w:t xml:space="preserve">and void. A notorious modern example is seen in the House of Lords case of </w:t>
      </w:r>
      <w:r>
        <w:rPr>
          <w:rFonts w:ascii="Times New Roman" w:hAnsi="Times New Roman"/>
          <w:i/>
          <w:iCs/>
        </w:rPr>
        <w:t xml:space="preserve">Hazell v Hammersmith and Fulham London Borough Council </w:t>
      </w:r>
      <w:r>
        <w:rPr>
          <w:rFonts w:ascii="Times New Roman" w:hAnsi="Times New Roman"/>
        </w:rPr>
        <w:t xml:space="preserve">(1992), which decided that ‘interest rate swap transactions’ entered into by many local authorities with merchant banks in the 1980s were </w:t>
      </w:r>
      <w:r>
        <w:rPr>
          <w:rFonts w:ascii="Times New Roman" w:hAnsi="Times New Roman"/>
          <w:i/>
          <w:iCs/>
        </w:rPr>
        <w:t xml:space="preserve">ultra vires </w:t>
      </w:r>
      <w:r>
        <w:rPr>
          <w:rFonts w:ascii="Times New Roman" w:hAnsi="Times New Roman"/>
        </w:rPr>
        <w:t xml:space="preserve">and void. The </w:t>
      </w:r>
      <w:r>
        <w:rPr>
          <w:rFonts w:ascii="Times New Roman" w:hAnsi="Times New Roman"/>
          <w:i/>
          <w:iCs/>
        </w:rPr>
        <w:t xml:space="preserve">ultra vires </w:t>
      </w:r>
      <w:r>
        <w:rPr>
          <w:rFonts w:ascii="Times New Roman" w:hAnsi="Times New Roman"/>
        </w:rPr>
        <w:t xml:space="preserve">rule is meant to protect ratepayers, but the practical effect of the decision in </w:t>
      </w:r>
      <w:r>
        <w:rPr>
          <w:rFonts w:ascii="Times New Roman" w:hAnsi="Times New Roman"/>
          <w:i/>
          <w:iCs/>
        </w:rPr>
        <w:t xml:space="preserve">Hazell </w:t>
      </w:r>
      <w:r>
        <w:rPr>
          <w:rFonts w:ascii="Times New Roman" w:hAnsi="Times New Roman"/>
        </w:rPr>
        <w:t>was a spate of complex and expensive litigation, in which the courts attempted to resolve the remedial implications of unravelling and reversing payments made under the void swap transactions.</w:t>
      </w:r>
    </w:p>
    <w:p w14:paraId="6D3903B9" w14:textId="77777777" w:rsidR="00E67F29" w:rsidRDefault="00E67F29">
      <w:pPr>
        <w:pStyle w:val="RefHead"/>
        <w:tabs>
          <w:tab w:val="left" w:pos="20"/>
        </w:tabs>
        <w:spacing w:line="480" w:lineRule="auto"/>
        <w:rPr>
          <w:rFonts w:ascii="Times New Roman" w:hAnsi="Times New Roman"/>
          <w:b/>
          <w:color w:val="auto"/>
          <w:spacing w:val="0"/>
          <w:sz w:val="24"/>
          <w:szCs w:val="24"/>
        </w:rPr>
      </w:pPr>
      <w:r>
        <w:rPr>
          <w:rFonts w:ascii="Times New Roman" w:hAnsi="Times New Roman"/>
          <w:b/>
          <w:color w:val="auto"/>
          <w:spacing w:val="0"/>
          <w:sz w:val="24"/>
          <w:szCs w:val="24"/>
        </w:rPr>
        <w:t>OVERVIEW</w:t>
      </w:r>
    </w:p>
    <w:p w14:paraId="3F50BB81" w14:textId="77777777" w:rsidR="00E67F29" w:rsidRDefault="00E67F29">
      <w:pPr>
        <w:pStyle w:val="SelfQuestion"/>
        <w:spacing w:line="480" w:lineRule="auto"/>
        <w:rPr>
          <w:rFonts w:ascii="Times New Roman" w:hAnsi="Times New Roman"/>
          <w:sz w:val="24"/>
        </w:rPr>
      </w:pPr>
      <w:r>
        <w:rPr>
          <w:rFonts w:ascii="Times New Roman" w:hAnsi="Times New Roman"/>
          <w:b/>
          <w:bCs/>
          <w:sz w:val="24"/>
        </w:rPr>
        <w:t>1</w:t>
      </w:r>
      <w:r>
        <w:rPr>
          <w:rFonts w:ascii="Times New Roman" w:hAnsi="Times New Roman"/>
          <w:b/>
          <w:bCs/>
          <w:sz w:val="24"/>
        </w:rPr>
        <w:tab/>
      </w:r>
      <w:r>
        <w:rPr>
          <w:rFonts w:ascii="Times New Roman" w:hAnsi="Times New Roman"/>
          <w:sz w:val="24"/>
        </w:rPr>
        <w:t>Minors (those under the age of 18) have the capacity to make valid contracts for ‘necessaries’ (though not everyone agrees that the theoretical basis of the minor’s liability here is contractual). Certain other contracts made by minors, such as contracts to acquire an interest in property, are valid unless the minor disclaims them. All other contracts are invalid unless ratified once the minor reaches 18. Although such contracts cannot be enforced against the minor, directly or indirectly, some remedial assistance is given to those who contract with minors. This is now supplemented by a statutory discretion given to the court to order the minor to return property acquired under a contract or any property representing it.</w:t>
      </w:r>
    </w:p>
    <w:p w14:paraId="173621E7" w14:textId="77777777" w:rsidR="00E67F29" w:rsidRDefault="00E67F29">
      <w:pPr>
        <w:pStyle w:val="SelfQuestion"/>
        <w:spacing w:line="480" w:lineRule="auto"/>
        <w:rPr>
          <w:rFonts w:ascii="Times New Roman" w:hAnsi="Times New Roman"/>
          <w:sz w:val="24"/>
        </w:rPr>
      </w:pPr>
      <w:r>
        <w:rPr>
          <w:rFonts w:ascii="Times New Roman" w:hAnsi="Times New Roman"/>
          <w:b/>
          <w:bCs/>
          <w:sz w:val="24"/>
        </w:rPr>
        <w:t>2</w:t>
      </w:r>
      <w:r>
        <w:rPr>
          <w:rFonts w:ascii="Times New Roman" w:hAnsi="Times New Roman"/>
          <w:b/>
          <w:bCs/>
          <w:sz w:val="24"/>
        </w:rPr>
        <w:tab/>
      </w:r>
      <w:r>
        <w:rPr>
          <w:rFonts w:ascii="Times New Roman" w:hAnsi="Times New Roman"/>
          <w:sz w:val="24"/>
        </w:rPr>
        <w:t xml:space="preserve">A contract made with a person who lacks mental capacity to contract is valid and enforceable against them </w:t>
      </w:r>
      <w:r>
        <w:rPr>
          <w:rFonts w:ascii="Times New Roman" w:hAnsi="Times New Roman"/>
          <w:sz w:val="24"/>
        </w:rPr>
        <w:lastRenderedPageBreak/>
        <w:t>unless the other party knew or ought to have known of the mental incapacity. There is also an important statutory regime under the Mental Capacity Act 2005 of Lasting Powers of Attorney and Deputies appointed under the jurisdiction of the Court of Protection.</w:t>
      </w:r>
    </w:p>
    <w:p w14:paraId="12BF4CD3" w14:textId="77777777" w:rsidR="00E67F29" w:rsidRDefault="00E67F29">
      <w:pPr>
        <w:pStyle w:val="SelfQuestion"/>
        <w:spacing w:line="480" w:lineRule="auto"/>
        <w:rPr>
          <w:rFonts w:ascii="Times New Roman" w:hAnsi="Times New Roman"/>
          <w:sz w:val="24"/>
        </w:rPr>
      </w:pPr>
      <w:r>
        <w:rPr>
          <w:rFonts w:ascii="Times New Roman" w:hAnsi="Times New Roman"/>
          <w:b/>
          <w:bCs/>
          <w:sz w:val="24"/>
        </w:rPr>
        <w:t>3</w:t>
      </w:r>
      <w:r>
        <w:rPr>
          <w:rFonts w:ascii="Times New Roman" w:hAnsi="Times New Roman"/>
          <w:b/>
          <w:bCs/>
          <w:sz w:val="24"/>
        </w:rPr>
        <w:tab/>
      </w:r>
      <w:r>
        <w:rPr>
          <w:rFonts w:ascii="Times New Roman" w:hAnsi="Times New Roman"/>
          <w:sz w:val="24"/>
        </w:rPr>
        <w:t xml:space="preserve">Finally the doctrine of </w:t>
      </w:r>
      <w:proofErr w:type="spellStart"/>
      <w:r>
        <w:rPr>
          <w:rFonts w:ascii="Times New Roman" w:hAnsi="Times New Roman"/>
          <w:i/>
          <w:iCs/>
          <w:sz w:val="24"/>
        </w:rPr>
        <w:t>non est</w:t>
      </w:r>
      <w:proofErr w:type="spellEnd"/>
      <w:r>
        <w:rPr>
          <w:rFonts w:ascii="Times New Roman" w:hAnsi="Times New Roman"/>
          <w:i/>
          <w:iCs/>
          <w:sz w:val="24"/>
        </w:rPr>
        <w:t xml:space="preserve"> factum </w:t>
      </w:r>
      <w:r>
        <w:rPr>
          <w:rFonts w:ascii="Times New Roman" w:hAnsi="Times New Roman"/>
          <w:sz w:val="24"/>
        </w:rPr>
        <w:t>remains in existence, which seems out of line with the basic approach to contractors who lack mental capacity.</w:t>
      </w:r>
    </w:p>
    <w:p w14:paraId="4FF2ED14" w14:textId="77777777" w:rsidR="00E67F29" w:rsidRDefault="00E67F29">
      <w:pPr>
        <w:pStyle w:val="SelfQuestion"/>
        <w:spacing w:line="480" w:lineRule="auto"/>
        <w:rPr>
          <w:rFonts w:ascii="Times New Roman" w:hAnsi="Times New Roman"/>
          <w:sz w:val="24"/>
        </w:rPr>
      </w:pPr>
      <w:r>
        <w:rPr>
          <w:rFonts w:ascii="Times New Roman" w:hAnsi="Times New Roman"/>
          <w:b/>
          <w:bCs/>
          <w:sz w:val="24"/>
        </w:rPr>
        <w:t>4</w:t>
      </w:r>
      <w:r>
        <w:rPr>
          <w:rFonts w:ascii="Times New Roman" w:hAnsi="Times New Roman"/>
          <w:b/>
          <w:bCs/>
          <w:sz w:val="24"/>
        </w:rPr>
        <w:tab/>
      </w:r>
      <w:r>
        <w:rPr>
          <w:rFonts w:ascii="Times New Roman" w:hAnsi="Times New Roman"/>
          <w:sz w:val="24"/>
        </w:rPr>
        <w:t xml:space="preserve">A company’s capacity may be restricted by its constitutional documents and, strictly, any contract which the company does not have capacity to make is, in theory, </w:t>
      </w:r>
      <w:r>
        <w:rPr>
          <w:rFonts w:ascii="Times New Roman" w:hAnsi="Times New Roman"/>
          <w:i/>
          <w:iCs/>
          <w:sz w:val="24"/>
        </w:rPr>
        <w:t xml:space="preserve">ultra vires </w:t>
      </w:r>
      <w:r>
        <w:rPr>
          <w:rFonts w:ascii="Times New Roman" w:hAnsi="Times New Roman"/>
          <w:sz w:val="24"/>
        </w:rPr>
        <w:t xml:space="preserve">and void. </w:t>
      </w:r>
      <w:proofErr w:type="gramStart"/>
      <w:r>
        <w:rPr>
          <w:rFonts w:ascii="Times New Roman" w:hAnsi="Times New Roman"/>
          <w:sz w:val="24"/>
        </w:rPr>
        <w:t>However</w:t>
      </w:r>
      <w:proofErr w:type="gramEnd"/>
      <w:r>
        <w:rPr>
          <w:rFonts w:ascii="Times New Roman" w:hAnsi="Times New Roman"/>
          <w:sz w:val="24"/>
        </w:rPr>
        <w:t xml:space="preserve"> a third party who contracts with a company is generally protected by statute from needing to worry about the company’s capacity. Similarly, the capacity of a public authority to make contracts derives from and is limited by its constitution, but there is no equivalent statutory protection for those who unwittingly make contracts with public authorities which turn out to be </w:t>
      </w:r>
      <w:r>
        <w:rPr>
          <w:rFonts w:ascii="Times New Roman" w:hAnsi="Times New Roman"/>
          <w:i/>
          <w:iCs/>
          <w:sz w:val="24"/>
        </w:rPr>
        <w:t>ultra vires.</w:t>
      </w:r>
    </w:p>
    <w:p w14:paraId="357DFB79" w14:textId="77777777" w:rsidR="00E67F29" w:rsidRDefault="00E67F29">
      <w:pPr>
        <w:pStyle w:val="RefHead"/>
        <w:tabs>
          <w:tab w:val="left" w:pos="20"/>
        </w:tabs>
        <w:spacing w:before="420" w:line="480" w:lineRule="auto"/>
        <w:rPr>
          <w:rFonts w:ascii="Times New Roman" w:hAnsi="Times New Roman"/>
          <w:b/>
          <w:color w:val="auto"/>
          <w:spacing w:val="0"/>
          <w:sz w:val="24"/>
          <w:szCs w:val="24"/>
        </w:rPr>
      </w:pPr>
      <w:r>
        <w:rPr>
          <w:rFonts w:ascii="Times New Roman" w:hAnsi="Times New Roman"/>
          <w:b/>
          <w:color w:val="auto"/>
          <w:spacing w:val="0"/>
          <w:sz w:val="24"/>
          <w:szCs w:val="24"/>
        </w:rPr>
        <w:t>SELF-TEST QUESTIONS</w:t>
      </w:r>
    </w:p>
    <w:p w14:paraId="3D251751" w14:textId="77777777" w:rsidR="00E67F29" w:rsidRDefault="00E67F29">
      <w:pPr>
        <w:pStyle w:val="SelfQuestion"/>
        <w:spacing w:line="480" w:lineRule="auto"/>
        <w:rPr>
          <w:rFonts w:ascii="Times New Roman" w:hAnsi="Times New Roman"/>
          <w:sz w:val="24"/>
        </w:rPr>
      </w:pPr>
      <w:r>
        <w:rPr>
          <w:rFonts w:ascii="Times New Roman" w:hAnsi="Times New Roman"/>
          <w:b/>
          <w:bCs/>
          <w:sz w:val="24"/>
        </w:rPr>
        <w:t>1</w:t>
      </w:r>
      <w:r>
        <w:rPr>
          <w:rFonts w:ascii="Times New Roman" w:hAnsi="Times New Roman"/>
          <w:b/>
          <w:bCs/>
          <w:sz w:val="24"/>
        </w:rPr>
        <w:tab/>
      </w:r>
      <w:r>
        <w:rPr>
          <w:rFonts w:ascii="Times New Roman" w:hAnsi="Times New Roman"/>
          <w:sz w:val="24"/>
        </w:rPr>
        <w:t xml:space="preserve">What </w:t>
      </w:r>
      <w:proofErr w:type="gramStart"/>
      <w:r>
        <w:rPr>
          <w:rFonts w:ascii="Times New Roman" w:hAnsi="Times New Roman"/>
          <w:sz w:val="24"/>
        </w:rPr>
        <w:t>remedies</w:t>
      </w:r>
      <w:proofErr w:type="gramEnd"/>
      <w:r>
        <w:rPr>
          <w:rFonts w:ascii="Times New Roman" w:hAnsi="Times New Roman"/>
          <w:sz w:val="24"/>
        </w:rPr>
        <w:t xml:space="preserve"> are available to a person who contracts with a minor?</w:t>
      </w:r>
    </w:p>
    <w:p w14:paraId="52FC4768" w14:textId="77777777" w:rsidR="00E67F29" w:rsidRDefault="00E67F29">
      <w:pPr>
        <w:pStyle w:val="SelfQuestion"/>
        <w:spacing w:line="480" w:lineRule="auto"/>
        <w:rPr>
          <w:rFonts w:ascii="Times New Roman" w:hAnsi="Times New Roman"/>
          <w:sz w:val="24"/>
        </w:rPr>
      </w:pPr>
      <w:r>
        <w:rPr>
          <w:rStyle w:val="OverNum"/>
          <w:rFonts w:ascii="Times New Roman" w:hAnsi="Times New Roman"/>
          <w:b/>
          <w:color w:val="auto"/>
          <w:sz w:val="24"/>
          <w:szCs w:val="24"/>
          <w:lang w:eastAsia="en-US"/>
        </w:rPr>
        <w:t>2</w:t>
      </w:r>
      <w:r>
        <w:rPr>
          <w:rStyle w:val="OverNum"/>
          <w:rFonts w:ascii="Times New Roman" w:hAnsi="Times New Roman"/>
          <w:b/>
          <w:color w:val="auto"/>
          <w:sz w:val="24"/>
          <w:szCs w:val="24"/>
          <w:lang w:eastAsia="en-US"/>
        </w:rPr>
        <w:tab/>
      </w:r>
      <w:r>
        <w:rPr>
          <w:rFonts w:ascii="Times New Roman" w:hAnsi="Times New Roman"/>
          <w:sz w:val="24"/>
        </w:rPr>
        <w:t>Why is a contract made by a mentally incapacitated person valid unless the other party knows of the incapacity?</w:t>
      </w:r>
    </w:p>
    <w:p w14:paraId="334C3779" w14:textId="77777777" w:rsidR="00E67F29" w:rsidRDefault="00E67F29">
      <w:pPr>
        <w:pStyle w:val="SelfQuestion"/>
        <w:spacing w:line="480" w:lineRule="auto"/>
        <w:rPr>
          <w:rStyle w:val="OverNum"/>
          <w:rFonts w:ascii="Times New Roman" w:hAnsi="Times New Roman"/>
          <w:b/>
          <w:color w:val="auto"/>
          <w:sz w:val="24"/>
          <w:szCs w:val="24"/>
          <w:lang w:eastAsia="en-US"/>
        </w:rPr>
      </w:pPr>
      <w:r>
        <w:rPr>
          <w:rFonts w:ascii="Times New Roman" w:hAnsi="Times New Roman"/>
          <w:b/>
          <w:bCs/>
          <w:sz w:val="24"/>
        </w:rPr>
        <w:t>3</w:t>
      </w:r>
      <w:r>
        <w:rPr>
          <w:rFonts w:ascii="Times New Roman" w:hAnsi="Times New Roman"/>
          <w:b/>
          <w:bCs/>
          <w:sz w:val="24"/>
        </w:rPr>
        <w:tab/>
      </w:r>
      <w:r>
        <w:rPr>
          <w:rFonts w:ascii="Times New Roman" w:hAnsi="Times New Roman"/>
          <w:sz w:val="24"/>
        </w:rPr>
        <w:t>What is the relationship between the rules on mental incapacity and unconscionability?</w:t>
      </w:r>
    </w:p>
    <w:p w14:paraId="2409974F" w14:textId="706A2640" w:rsidR="00ED496E" w:rsidRDefault="00E67F29" w:rsidP="000D0043">
      <w:pPr>
        <w:pStyle w:val="SelfQuestion"/>
        <w:spacing w:line="480" w:lineRule="auto"/>
      </w:pPr>
      <w:r>
        <w:rPr>
          <w:rFonts w:ascii="Times New Roman" w:hAnsi="Times New Roman"/>
          <w:b/>
          <w:bCs/>
          <w:sz w:val="24"/>
        </w:rPr>
        <w:t>4</w:t>
      </w:r>
      <w:r>
        <w:rPr>
          <w:rFonts w:ascii="Times New Roman" w:hAnsi="Times New Roman"/>
          <w:b/>
          <w:bCs/>
          <w:sz w:val="24"/>
        </w:rPr>
        <w:tab/>
      </w:r>
      <w:r>
        <w:rPr>
          <w:rFonts w:ascii="Times New Roman" w:hAnsi="Times New Roman"/>
          <w:sz w:val="24"/>
        </w:rPr>
        <w:t xml:space="preserve">Two years ago Daniel </w:t>
      </w:r>
      <w:proofErr w:type="spellStart"/>
      <w:r>
        <w:rPr>
          <w:rFonts w:ascii="Times New Roman" w:hAnsi="Times New Roman"/>
          <w:sz w:val="24"/>
        </w:rPr>
        <w:t>Tuncliffe</w:t>
      </w:r>
      <w:proofErr w:type="spellEnd"/>
      <w:r>
        <w:rPr>
          <w:rFonts w:ascii="Times New Roman" w:hAnsi="Times New Roman"/>
          <w:sz w:val="24"/>
        </w:rPr>
        <w:t xml:space="preserve">, a child actor then aged 15 and famous for his role in a series of successful films, signed a contract with Crumb, a property developer. In the contract Daniel agreed to purchase for £1.5 million a penthouse flat in a luxury apartment block, which Crumb was in the process of building. Daniel, who was advised by leading city real-estate solicitors, paid a deposit of £250,000, with the balance of £1,250,000 due on completion. Two years later, Crumb has completed the flat, but the property market has </w:t>
      </w:r>
      <w:proofErr w:type="gramStart"/>
      <w:r>
        <w:rPr>
          <w:rFonts w:ascii="Times New Roman" w:hAnsi="Times New Roman"/>
          <w:sz w:val="24"/>
        </w:rPr>
        <w:t>crashed</w:t>
      </w:r>
      <w:proofErr w:type="gramEnd"/>
      <w:r>
        <w:rPr>
          <w:rFonts w:ascii="Times New Roman" w:hAnsi="Times New Roman"/>
          <w:sz w:val="24"/>
        </w:rPr>
        <w:t xml:space="preserve"> and it is worth less than half the contract price. Daniel wishes to recover his deposit and walk away, while Crumb wishes to hold Daniel to his obligation to pay the balance and buy the flat. Discuss.</w:t>
      </w:r>
    </w:p>
    <w:p w14:paraId="2222CE03" w14:textId="334A5B90" w:rsidR="00E67F29" w:rsidRDefault="00E67F29">
      <w:pPr>
        <w:pStyle w:val="PMI"/>
      </w:pPr>
      <w:r>
        <w:t>For hints on how to answer question 4, please see the guidance on answering the questions on the relevant section of the website.</w:t>
      </w:r>
      <w:bookmarkStart w:id="0" w:name="_GoBack"/>
      <w:bookmarkEnd w:id="0"/>
    </w:p>
    <w:sectPr w:rsidR="00E67F29">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BD68" w14:textId="77777777" w:rsidR="00B5113A" w:rsidRDefault="00B5113A">
      <w:r>
        <w:separator/>
      </w:r>
    </w:p>
  </w:endnote>
  <w:endnote w:type="continuationSeparator" w:id="0">
    <w:p w14:paraId="133FBBB3" w14:textId="77777777" w:rsidR="00B5113A" w:rsidRDefault="00B5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ndo Sans Std">
    <w:altName w:val="Calibri"/>
    <w:panose1 w:val="00000000000000000000"/>
    <w:charset w:val="00"/>
    <w:family w:val="modern"/>
    <w:notTrueType/>
    <w:pitch w:val="variable"/>
    <w:sig w:usb0="800000AF" w:usb1="5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8706" w14:textId="77777777" w:rsidR="001108E0" w:rsidRDefault="0011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5C19" w14:textId="1BA6FDFA" w:rsidR="00181FC7" w:rsidRPr="004E0801" w:rsidRDefault="00181FC7">
    <w:pPr>
      <w:pStyle w:val="Footer"/>
      <w:rPr>
        <w:rFonts w:ascii="Times New Roman" w:hAnsi="Times New Roman" w:cs="Times New Roman"/>
        <w:color w:val="000000"/>
        <w:sz w:val="24"/>
        <w:szCs w:val="24"/>
      </w:rPr>
    </w:pPr>
    <w:r w:rsidRPr="004E0801">
      <w:rPr>
        <w:rFonts w:ascii="Times New Roman" w:hAnsi="Times New Roman" w:cs="Times New Roman"/>
        <w:color w:val="222222"/>
        <w:sz w:val="21"/>
        <w:szCs w:val="21"/>
        <w:shd w:val="clear" w:color="auto" w:fill="FFFFFF"/>
      </w:rPr>
      <w:t>© Janet O'Sullivan</w:t>
    </w:r>
    <w:r w:rsidR="00A74AD3">
      <w:rPr>
        <w:rFonts w:ascii="Times New Roman" w:hAnsi="Times New Roman" w:cs="Times New Roman"/>
        <w:color w:val="222222"/>
        <w:sz w:val="21"/>
        <w:szCs w:val="21"/>
        <w:shd w:val="clear" w:color="auto" w:fill="FFFFFF"/>
      </w:rPr>
      <w:t xml:space="preserve"> </w:t>
    </w:r>
    <w:r w:rsidR="00471B11">
      <w:rPr>
        <w:rFonts w:ascii="Times New Roman" w:hAnsi="Times New Roman" w:cs="Times New Roman"/>
        <w:color w:val="222222"/>
        <w:sz w:val="21"/>
        <w:szCs w:val="21"/>
        <w:shd w:val="clear" w:color="auto" w:fill="FFFFFF"/>
      </w:rPr>
      <w:t>202</w:t>
    </w:r>
    <w:r w:rsidR="001108E0">
      <w:rPr>
        <w:rFonts w:ascii="Times New Roman" w:hAnsi="Times New Roman" w:cs="Times New Roman"/>
        <w:color w:val="222222"/>
        <w:sz w:val="21"/>
        <w:szCs w:val="21"/>
        <w:shd w:val="clear" w:color="auto" w:fill="FFFFFF"/>
      </w:rPr>
      <w:t>2</w:t>
    </w:r>
  </w:p>
  <w:p w14:paraId="3CE0FBA1" w14:textId="01C867E8" w:rsidR="00E67F29" w:rsidRDefault="000D68C6">
    <w:pPr>
      <w:pStyle w:val="Footer"/>
      <w:jc w:val="right"/>
    </w:pPr>
    <w:r>
      <w:rPr>
        <w:noProof/>
        <w:lang w:val="en-GB" w:eastAsia="en-GB"/>
      </w:rPr>
      <mc:AlternateContent>
        <mc:Choice Requires="wps">
          <w:drawing>
            <wp:anchor distT="0" distB="0" distL="114300" distR="114300" simplePos="0" relativeHeight="251657216" behindDoc="0" locked="0" layoutInCell="1" allowOverlap="1" wp14:anchorId="57F7DB11" wp14:editId="7F3DD2AE">
              <wp:simplePos x="0" y="0"/>
              <wp:positionH relativeFrom="page">
                <wp:posOffset>5596255</wp:posOffset>
              </wp:positionH>
              <wp:positionV relativeFrom="page">
                <wp:posOffset>9933305</wp:posOffset>
              </wp:positionV>
              <wp:extent cx="1508760" cy="3251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5120"/>
                      </a:xfrm>
                      <a:prstGeom prst="rect">
                        <a:avLst/>
                      </a:prstGeom>
                      <a:noFill/>
                      <a:ln w="6350">
                        <a:noFill/>
                      </a:ln>
                      <a:effectLst/>
                    </wps:spPr>
                    <wps:txbx>
                      <w:txbxContent>
                        <w:p w14:paraId="0FDB36E0" w14:textId="5988B0C1" w:rsidR="00181FC7" w:rsidRPr="004E0801" w:rsidRDefault="00181FC7">
                          <w:pPr>
                            <w:pStyle w:val="Footer"/>
                            <w:jc w:val="right"/>
                            <w:rPr>
                              <w:rFonts w:ascii="Times New Roman" w:hAnsi="Times New Roman" w:cs="Times New Roman"/>
                              <w:color w:val="000000"/>
                              <w:sz w:val="32"/>
                              <w:szCs w:val="40"/>
                            </w:rPr>
                          </w:pPr>
                          <w:r w:rsidRPr="004E0801">
                            <w:rPr>
                              <w:rFonts w:ascii="Times New Roman" w:hAnsi="Times New Roman" w:cs="Times New Roman"/>
                              <w:color w:val="000000"/>
                              <w:sz w:val="32"/>
                              <w:szCs w:val="40"/>
                            </w:rPr>
                            <w:fldChar w:fldCharType="begin"/>
                          </w:r>
                          <w:r w:rsidRPr="004E0801">
                            <w:rPr>
                              <w:rFonts w:ascii="Times New Roman" w:hAnsi="Times New Roman" w:cs="Times New Roman"/>
                              <w:color w:val="000000"/>
                              <w:sz w:val="32"/>
                              <w:szCs w:val="40"/>
                            </w:rPr>
                            <w:instrText xml:space="preserve"> PAGE  \* Arabic  \* MERGEFORMAT </w:instrText>
                          </w:r>
                          <w:r w:rsidRPr="004E0801">
                            <w:rPr>
                              <w:rFonts w:ascii="Times New Roman" w:hAnsi="Times New Roman" w:cs="Times New Roman"/>
                              <w:color w:val="000000"/>
                              <w:sz w:val="32"/>
                              <w:szCs w:val="40"/>
                            </w:rPr>
                            <w:fldChar w:fldCharType="separate"/>
                          </w:r>
                          <w:r w:rsidR="00C05A50">
                            <w:rPr>
                              <w:rFonts w:ascii="Times New Roman" w:hAnsi="Times New Roman" w:cs="Times New Roman"/>
                              <w:noProof/>
                              <w:color w:val="000000"/>
                              <w:sz w:val="32"/>
                              <w:szCs w:val="40"/>
                            </w:rPr>
                            <w:t>6</w:t>
                          </w:r>
                          <w:r w:rsidRPr="004E0801">
                            <w:rPr>
                              <w:rFonts w:ascii="Times New Roman" w:hAnsi="Times New Roman" w:cs="Times New Roman"/>
                              <w:color w:val="000000"/>
                              <w:sz w:val="3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F7DB11" id="_x0000_t202" coordsize="21600,21600" o:spt="202" path="m,l,21600r21600,l21600,xe">
              <v:stroke joinstyle="miter"/>
              <v:path gradientshapeok="t" o:connecttype="rect"/>
            </v:shapetype>
            <v:shape id="Text Box 56" o:spid="_x0000_s1027" type="#_x0000_t202" style="position:absolute;left:0;text-align:left;margin-left:440.65pt;margin-top:782.15pt;width:118.8pt;height:2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pzPgIAAHo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" filled="f" stroked="f" strokeweight=".5pt">
              <v:path arrowok="t"/>
              <v:textbox style="mso-fit-shape-to-text:t">
                <w:txbxContent>
                  <w:p w14:paraId="0FDB36E0" w14:textId="5988B0C1" w:rsidR="00181FC7" w:rsidRPr="004E0801" w:rsidRDefault="00181FC7">
                    <w:pPr>
                      <w:pStyle w:val="Footer"/>
                      <w:jc w:val="right"/>
                      <w:rPr>
                        <w:rFonts w:ascii="Times New Roman" w:hAnsi="Times New Roman" w:cs="Times New Roman"/>
                        <w:color w:val="000000"/>
                        <w:sz w:val="32"/>
                        <w:szCs w:val="40"/>
                      </w:rPr>
                    </w:pPr>
                    <w:r w:rsidRPr="004E0801">
                      <w:rPr>
                        <w:rFonts w:ascii="Times New Roman" w:hAnsi="Times New Roman" w:cs="Times New Roman"/>
                        <w:color w:val="000000"/>
                        <w:sz w:val="32"/>
                        <w:szCs w:val="40"/>
                      </w:rPr>
                      <w:fldChar w:fldCharType="begin"/>
                    </w:r>
                    <w:r w:rsidRPr="004E0801">
                      <w:rPr>
                        <w:rFonts w:ascii="Times New Roman" w:hAnsi="Times New Roman" w:cs="Times New Roman"/>
                        <w:color w:val="000000"/>
                        <w:sz w:val="32"/>
                        <w:szCs w:val="40"/>
                      </w:rPr>
                      <w:instrText xml:space="preserve"> PAGE  \* Arabic  \* MERGEFORMAT </w:instrText>
                    </w:r>
                    <w:r w:rsidRPr="004E0801">
                      <w:rPr>
                        <w:rFonts w:ascii="Times New Roman" w:hAnsi="Times New Roman" w:cs="Times New Roman"/>
                        <w:color w:val="000000"/>
                        <w:sz w:val="32"/>
                        <w:szCs w:val="40"/>
                      </w:rPr>
                      <w:fldChar w:fldCharType="separate"/>
                    </w:r>
                    <w:r w:rsidR="00C05A50">
                      <w:rPr>
                        <w:rFonts w:ascii="Times New Roman" w:hAnsi="Times New Roman" w:cs="Times New Roman"/>
                        <w:noProof/>
                        <w:color w:val="000000"/>
                        <w:sz w:val="32"/>
                        <w:szCs w:val="40"/>
                      </w:rPr>
                      <w:t>6</w:t>
                    </w:r>
                    <w:r w:rsidRPr="004E0801">
                      <w:rPr>
                        <w:rFonts w:ascii="Times New Roman" w:hAnsi="Times New Roman" w:cs="Times New Roman"/>
                        <w:color w:val="000000"/>
                        <w:sz w:val="32"/>
                        <w:szCs w:val="40"/>
                      </w:rPr>
                      <w:fldChar w:fldCharType="end"/>
                    </w:r>
                  </w:p>
                </w:txbxContent>
              </v:textbox>
              <w10:wrap anchorx="page" anchory="page"/>
            </v:shape>
          </w:pict>
        </mc:Fallback>
      </mc:AlternateContent>
    </w:r>
    <w:r>
      <w:rPr>
        <w:noProof/>
        <w:lang w:val="en-GB" w:eastAsia="en-GB"/>
      </w:rPr>
      <mc:AlternateContent>
        <mc:Choice Requires="wps">
          <w:drawing>
            <wp:anchor distT="91440" distB="91440" distL="114300" distR="114300" simplePos="0" relativeHeight="251658240" behindDoc="1" locked="0" layoutInCell="1" allowOverlap="1" wp14:anchorId="5A9BF59D" wp14:editId="659A4391">
              <wp:simplePos x="0" y="0"/>
              <wp:positionH relativeFrom="page">
                <wp:posOffset>457200</wp:posOffset>
              </wp:positionH>
              <wp:positionV relativeFrom="page">
                <wp:posOffset>9933305</wp:posOffset>
              </wp:positionV>
              <wp:extent cx="6646545"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6D710C8" id="Rectangle 58" o:spid="_x0000_s1026" style="position:absolute;margin-left:36pt;margin-top:782.15pt;width:523.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" fillcolor="#4f81bd" stroked="f" strokeweight="2pt">
              <v:path arrowok="t"/>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EE42" w14:textId="77777777" w:rsidR="001108E0" w:rsidRDefault="0011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16EA" w14:textId="77777777" w:rsidR="00B5113A" w:rsidRDefault="00B5113A">
      <w:r>
        <w:separator/>
      </w:r>
    </w:p>
  </w:footnote>
  <w:footnote w:type="continuationSeparator" w:id="0">
    <w:p w14:paraId="4B87A8CB" w14:textId="77777777" w:rsidR="00B5113A" w:rsidRDefault="00B5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3C52" w14:textId="77777777" w:rsidR="001108E0" w:rsidRDefault="0011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9F43" w14:textId="4671ED3C" w:rsidR="00C80196" w:rsidRPr="004E0801" w:rsidRDefault="00C80196" w:rsidP="004E0801">
    <w:pPr>
      <w:pStyle w:val="Header"/>
      <w:jc w:val="right"/>
      <w:rPr>
        <w:rFonts w:ascii="Times New Roman" w:hAnsi="Times New Roman" w:cs="Times New Roman"/>
      </w:rPr>
    </w:pPr>
    <w:r w:rsidRPr="004E0801">
      <w:rPr>
        <w:rFonts w:ascii="Times New Roman" w:hAnsi="Times New Roman" w:cs="Times New Roman"/>
        <w:i/>
      </w:rPr>
      <w:t>O’Sullivan &amp; Hilliard’s The Law of Contract</w:t>
    </w:r>
    <w:r w:rsidRPr="004E0801">
      <w:rPr>
        <w:rFonts w:ascii="Times New Roman" w:hAnsi="Times New Roman" w:cs="Times New Roman"/>
      </w:rPr>
      <w:t xml:space="preserve"> </w:t>
    </w:r>
    <w:r w:rsidR="0099377C">
      <w:rPr>
        <w:rFonts w:ascii="Times New Roman" w:hAnsi="Times New Roman" w:cs="Times New Roman"/>
      </w:rPr>
      <w:t>10</w:t>
    </w:r>
    <w:r w:rsidR="00471B11" w:rsidRPr="004E0801">
      <w:rPr>
        <w:rFonts w:ascii="Times New Roman" w:hAnsi="Times New Roman" w:cs="Times New Roman"/>
        <w:vertAlign w:val="superscript"/>
      </w:rPr>
      <w:t>th</w:t>
    </w:r>
    <w:r w:rsidR="00471B11" w:rsidRPr="004E0801">
      <w:rPr>
        <w:rFonts w:ascii="Times New Roman" w:hAnsi="Times New Roman" w:cs="Times New Roman"/>
      </w:rPr>
      <w:t xml:space="preserve"> </w:t>
    </w:r>
    <w:r w:rsidRPr="004E0801">
      <w:rPr>
        <w:rFonts w:ascii="Times New Roman" w:hAnsi="Times New Roman" w:cs="Times New Roman"/>
      </w:rPr>
      <w:t>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B0FE" w14:textId="77777777" w:rsidR="001108E0" w:rsidRDefault="00110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28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6CCC0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BE85D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060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063E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D8406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A8C9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4368C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CCBD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A48CE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122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224594"/>
    <w:multiLevelType w:val="singleLevel"/>
    <w:tmpl w:val="242E7DD0"/>
    <w:lvl w:ilvl="0">
      <w:start w:val="2"/>
      <w:numFmt w:val="decimal"/>
      <w:lvlText w:val="%1"/>
      <w:legacy w:legacy="1" w:legacySpace="0" w:legacyIndent="355"/>
      <w:lvlJc w:val="left"/>
      <w:rPr>
        <w:rFonts w:ascii="Arial" w:hAnsi="Arial" w:cs="Arial" w:hint="default"/>
      </w:rPr>
    </w:lvl>
  </w:abstractNum>
  <w:abstractNum w:abstractNumId="12" w15:restartNumberingAfterBreak="0">
    <w:nsid w:val="7E276D3F"/>
    <w:multiLevelType w:val="singleLevel"/>
    <w:tmpl w:val="C09CB95C"/>
    <w:lvl w:ilvl="0">
      <w:start w:val="1"/>
      <w:numFmt w:val="decimal"/>
      <w:lvlText w:val="%1"/>
      <w:legacy w:legacy="1" w:legacySpace="0" w:legacyIndent="355"/>
      <w:lvlJc w:val="left"/>
      <w:rPr>
        <w:rFonts w:ascii="Arial" w:hAnsi="Arial" w:cs="Arial"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B8"/>
    <w:rsid w:val="00003332"/>
    <w:rsid w:val="000D0043"/>
    <w:rsid w:val="000D68C6"/>
    <w:rsid w:val="001108E0"/>
    <w:rsid w:val="00181FC7"/>
    <w:rsid w:val="001A2114"/>
    <w:rsid w:val="0037072C"/>
    <w:rsid w:val="00471B11"/>
    <w:rsid w:val="004E0801"/>
    <w:rsid w:val="006468A9"/>
    <w:rsid w:val="00877AD9"/>
    <w:rsid w:val="0098010A"/>
    <w:rsid w:val="0099377C"/>
    <w:rsid w:val="00A6753D"/>
    <w:rsid w:val="00A74AD3"/>
    <w:rsid w:val="00A96E76"/>
    <w:rsid w:val="00B5113A"/>
    <w:rsid w:val="00B605B7"/>
    <w:rsid w:val="00C05A50"/>
    <w:rsid w:val="00C07CC1"/>
    <w:rsid w:val="00C37D0B"/>
    <w:rsid w:val="00C80196"/>
    <w:rsid w:val="00DC2AD2"/>
    <w:rsid w:val="00E406B5"/>
    <w:rsid w:val="00E5511D"/>
    <w:rsid w:val="00E67F29"/>
    <w:rsid w:val="00ED496E"/>
    <w:rsid w:val="00F4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285DAE"/>
  <w15:chartTrackingRefBased/>
  <w15:docId w15:val="{57C43B20-9A84-4A33-82FA-788A42EF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pPr>
      <w:spacing w:line="1944" w:lineRule="atLeast"/>
      <w:textAlignment w:val="center"/>
    </w:pPr>
    <w:rPr>
      <w:rFonts w:ascii="Mundo Sans Std" w:hAnsi="Mundo Sans Std" w:cs="Mundo Sans Std"/>
      <w:color w:val="6159AC"/>
      <w:sz w:val="162"/>
      <w:szCs w:val="162"/>
      <w:lang w:val="en-GB"/>
    </w:rPr>
  </w:style>
  <w:style w:type="paragraph" w:customStyle="1" w:styleId="CT">
    <w:name w:val="CT"/>
    <w:basedOn w:val="Normal"/>
    <w:pPr>
      <w:spacing w:line="440" w:lineRule="atLeast"/>
      <w:textAlignment w:val="center"/>
    </w:pPr>
    <w:rPr>
      <w:rFonts w:ascii="Mundo Sans Std" w:hAnsi="Mundo Sans Std" w:cs="Mundo Sans Std"/>
      <w:color w:val="6159AC"/>
      <w:sz w:val="38"/>
      <w:szCs w:val="38"/>
      <w:lang w:val="en-GB"/>
    </w:rPr>
  </w:style>
  <w:style w:type="paragraph" w:customStyle="1" w:styleId="FT1Head">
    <w:name w:val="FT1_Head"/>
    <w:basedOn w:val="Normal"/>
    <w:pPr>
      <w:pageBreakBefore/>
      <w:spacing w:before="200" w:after="120" w:line="288" w:lineRule="auto"/>
      <w:textAlignment w:val="center"/>
    </w:pPr>
    <w:rPr>
      <w:rFonts w:ascii="Mundo Sans Std" w:hAnsi="Mundo Sans Std" w:cs="Mundo Sans Std"/>
      <w:caps/>
      <w:color w:val="000000"/>
      <w:spacing w:val="24"/>
      <w:sz w:val="24"/>
      <w:szCs w:val="24"/>
      <w:lang w:val="en-GB"/>
    </w:rPr>
  </w:style>
  <w:style w:type="paragraph" w:customStyle="1" w:styleId="FT1Text">
    <w:name w:val="FT1_Text"/>
    <w:basedOn w:val="Normal"/>
    <w:pPr>
      <w:spacing w:line="288" w:lineRule="auto"/>
      <w:jc w:val="both"/>
      <w:textAlignment w:val="center"/>
    </w:pPr>
    <w:rPr>
      <w:rFonts w:ascii="Mundo Sans Std" w:hAnsi="Mundo Sans Std" w:cs="Mundo Sans Std"/>
      <w:color w:val="000000"/>
      <w:sz w:val="18"/>
      <w:szCs w:val="18"/>
      <w:lang w:val="en-GB"/>
    </w:rPr>
  </w:style>
  <w:style w:type="paragraph" w:customStyle="1" w:styleId="PMI">
    <w:name w:val="PMI"/>
    <w:basedOn w:val="Normal"/>
    <w:pPr>
      <w:suppressAutoHyphens/>
      <w:spacing w:line="480" w:lineRule="auto"/>
      <w:textAlignment w:val="center"/>
    </w:pPr>
    <w:rPr>
      <w:rFonts w:ascii="Times New Roman" w:hAnsi="Times New Roman" w:cs="Times New Roman"/>
      <w:noProof/>
      <w:sz w:val="24"/>
      <w:szCs w:val="48"/>
      <w:lang w:val="en-GB"/>
    </w:rPr>
  </w:style>
  <w:style w:type="paragraph" w:customStyle="1" w:styleId="Text">
    <w:name w:val="Text"/>
    <w:basedOn w:val="Normal"/>
    <w:pPr>
      <w:spacing w:line="480" w:lineRule="auto"/>
      <w:ind w:left="648" w:hanging="648"/>
      <w:jc w:val="both"/>
      <w:textAlignment w:val="center"/>
    </w:pPr>
    <w:rPr>
      <w:rFonts w:ascii="MinionPro-Regular" w:eastAsia="MS Mincho" w:hAnsi="MinionPro-Regular" w:cs="Times New Roman"/>
      <w:color w:val="000000"/>
      <w:sz w:val="24"/>
      <w:szCs w:val="24"/>
      <w:lang w:val="en-GB"/>
    </w:rPr>
  </w:style>
  <w:style w:type="paragraph" w:customStyle="1" w:styleId="TextInd">
    <w:name w:val="TextInd"/>
    <w:basedOn w:val="Normal"/>
    <w:pPr>
      <w:spacing w:before="200" w:line="480" w:lineRule="auto"/>
      <w:ind w:left="648" w:hanging="648"/>
      <w:jc w:val="both"/>
      <w:textAlignment w:val="center"/>
    </w:pPr>
    <w:rPr>
      <w:rFonts w:ascii="MinionPro-Regular" w:eastAsia="MS Mincho" w:hAnsi="MinionPro-Regular" w:cs="Times New Roman"/>
      <w:color w:val="000000"/>
      <w:sz w:val="24"/>
      <w:szCs w:val="24"/>
      <w:lang w:val="en-GB"/>
    </w:rPr>
  </w:style>
  <w:style w:type="paragraph" w:customStyle="1" w:styleId="Default">
    <w:name w:val="Default"/>
    <w:pPr>
      <w:autoSpaceDE w:val="0"/>
      <w:autoSpaceDN w:val="0"/>
      <w:adjustRightInd w:val="0"/>
    </w:pPr>
    <w:rPr>
      <w:rFonts w:ascii="Mundo Sans Std" w:hAnsi="Mundo Sans Std"/>
      <w:color w:val="000000"/>
      <w:sz w:val="24"/>
      <w:szCs w:val="24"/>
      <w:lang w:val="en-US" w:eastAsia="en-US"/>
    </w:rPr>
  </w:style>
  <w:style w:type="paragraph" w:customStyle="1" w:styleId="AHead">
    <w:name w:val="AHead"/>
    <w:basedOn w:val="Normal"/>
    <w:pPr>
      <w:keepNext/>
      <w:pBdr>
        <w:bottom w:val="single" w:sz="96" w:space="0" w:color="6159AC"/>
      </w:pBdr>
      <w:suppressAutoHyphens/>
      <w:spacing w:before="620" w:after="400" w:line="340" w:lineRule="atLeast"/>
      <w:ind w:right="120"/>
      <w:textAlignment w:val="center"/>
    </w:pPr>
    <w:rPr>
      <w:rFonts w:ascii="Mundo Sans Std" w:eastAsia="MS Mincho" w:hAnsi="Mundo Sans Std" w:cs="Times New Roman"/>
      <w:color w:val="000000"/>
      <w:spacing w:val="3"/>
      <w:sz w:val="30"/>
      <w:szCs w:val="30"/>
      <w:lang w:val="en-GB"/>
    </w:rPr>
  </w:style>
  <w:style w:type="paragraph" w:customStyle="1" w:styleId="Extract3">
    <w:name w:val="Extract3"/>
    <w:basedOn w:val="Normal"/>
    <w:pPr>
      <w:shd w:val="clear" w:color="auto" w:fill="FFFFFF"/>
      <w:spacing w:before="235" w:line="480" w:lineRule="auto"/>
      <w:ind w:left="955" w:right="370"/>
      <w:jc w:val="both"/>
    </w:pPr>
    <w:rPr>
      <w:rFonts w:ascii="Times New Roman" w:hAnsi="Times New Roman"/>
      <w:i/>
      <w:sz w:val="24"/>
    </w:rPr>
  </w:style>
  <w:style w:type="paragraph" w:customStyle="1" w:styleId="RefHead">
    <w:name w:val="RefHead"/>
    <w:basedOn w:val="Normal"/>
    <w:pPr>
      <w:keepNext/>
      <w:pBdr>
        <w:bottom w:val="single" w:sz="40" w:space="0" w:color="6159AC"/>
      </w:pBdr>
      <w:spacing w:before="340" w:after="100" w:line="340" w:lineRule="atLeast"/>
      <w:jc w:val="both"/>
      <w:textAlignment w:val="center"/>
    </w:pPr>
    <w:rPr>
      <w:rFonts w:ascii="Mundo Sans Std" w:eastAsia="MS Mincho" w:hAnsi="Mundo Sans Std" w:cs="Times New Roman"/>
      <w:caps/>
      <w:color w:val="6159AC"/>
      <w:spacing w:val="32"/>
      <w:sz w:val="32"/>
      <w:szCs w:val="32"/>
      <w:lang w:val="en-GB"/>
    </w:rPr>
  </w:style>
  <w:style w:type="paragraph" w:customStyle="1" w:styleId="SelfQuestion">
    <w:name w:val="SelfQuestion"/>
    <w:basedOn w:val="Normal"/>
    <w:pPr>
      <w:tabs>
        <w:tab w:val="left" w:pos="1320"/>
      </w:tabs>
      <w:spacing w:before="80" w:line="288" w:lineRule="auto"/>
      <w:ind w:left="360" w:hanging="360"/>
      <w:jc w:val="both"/>
      <w:textAlignment w:val="center"/>
    </w:pPr>
    <w:rPr>
      <w:rFonts w:ascii="Mundo Sans Std" w:eastAsia="MS Mincho" w:hAnsi="Mundo Sans Std" w:cs="Times New Roman"/>
      <w:color w:val="000000"/>
      <w:sz w:val="18"/>
      <w:szCs w:val="18"/>
      <w:lang w:val="en-GB"/>
    </w:rPr>
  </w:style>
  <w:style w:type="character" w:customStyle="1" w:styleId="OverNum">
    <w:name w:val="OverNum"/>
    <w:rPr>
      <w:rFonts w:ascii="Mundo Sans Std" w:hAnsi="Mundo Sans Std"/>
      <w:sz w:val="18"/>
      <w:lang w:val="en-GB" w:eastAsia="x-non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05B7"/>
    <w:rPr>
      <w:rFonts w:ascii="Arial" w:hAnsi="Arial" w:cs="Arial"/>
      <w:lang w:val="en-US" w:eastAsia="en-US"/>
    </w:rPr>
  </w:style>
  <w:style w:type="paragraph" w:customStyle="1" w:styleId="7F164CA3BF9C4373845ECB452A5D9922">
    <w:name w:val="7F164CA3BF9C4373845ECB452A5D9922"/>
    <w:rsid w:val="00181FC7"/>
    <w:pPr>
      <w:spacing w:after="200" w:line="276" w:lineRule="auto"/>
    </w:pPr>
    <w:rPr>
      <w:rFonts w:eastAsia="MS Mincho" w:cs="Arial"/>
      <w:sz w:val="22"/>
      <w:szCs w:val="22"/>
      <w:lang w:val="en-US" w:eastAsia="ja-JP"/>
    </w:rPr>
  </w:style>
  <w:style w:type="paragraph" w:styleId="BalloonText">
    <w:name w:val="Balloon Text"/>
    <w:basedOn w:val="Normal"/>
    <w:link w:val="BalloonTextChar"/>
    <w:uiPriority w:val="99"/>
    <w:semiHidden/>
    <w:unhideWhenUsed/>
    <w:rsid w:val="004E0801"/>
    <w:rPr>
      <w:rFonts w:ascii="Tahoma" w:hAnsi="Tahoma" w:cs="Tahoma"/>
      <w:sz w:val="16"/>
      <w:szCs w:val="16"/>
    </w:rPr>
  </w:style>
  <w:style w:type="character" w:customStyle="1" w:styleId="BalloonTextChar">
    <w:name w:val="Balloon Text Char"/>
    <w:link w:val="BalloonText"/>
    <w:uiPriority w:val="99"/>
    <w:semiHidden/>
    <w:rsid w:val="004E08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358253B69048A9BFA04288C721C8" ma:contentTypeVersion="14" ma:contentTypeDescription="Create a new document." ma:contentTypeScope="" ma:versionID="74453c2d7f730a14c8dfeb6638fffe2b">
  <xsd:schema xmlns:xsd="http://www.w3.org/2001/XMLSchema" xmlns:xs="http://www.w3.org/2001/XMLSchema" xmlns:p="http://schemas.microsoft.com/office/2006/metadata/properties" xmlns:ns3="96ee5b3c-487d-4359-8f8c-14f3ca749aa4" xmlns:ns4="113405b0-897b-48d2-9483-2804620f854c" targetNamespace="http://schemas.microsoft.com/office/2006/metadata/properties" ma:root="true" ma:fieldsID="a94c31695bcf0ee222faeb263aee69b0" ns3:_="" ns4:_="">
    <xsd:import namespace="96ee5b3c-487d-4359-8f8c-14f3ca749aa4"/>
    <xsd:import namespace="113405b0-897b-48d2-9483-2804620f85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e5b3c-487d-4359-8f8c-14f3ca749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405b0-897b-48d2-9483-2804620f85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E9418-82A7-460C-8DD9-6BC7C2E7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e5b3c-487d-4359-8f8c-14f3ca749aa4"/>
    <ds:schemaRef ds:uri="113405b0-897b-48d2-9483-2804620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71E3B-3907-41FE-A01D-AD3E7649C6D2}">
  <ds:schemaRefs>
    <ds:schemaRef ds:uri="http://schemas.microsoft.com/sharepoint/v3/contenttype/forms"/>
  </ds:schemaRefs>
</ds:datastoreItem>
</file>

<file path=customXml/itemProps3.xml><?xml version="1.0" encoding="utf-8"?>
<ds:datastoreItem xmlns:ds="http://schemas.openxmlformats.org/officeDocument/2006/customXml" ds:itemID="{3F19E8FF-EE1C-4820-B1CE-45A0D435161A}">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113405b0-897b-48d2-9483-2804620f854c"/>
    <ds:schemaRef ds:uri="96ee5b3c-487d-4359-8f8c-14f3ca749a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2865</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Janet O'Sullivan</dc:creator>
  <cp:keywords/>
  <cp:lastModifiedBy>STEPHENSON, Sarah</cp:lastModifiedBy>
  <cp:revision>6</cp:revision>
  <cp:lastPrinted>2018-05-02T09:03:00Z</cp:lastPrinted>
  <dcterms:created xsi:type="dcterms:W3CDTF">2021-11-22T14:23:00Z</dcterms:created>
  <dcterms:modified xsi:type="dcterms:W3CDTF">2021-11-30T10:40:00Z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0x010100ECFB358253B69048A9BFA04288C721C8</vt:lpwstr>
  </property>
  <property fmtid="{D5CDD505-2E9C-101B-9397-08002B2CF9AE}" pid="3" name="MSIP_Label_be5cb09a-2992-49d6-8ac9-5f63e7b1ad2f_Enabled">
    <vt:lpwstr>true</vt:lpwstr>
  </property>
  <property fmtid="{D5CDD505-2E9C-101B-9397-08002B2CF9AE}" pid="4" name="MSIP_Label_be5cb09a-2992-49d6-8ac9-5f63e7b1ad2f_SetDate">
    <vt:lpwstr>2021-11-30T10:40:16Z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f4455dc1-0545-4396-9e40-0000a7ff03a8</vt:lpwstr>
  </property>
  <property fmtid="{D5CDD505-2E9C-101B-9397-08002B2CF9AE}" pid="9" name="MSIP_Label_be5cb09a-2992-49d6-8ac9-5f63e7b1ad2f_ContentBits">
    <vt:lpwstr>0</vt:lpwstr>
  </property>
</Properties>
</file>