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153" w14:textId="1700A421" w:rsidR="005020F5" w:rsidRDefault="005020F5" w:rsidP="005020F5">
      <w:pPr>
        <w:pStyle w:val="Heading1"/>
      </w:pPr>
      <w:r>
        <w:t xml:space="preserve">Answer guidance </w:t>
      </w:r>
    </w:p>
    <w:p w14:paraId="1816FB8C" w14:textId="77777777" w:rsidR="009F6139" w:rsidRDefault="009F6139" w:rsidP="009F6139"/>
    <w:p w14:paraId="1AFF62B2" w14:textId="5F5CFB12" w:rsidR="009F6139" w:rsidRDefault="009F6139" w:rsidP="009F6139">
      <w:pPr>
        <w:pStyle w:val="Heading2"/>
      </w:pPr>
      <w:r>
        <w:t>Question:</w:t>
      </w:r>
    </w:p>
    <w:p w14:paraId="0ACD7369" w14:textId="77777777" w:rsidR="0085395F" w:rsidRPr="00F87400" w:rsidRDefault="0085395F" w:rsidP="00F87400">
      <w:pPr>
        <w:pStyle w:val="P"/>
        <w:spacing w:line="276" w:lineRule="auto"/>
        <w:rPr>
          <w:rFonts w:ascii="Calibri" w:hAnsi="Calibri" w:cs="Calibri"/>
          <w:szCs w:val="24"/>
          <w:lang w:val="en-GB"/>
        </w:rPr>
      </w:pPr>
      <w:r w:rsidRPr="00F87400">
        <w:rPr>
          <w:rFonts w:ascii="Calibri" w:hAnsi="Calibri" w:cs="Calibri"/>
          <w:szCs w:val="24"/>
          <w:lang w:val="en-GB"/>
        </w:rPr>
        <w:t>X suggests to D1 that if D1 stole some designer handbags they could make a lot of money by selling them. D1 agrees with D2 to smash the window of a designer shop and grab several bags. D2 discusses the plan with D3 who agrees to sell the bags but only if they are made by a specific Italian fashion house. Two days later he withdraws from the plan when he hears from D2 that the type of bag cannot be guaranteed. D1 and D2 are husband and wife. D1 rides to the shop with a brick in his backpack. He is standing on the pavement in front of the shop when he is arrested.</w:t>
      </w:r>
    </w:p>
    <w:p w14:paraId="06D14203" w14:textId="77777777" w:rsidR="0085395F" w:rsidRPr="00F87400" w:rsidRDefault="0085395F" w:rsidP="00F87400">
      <w:pPr>
        <w:pStyle w:val="PI"/>
        <w:spacing w:before="120" w:line="276" w:lineRule="auto"/>
        <w:rPr>
          <w:rFonts w:ascii="Calibri" w:hAnsi="Calibri" w:cs="Calibri"/>
        </w:rPr>
      </w:pPr>
      <w:r w:rsidRPr="00F87400">
        <w:rPr>
          <w:rFonts w:ascii="Calibri" w:hAnsi="Calibri" w:cs="Calibri"/>
        </w:rPr>
        <w:t>Discuss the liability of all parties, if any, for inchoate offences.</w:t>
      </w:r>
    </w:p>
    <w:p w14:paraId="0D18C86B" w14:textId="77777777" w:rsidR="0085395F" w:rsidRPr="00F87400" w:rsidRDefault="0085395F" w:rsidP="00F87400">
      <w:pPr>
        <w:spacing w:line="276" w:lineRule="auto"/>
        <w:rPr>
          <w:rFonts w:ascii="Calibri" w:hAnsi="Calibri" w:cs="Calibri"/>
          <w:sz w:val="24"/>
          <w:szCs w:val="24"/>
        </w:rPr>
      </w:pPr>
    </w:p>
    <w:p w14:paraId="0C883292" w14:textId="24DE2FC7" w:rsidR="005020F5" w:rsidRPr="00F87400" w:rsidRDefault="005020F5" w:rsidP="00F87400">
      <w:pPr>
        <w:pStyle w:val="Heading2"/>
        <w:spacing w:line="276" w:lineRule="auto"/>
        <w:rPr>
          <w:rFonts w:ascii="Calibri" w:hAnsi="Calibri" w:cs="Calibri"/>
          <w:sz w:val="24"/>
          <w:szCs w:val="24"/>
        </w:rPr>
      </w:pPr>
      <w:r w:rsidRPr="00F87400">
        <w:rPr>
          <w:rFonts w:ascii="Calibri" w:hAnsi="Calibri" w:cs="Calibri"/>
          <w:sz w:val="24"/>
          <w:szCs w:val="24"/>
        </w:rPr>
        <w:t>Key issues:</w:t>
      </w:r>
    </w:p>
    <w:p w14:paraId="58FBBF98" w14:textId="48265E62" w:rsidR="0085395F" w:rsidRDefault="0085395F" w:rsidP="0085395F">
      <w:r>
        <w:t>Identify the relevant offences:</w:t>
      </w:r>
    </w:p>
    <w:p w14:paraId="02FFA089" w14:textId="50C86AEE" w:rsidR="0085395F" w:rsidRPr="00F87400" w:rsidRDefault="0085395F" w:rsidP="00F87400">
      <w:pPr>
        <w:pStyle w:val="ListParagraph"/>
        <w:numPr>
          <w:ilvl w:val="0"/>
          <w:numId w:val="7"/>
        </w:numPr>
      </w:pPr>
      <w:r>
        <w:t xml:space="preserve">X – whether there is </w:t>
      </w:r>
      <w:r w:rsidR="00F87400">
        <w:t>a</w:t>
      </w:r>
      <w:r w:rsidRPr="00F87400">
        <w:t xml:space="preserve">ssisting and </w:t>
      </w:r>
      <w:r w:rsidR="00F87400">
        <w:t>e</w:t>
      </w:r>
      <w:r w:rsidRPr="00F87400">
        <w:t>ncouraging under either s44 or s45 Serious Crime Act 2007</w:t>
      </w:r>
    </w:p>
    <w:p w14:paraId="37389CF5" w14:textId="57FE80B9" w:rsidR="0085395F" w:rsidRPr="00F87400" w:rsidRDefault="0085395F" w:rsidP="00F87400">
      <w:pPr>
        <w:pStyle w:val="ListParagraph"/>
        <w:numPr>
          <w:ilvl w:val="0"/>
          <w:numId w:val="7"/>
        </w:numPr>
      </w:pPr>
      <w:r w:rsidRPr="00F87400">
        <w:t>D1 – whether there is a conspiracy and an attempt</w:t>
      </w:r>
      <w:r w:rsidR="00F87400" w:rsidRPr="00F87400">
        <w:t xml:space="preserve">. Whether there is an act which is more than merely preparatory. </w:t>
      </w:r>
    </w:p>
    <w:p w14:paraId="7D5574B3" w14:textId="63632AD1" w:rsidR="0085395F" w:rsidRPr="00F87400" w:rsidRDefault="0085395F" w:rsidP="00F87400">
      <w:pPr>
        <w:pStyle w:val="ListParagraph"/>
        <w:numPr>
          <w:ilvl w:val="0"/>
          <w:numId w:val="7"/>
        </w:numPr>
      </w:pPr>
      <w:r w:rsidRPr="00F87400">
        <w:t xml:space="preserve">D2 </w:t>
      </w:r>
      <w:r w:rsidR="00F87400" w:rsidRPr="00F87400">
        <w:t>–</w:t>
      </w:r>
      <w:r w:rsidRPr="00F87400">
        <w:t xml:space="preserve"> conspiracy</w:t>
      </w:r>
    </w:p>
    <w:p w14:paraId="2A5939B8" w14:textId="30A8AB9D" w:rsidR="00F87400" w:rsidRDefault="00F87400" w:rsidP="00F87400">
      <w:pPr>
        <w:pStyle w:val="ListParagraph"/>
        <w:numPr>
          <w:ilvl w:val="0"/>
          <w:numId w:val="7"/>
        </w:numPr>
      </w:pPr>
      <w:r w:rsidRPr="00F87400">
        <w:t xml:space="preserve">Does the fact that D1 is married to D2 make a difference to the outcome? </w:t>
      </w:r>
    </w:p>
    <w:p w14:paraId="51CC643A" w14:textId="6E6E8E48" w:rsidR="00F87400" w:rsidRDefault="00F87400" w:rsidP="00F87400">
      <w:pPr>
        <w:pStyle w:val="ListParagraph"/>
        <w:numPr>
          <w:ilvl w:val="0"/>
          <w:numId w:val="7"/>
        </w:numPr>
      </w:pPr>
      <w:r>
        <w:t xml:space="preserve">Is there a conditional intent? </w:t>
      </w:r>
    </w:p>
    <w:p w14:paraId="225551C0" w14:textId="77777777" w:rsidR="002C30D3" w:rsidRPr="0085395F" w:rsidRDefault="002C30D3" w:rsidP="002C30D3">
      <w:pPr>
        <w:pStyle w:val="ListParagraph"/>
      </w:pPr>
    </w:p>
    <w:p w14:paraId="7FD9692D" w14:textId="599D30DE" w:rsidR="005020F5" w:rsidRPr="00F87400" w:rsidRDefault="005020F5" w:rsidP="005020F5">
      <w:pPr>
        <w:pStyle w:val="Heading2"/>
      </w:pPr>
      <w:r w:rsidRPr="00F87400">
        <w:t>Key law</w:t>
      </w:r>
    </w:p>
    <w:p w14:paraId="52A4DDDB" w14:textId="77777777" w:rsidR="005020F5" w:rsidRDefault="005020F5" w:rsidP="005020F5">
      <w:r>
        <w:t>You will find relevant legal rules in:</w:t>
      </w:r>
    </w:p>
    <w:p w14:paraId="62016FD5" w14:textId="0B11CC0E" w:rsidR="005020F5" w:rsidRPr="00F87400" w:rsidRDefault="00E603A3" w:rsidP="00F87400">
      <w:pPr>
        <w:pStyle w:val="ListParagraph"/>
        <w:numPr>
          <w:ilvl w:val="0"/>
          <w:numId w:val="6"/>
        </w:numPr>
      </w:pPr>
      <w:r w:rsidRPr="00F87400">
        <w:t xml:space="preserve">Attempt </w:t>
      </w:r>
      <w:r w:rsidR="00F87400" w:rsidRPr="00F87400">
        <w:t>–</w:t>
      </w:r>
      <w:r w:rsidR="00E3752E" w:rsidRPr="00F87400">
        <w:t xml:space="preserve"> </w:t>
      </w:r>
      <w:r w:rsidR="00F87400" w:rsidRPr="00F87400">
        <w:t xml:space="preserve">an act which is more than merely preparatory - </w:t>
      </w:r>
      <w:r w:rsidRPr="002C30D3">
        <w:rPr>
          <w:i/>
          <w:iCs/>
        </w:rPr>
        <w:t>Campbell</w:t>
      </w:r>
      <w:r w:rsidRPr="00F87400">
        <w:t xml:space="preserve">, </w:t>
      </w:r>
      <w:proofErr w:type="spellStart"/>
      <w:r w:rsidRPr="002C30D3">
        <w:rPr>
          <w:i/>
          <w:iCs/>
        </w:rPr>
        <w:t>Gullefer</w:t>
      </w:r>
      <w:proofErr w:type="spellEnd"/>
      <w:r w:rsidRPr="00F87400">
        <w:t xml:space="preserve">, </w:t>
      </w:r>
      <w:r w:rsidRPr="002C30D3">
        <w:rPr>
          <w:i/>
          <w:iCs/>
        </w:rPr>
        <w:t>Jones</w:t>
      </w:r>
      <w:r w:rsidRPr="00F87400">
        <w:t xml:space="preserve">, </w:t>
      </w:r>
      <w:r w:rsidRPr="002C30D3">
        <w:rPr>
          <w:i/>
          <w:iCs/>
        </w:rPr>
        <w:t>Nash</w:t>
      </w:r>
      <w:r w:rsidR="00F87400">
        <w:t xml:space="preserve"> </w:t>
      </w:r>
      <w:r w:rsidR="00E3752E" w:rsidRPr="00F87400">
        <w:t>(12.1.4)</w:t>
      </w:r>
    </w:p>
    <w:p w14:paraId="2EEFE9E6" w14:textId="1A26F3EB" w:rsidR="00E603A3" w:rsidRPr="00F87400" w:rsidRDefault="00E603A3" w:rsidP="00F87400">
      <w:pPr>
        <w:pStyle w:val="ListParagraph"/>
        <w:numPr>
          <w:ilvl w:val="0"/>
          <w:numId w:val="6"/>
        </w:numPr>
      </w:pPr>
      <w:r w:rsidRPr="00F87400">
        <w:t>S44 and s45 Serious Crime Act 2007 (</w:t>
      </w:r>
      <w:r w:rsidR="00E3752E" w:rsidRPr="00F87400">
        <w:t>12.3.3 and 12.3.4)</w:t>
      </w:r>
    </w:p>
    <w:p w14:paraId="368CDEC1" w14:textId="1CFDFB2E" w:rsidR="00E603A3" w:rsidRDefault="00E603A3" w:rsidP="00F87400">
      <w:pPr>
        <w:pStyle w:val="ListParagraph"/>
        <w:numPr>
          <w:ilvl w:val="0"/>
          <w:numId w:val="6"/>
        </w:numPr>
      </w:pPr>
      <w:r w:rsidRPr="00F87400">
        <w:t xml:space="preserve">Conspiracy </w:t>
      </w:r>
      <w:r w:rsidR="00E3752E" w:rsidRPr="00F87400">
        <w:t xml:space="preserve">– Criminal Law Act 1977 (12.2.2) and </w:t>
      </w:r>
      <w:proofErr w:type="spellStart"/>
      <w:r w:rsidR="00E3752E" w:rsidRPr="002C30D3">
        <w:rPr>
          <w:i/>
          <w:iCs/>
        </w:rPr>
        <w:t>Siracusa</w:t>
      </w:r>
      <w:proofErr w:type="spellEnd"/>
      <w:r w:rsidR="00E3752E" w:rsidRPr="00F87400">
        <w:t>/</w:t>
      </w:r>
      <w:r w:rsidR="00E3752E" w:rsidRPr="002C30D3">
        <w:rPr>
          <w:i/>
          <w:iCs/>
        </w:rPr>
        <w:t>Yip Chen-Cheung</w:t>
      </w:r>
    </w:p>
    <w:p w14:paraId="5699D38C" w14:textId="3E2DF450" w:rsidR="00F87400" w:rsidRDefault="00F87400" w:rsidP="00F87400">
      <w:pPr>
        <w:pStyle w:val="ListParagraph"/>
        <w:numPr>
          <w:ilvl w:val="0"/>
          <w:numId w:val="6"/>
        </w:numPr>
      </w:pPr>
      <w:r>
        <w:t>Conditional intent (Chapter 10, 10.1.3)</w:t>
      </w:r>
    </w:p>
    <w:p w14:paraId="0402786F" w14:textId="77777777" w:rsidR="002C30D3" w:rsidRPr="00F87400" w:rsidRDefault="002C30D3" w:rsidP="002C30D3">
      <w:pPr>
        <w:pStyle w:val="ListParagraph"/>
      </w:pPr>
    </w:p>
    <w:p w14:paraId="119FA4EB" w14:textId="6DD2E5DB" w:rsidR="005020F5" w:rsidRPr="00F87400" w:rsidRDefault="005020F5" w:rsidP="005020F5">
      <w:pPr>
        <w:pStyle w:val="Heading2"/>
      </w:pPr>
      <w:r w:rsidRPr="00F87400">
        <w:t>Hint</w:t>
      </w:r>
      <w:r w:rsidR="002C30D3">
        <w:t>s</w:t>
      </w:r>
      <w:r w:rsidRPr="00F87400">
        <w:t>:</w:t>
      </w:r>
    </w:p>
    <w:p w14:paraId="400D0473" w14:textId="711B8A31" w:rsidR="00E3752E" w:rsidRDefault="00E3752E" w:rsidP="00E3752E">
      <w:pPr>
        <w:pStyle w:val="ListParagraph"/>
        <w:numPr>
          <w:ilvl w:val="0"/>
          <w:numId w:val="5"/>
        </w:numPr>
      </w:pPr>
      <w:r>
        <w:t xml:space="preserve">Remember that the offences in the Serious Crime Act are wide and it may be difficult to decide on the appropriate section. Work through each element carefully making sure you do not miss out elements of the AR or MR. The offences can be committed recklessly. </w:t>
      </w:r>
    </w:p>
    <w:p w14:paraId="48917582" w14:textId="794B9ECE" w:rsidR="00E3752E" w:rsidRDefault="00E3752E" w:rsidP="00E3752E">
      <w:pPr>
        <w:pStyle w:val="ListParagraph"/>
        <w:numPr>
          <w:ilvl w:val="0"/>
          <w:numId w:val="5"/>
        </w:numPr>
      </w:pPr>
      <w:r>
        <w:t xml:space="preserve">No defences seem to apply here. </w:t>
      </w:r>
    </w:p>
    <w:p w14:paraId="65184F00" w14:textId="76C11D7A" w:rsidR="00F87400" w:rsidRPr="00E3752E" w:rsidRDefault="00F87400" w:rsidP="00E3752E">
      <w:pPr>
        <w:pStyle w:val="ListParagraph"/>
        <w:numPr>
          <w:ilvl w:val="0"/>
          <w:numId w:val="5"/>
        </w:numPr>
      </w:pPr>
      <w:r>
        <w:t xml:space="preserve">Remember that conditional intent suffices for an attempt. </w:t>
      </w:r>
    </w:p>
    <w:p w14:paraId="3D230354" w14:textId="77777777" w:rsidR="005020F5" w:rsidRDefault="005020F5"/>
    <w:sectPr w:rsidR="005020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1C28" w14:textId="77777777" w:rsidR="006B36AA" w:rsidRDefault="006B36AA" w:rsidP="006B36AA">
      <w:pPr>
        <w:spacing w:after="0" w:line="240" w:lineRule="auto"/>
      </w:pPr>
      <w:r>
        <w:separator/>
      </w:r>
    </w:p>
  </w:endnote>
  <w:endnote w:type="continuationSeparator" w:id="0">
    <w:p w14:paraId="41F65261" w14:textId="77777777" w:rsidR="006B36AA" w:rsidRDefault="006B36AA" w:rsidP="006B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0E1D" w14:textId="7E79A966" w:rsidR="006B36AA" w:rsidRDefault="006B36AA" w:rsidP="006B36AA">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71E06588" wp14:editId="1E8C1120">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58BE442D" w14:textId="77777777" w:rsidR="006B36AA" w:rsidRDefault="006B36AA" w:rsidP="006B36AA">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1B1F8C0B" w14:textId="77777777" w:rsidR="006B36AA" w:rsidRDefault="006B3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8BE5" w14:textId="77777777" w:rsidR="006B36AA" w:rsidRDefault="006B36AA" w:rsidP="006B36AA">
      <w:pPr>
        <w:spacing w:after="0" w:line="240" w:lineRule="auto"/>
      </w:pPr>
      <w:r>
        <w:separator/>
      </w:r>
    </w:p>
  </w:footnote>
  <w:footnote w:type="continuationSeparator" w:id="0">
    <w:p w14:paraId="3FF25435" w14:textId="77777777" w:rsidR="006B36AA" w:rsidRDefault="006B36AA" w:rsidP="006B3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55B"/>
    <w:multiLevelType w:val="hybridMultilevel"/>
    <w:tmpl w:val="9A1C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052E6"/>
    <w:multiLevelType w:val="hybridMultilevel"/>
    <w:tmpl w:val="9190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157CD"/>
    <w:multiLevelType w:val="hybridMultilevel"/>
    <w:tmpl w:val="256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2BC4"/>
    <w:multiLevelType w:val="hybridMultilevel"/>
    <w:tmpl w:val="5C2E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5"/>
    <w:rsid w:val="00047D4B"/>
    <w:rsid w:val="000E5D23"/>
    <w:rsid w:val="00150892"/>
    <w:rsid w:val="001A2D39"/>
    <w:rsid w:val="002B5935"/>
    <w:rsid w:val="002B777E"/>
    <w:rsid w:val="002C30D3"/>
    <w:rsid w:val="003469FC"/>
    <w:rsid w:val="00457F19"/>
    <w:rsid w:val="005020F5"/>
    <w:rsid w:val="005359D6"/>
    <w:rsid w:val="00556BE9"/>
    <w:rsid w:val="005C1B3E"/>
    <w:rsid w:val="005C64EA"/>
    <w:rsid w:val="00665A4C"/>
    <w:rsid w:val="006A4210"/>
    <w:rsid w:val="006B36AA"/>
    <w:rsid w:val="00751BEA"/>
    <w:rsid w:val="007E571F"/>
    <w:rsid w:val="008202DE"/>
    <w:rsid w:val="0085395F"/>
    <w:rsid w:val="00857338"/>
    <w:rsid w:val="008E3BD8"/>
    <w:rsid w:val="00950A22"/>
    <w:rsid w:val="009563BA"/>
    <w:rsid w:val="009F6139"/>
    <w:rsid w:val="00A226BE"/>
    <w:rsid w:val="00A359E2"/>
    <w:rsid w:val="00A447EC"/>
    <w:rsid w:val="00AA2A38"/>
    <w:rsid w:val="00B43A56"/>
    <w:rsid w:val="00C47B65"/>
    <w:rsid w:val="00C72E46"/>
    <w:rsid w:val="00CA1958"/>
    <w:rsid w:val="00D90C75"/>
    <w:rsid w:val="00DB3DCA"/>
    <w:rsid w:val="00DE5ED4"/>
    <w:rsid w:val="00DF1D60"/>
    <w:rsid w:val="00E071F5"/>
    <w:rsid w:val="00E3752E"/>
    <w:rsid w:val="00E603A3"/>
    <w:rsid w:val="00E9743B"/>
    <w:rsid w:val="00F070EF"/>
    <w:rsid w:val="00F143B6"/>
    <w:rsid w:val="00F87400"/>
    <w:rsid w:val="00F90CD8"/>
    <w:rsid w:val="00FF0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3E645"/>
  <w15:chartTrackingRefBased/>
  <w15:docId w15:val="{1BF89C82-33FC-4BF6-8B7F-D24BB84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F5"/>
  </w:style>
  <w:style w:type="paragraph" w:styleId="Heading1">
    <w:name w:val="heading 1"/>
    <w:basedOn w:val="Normal"/>
    <w:next w:val="Normal"/>
    <w:link w:val="Heading1Char"/>
    <w:uiPriority w:val="9"/>
    <w:qFormat/>
    <w:rsid w:val="00502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20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20F5"/>
    <w:pPr>
      <w:ind w:left="720"/>
      <w:contextualSpacing/>
    </w:pPr>
  </w:style>
  <w:style w:type="paragraph" w:customStyle="1" w:styleId="P">
    <w:name w:val="P"/>
    <w:next w:val="Normal"/>
    <w:link w:val="PChar"/>
    <w:qFormat/>
    <w:rsid w:val="0085395F"/>
    <w:pPr>
      <w:spacing w:before="120" w:after="0" w:line="480" w:lineRule="auto"/>
    </w:pPr>
    <w:rPr>
      <w:rFonts w:ascii="Times New Roman" w:eastAsia="Times New Roman" w:hAnsi="Times New Roman" w:cs="Times New Roman"/>
      <w:sz w:val="24"/>
      <w:szCs w:val="20"/>
      <w:lang w:val="en-IN" w:eastAsia="en-IN"/>
    </w:rPr>
  </w:style>
  <w:style w:type="paragraph" w:customStyle="1" w:styleId="PI">
    <w:name w:val="PI"/>
    <w:basedOn w:val="Normal"/>
    <w:rsid w:val="0085395F"/>
    <w:pPr>
      <w:spacing w:after="0" w:line="480" w:lineRule="auto"/>
      <w:ind w:firstLine="432"/>
    </w:pPr>
    <w:rPr>
      <w:sz w:val="24"/>
      <w:szCs w:val="24"/>
    </w:rPr>
  </w:style>
  <w:style w:type="character" w:customStyle="1" w:styleId="PChar">
    <w:name w:val="P Char"/>
    <w:link w:val="P"/>
    <w:rsid w:val="0085395F"/>
    <w:rPr>
      <w:rFonts w:ascii="Times New Roman" w:eastAsia="Times New Roman" w:hAnsi="Times New Roman" w:cs="Times New Roman"/>
      <w:sz w:val="24"/>
      <w:szCs w:val="20"/>
      <w:lang w:val="en-IN" w:eastAsia="en-IN"/>
    </w:rPr>
  </w:style>
  <w:style w:type="paragraph" w:styleId="Header">
    <w:name w:val="header"/>
    <w:basedOn w:val="Normal"/>
    <w:link w:val="HeaderChar"/>
    <w:uiPriority w:val="99"/>
    <w:unhideWhenUsed/>
    <w:rsid w:val="006B3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AA"/>
  </w:style>
  <w:style w:type="paragraph" w:styleId="Footer">
    <w:name w:val="footer"/>
    <w:basedOn w:val="Normal"/>
    <w:link w:val="FooterChar"/>
    <w:unhideWhenUsed/>
    <w:rsid w:val="006B36AA"/>
    <w:pPr>
      <w:tabs>
        <w:tab w:val="center" w:pos="4680"/>
        <w:tab w:val="right" w:pos="9360"/>
      </w:tabs>
      <w:spacing w:after="0" w:line="240" w:lineRule="auto"/>
    </w:pPr>
  </w:style>
  <w:style w:type="character" w:customStyle="1" w:styleId="FooterChar">
    <w:name w:val="Footer Char"/>
    <w:basedOn w:val="DefaultParagraphFont"/>
    <w:link w:val="Footer"/>
    <w:rsid w:val="006B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2022-01-28T13:58:00Z</dcterms:created>
  <dcterms:modified xsi:type="dcterms:W3CDTF">2022-02-02T15:41:00Z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2022-02-02T15:40:23Z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2c21770b-8e14-4742-8d7d-2ebc5f842883</vt:lpwstr>
  </property>
  <property fmtid="{D5CDD505-2E9C-101B-9397-08002B2CF9AE}" pid="8" name="MSIP_Label_be5cb09a-2992-49d6-8ac9-5f63e7b1ad2f_ContentBits">
    <vt:lpwstr>0</vt:lpwstr>
  </property>
</Properties>
</file>