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1061EEE8" w:rsidR="009F6139" w:rsidRDefault="009F6139" w:rsidP="009F6139">
      <w:pPr>
        <w:pStyle w:val="Heading2"/>
      </w:pPr>
      <w:r>
        <w:t>Question:</w:t>
      </w:r>
    </w:p>
    <w:p w14:paraId="6B660DFB" w14:textId="77777777" w:rsidR="00614FE3" w:rsidRDefault="00614FE3" w:rsidP="00614FE3">
      <w:r>
        <w:t xml:space="preserve">A, an electrician employed by D Ltd, is doing some rewiring work as a favour for her neighbour B. She is interrupted when C rings the doorbell. When A answers the door, C starts trying to persuade A to donate to a charity. A </w:t>
      </w:r>
      <w:proofErr w:type="gramStart"/>
      <w:r>
        <w:t>refuses</w:t>
      </w:r>
      <w:proofErr w:type="gramEnd"/>
      <w:r>
        <w:t xml:space="preserve">, and when C persists, A waves a heavy wrench at him and says that if he doesn’t leave immediately, she will hit him with the wrench. Frightened, C steps back and trips, hitting his head on a garden ornament. He dies from the head injury. Distressed, A forgets to finish her work and when B next goes into the kitchen he is killed by an electric shock from the unfinished rewiring. </w:t>
      </w:r>
    </w:p>
    <w:p w14:paraId="45334826" w14:textId="77777777" w:rsidR="00614FE3" w:rsidRDefault="00614FE3" w:rsidP="00614FE3">
      <w:r>
        <w:t xml:space="preserve">(a) Discuss whether A is liable for the manslaughter of B and C. </w:t>
      </w:r>
    </w:p>
    <w:p w14:paraId="5B63BE48" w14:textId="77777777" w:rsidR="00614FE3" w:rsidRDefault="00614FE3" w:rsidP="00614FE3">
      <w:r>
        <w:t xml:space="preserve">(b) Might D Ltd be liable for corporate manslaughter in either of the following scenarios: </w:t>
      </w:r>
    </w:p>
    <w:p w14:paraId="1C87C040" w14:textId="77777777" w:rsidR="00614FE3" w:rsidRDefault="00614FE3" w:rsidP="00614FE3"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A is its owner and managing director? </w:t>
      </w:r>
    </w:p>
    <w:p w14:paraId="2FACB9D5" w14:textId="37FD94C8" w:rsidR="009F6139" w:rsidRDefault="00614FE3" w:rsidP="00614FE3">
      <w:r>
        <w:t>(ii)</w:t>
      </w:r>
      <w:r>
        <w:tab/>
        <w:t>D Ltd has a history of leaving jobs unfinished and has repeatedly failed to put measure</w:t>
      </w:r>
      <w:r w:rsidR="00EE379C">
        <w:t>s</w:t>
      </w:r>
      <w:r>
        <w:t xml:space="preserve"> in place to address this?</w:t>
      </w:r>
    </w:p>
    <w:p w14:paraId="16D795C4" w14:textId="77777777" w:rsidR="00614FE3" w:rsidRPr="009F6139" w:rsidRDefault="00614FE3" w:rsidP="00614FE3"/>
    <w:p w14:paraId="0C883292" w14:textId="77777777" w:rsidR="005020F5" w:rsidRDefault="005020F5" w:rsidP="005020F5">
      <w:pPr>
        <w:pStyle w:val="Heading2"/>
      </w:pPr>
      <w:r>
        <w:t>Key issues:</w:t>
      </w:r>
    </w:p>
    <w:p w14:paraId="6008B05A" w14:textId="00DB612A" w:rsidR="005020F5" w:rsidRDefault="00614FE3" w:rsidP="005020F5">
      <w:pPr>
        <w:pStyle w:val="ListParagraph"/>
        <w:numPr>
          <w:ilvl w:val="0"/>
          <w:numId w:val="1"/>
        </w:numPr>
      </w:pPr>
      <w:r>
        <w:t>A’s liability for the manslaughter of B</w:t>
      </w:r>
      <w:r w:rsidR="00242BAA">
        <w:t>: gross negligence manslaughter</w:t>
      </w:r>
    </w:p>
    <w:p w14:paraId="1B4B90C4" w14:textId="7B2B3570" w:rsidR="00614FE3" w:rsidRDefault="00614FE3" w:rsidP="005020F5">
      <w:pPr>
        <w:pStyle w:val="ListParagraph"/>
        <w:numPr>
          <w:ilvl w:val="0"/>
          <w:numId w:val="1"/>
        </w:numPr>
      </w:pPr>
      <w:r>
        <w:t>A’s liability for the manslaughter of C</w:t>
      </w:r>
      <w:r w:rsidR="00242BAA">
        <w:t>: unlawful act manslaughter</w:t>
      </w:r>
    </w:p>
    <w:p w14:paraId="48625811" w14:textId="64BE5B39" w:rsidR="005020F5" w:rsidRDefault="00AE5881" w:rsidP="005020F5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Ltd’s</w:t>
      </w:r>
      <w:proofErr w:type="spellEnd"/>
      <w:r>
        <w:t xml:space="preserve"> liability for corporate manslaughter if A is its owner and managing director</w:t>
      </w:r>
    </w:p>
    <w:p w14:paraId="2BEF93A5" w14:textId="159214D8" w:rsidR="00AE5881" w:rsidRDefault="00AE5881" w:rsidP="005020F5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Ltd’s</w:t>
      </w:r>
      <w:proofErr w:type="spellEnd"/>
      <w:r>
        <w:t xml:space="preserve"> liability </w:t>
      </w:r>
      <w:r w:rsidR="00A6214B">
        <w:t>for corporate manslaughter if it has a history of leaving jobs unfinished.</w:t>
      </w:r>
    </w:p>
    <w:p w14:paraId="197948FA" w14:textId="77777777" w:rsidR="00010BB0" w:rsidRDefault="00010BB0" w:rsidP="00010BB0">
      <w:pPr>
        <w:pStyle w:val="ListParagraph"/>
      </w:pP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9DFF3CD" w14:textId="5315F235" w:rsidR="005020F5" w:rsidRDefault="005332BD" w:rsidP="005020F5">
      <w:pPr>
        <w:pStyle w:val="ListParagraph"/>
        <w:numPr>
          <w:ilvl w:val="0"/>
          <w:numId w:val="2"/>
        </w:numPr>
      </w:pPr>
      <w:r>
        <w:t xml:space="preserve">Gross negligence manslaughter: </w:t>
      </w:r>
      <w:r w:rsidR="00E72D51">
        <w:rPr>
          <w:i/>
          <w:iCs/>
        </w:rPr>
        <w:t>Adomako</w:t>
      </w:r>
      <w:r w:rsidR="00E72D51">
        <w:t xml:space="preserve">, </w:t>
      </w:r>
      <w:r w:rsidR="00D94366">
        <w:t>section 5.1.3</w:t>
      </w:r>
    </w:p>
    <w:p w14:paraId="3F98BFC3" w14:textId="4E0A4A50" w:rsidR="005020F5" w:rsidRDefault="00E72D51" w:rsidP="005020F5">
      <w:pPr>
        <w:pStyle w:val="ListParagraph"/>
        <w:numPr>
          <w:ilvl w:val="0"/>
          <w:numId w:val="2"/>
        </w:numPr>
      </w:pPr>
      <w:r>
        <w:t xml:space="preserve">Unlawful act manslaughter: </w:t>
      </w:r>
      <w:r w:rsidR="00295063">
        <w:rPr>
          <w:i/>
          <w:iCs/>
        </w:rPr>
        <w:t>Church</w:t>
      </w:r>
      <w:r w:rsidR="00295063">
        <w:t xml:space="preserve">, </w:t>
      </w:r>
      <w:r w:rsidR="00295063">
        <w:rPr>
          <w:i/>
          <w:iCs/>
        </w:rPr>
        <w:t>Newbury &amp; Jones</w:t>
      </w:r>
      <w:r w:rsidR="00054679">
        <w:t>,</w:t>
      </w:r>
      <w:r w:rsidR="00295063">
        <w:t xml:space="preserve"> </w:t>
      </w:r>
      <w:r w:rsidR="001450C4">
        <w:t>section 5.1.4</w:t>
      </w:r>
    </w:p>
    <w:p w14:paraId="2CC14B9D" w14:textId="26C82F45" w:rsidR="00D301E0" w:rsidRDefault="00054679" w:rsidP="00D301E0">
      <w:pPr>
        <w:pStyle w:val="ListParagraph"/>
        <w:numPr>
          <w:ilvl w:val="0"/>
          <w:numId w:val="2"/>
        </w:numPr>
      </w:pPr>
      <w:r>
        <w:t xml:space="preserve">Corporate manslaughter: </w:t>
      </w:r>
      <w:r w:rsidR="00010BB0" w:rsidRPr="00010BB0">
        <w:t>Corporate Manslaughter and Corporate Homicide Act 2007</w:t>
      </w:r>
      <w:r w:rsidR="00010BB0">
        <w:t xml:space="preserve">, </w:t>
      </w:r>
      <w:r w:rsidR="003D5F71">
        <w:t>section 5.3.</w:t>
      </w:r>
      <w:r w:rsidR="00D301E0">
        <w:t xml:space="preserve"> Duty of care in corporate manslaughter – also, section 5.3 </w:t>
      </w:r>
    </w:p>
    <w:p w14:paraId="0574A522" w14:textId="77777777" w:rsidR="00EE379C" w:rsidRDefault="00EE379C" w:rsidP="00D301E0">
      <w:pPr>
        <w:pStyle w:val="ListParagraph"/>
      </w:pPr>
    </w:p>
    <w:p w14:paraId="119FA4EB" w14:textId="4F200B37" w:rsidR="005020F5" w:rsidRDefault="005020F5" w:rsidP="005020F5">
      <w:pPr>
        <w:pStyle w:val="Heading2"/>
      </w:pPr>
      <w:r>
        <w:t>Hints:</w:t>
      </w:r>
    </w:p>
    <w:p w14:paraId="34869627" w14:textId="5A2E6628" w:rsidR="005020F5" w:rsidRDefault="00010BB0" w:rsidP="00010BB0">
      <w:pPr>
        <w:pStyle w:val="ListParagraph"/>
        <w:numPr>
          <w:ilvl w:val="0"/>
          <w:numId w:val="4"/>
        </w:numPr>
      </w:pPr>
      <w:r>
        <w:t xml:space="preserve">Address each potential offence in turn. </w:t>
      </w:r>
    </w:p>
    <w:p w14:paraId="68AE05F0" w14:textId="0EF45902" w:rsidR="00010BB0" w:rsidRDefault="0062270B" w:rsidP="00010BB0">
      <w:pPr>
        <w:pStyle w:val="ListParagraph"/>
        <w:numPr>
          <w:ilvl w:val="0"/>
          <w:numId w:val="4"/>
        </w:numPr>
      </w:pPr>
      <w:r>
        <w:t>Remember that your conclusion might be ‘</w:t>
      </w:r>
      <w:proofErr w:type="gramStart"/>
      <w:r>
        <w:t>it</w:t>
      </w:r>
      <w:proofErr w:type="gramEnd"/>
      <w:r>
        <w:t xml:space="preserve"> depends’, rather than a definite ‘guilty’ or ‘not guilty’. </w:t>
      </w:r>
    </w:p>
    <w:p w14:paraId="69C961A0" w14:textId="0DDDFEA1" w:rsidR="0062270B" w:rsidRDefault="0062270B" w:rsidP="00010BB0">
      <w:pPr>
        <w:pStyle w:val="ListParagraph"/>
        <w:numPr>
          <w:ilvl w:val="0"/>
          <w:numId w:val="4"/>
        </w:numPr>
      </w:pPr>
      <w:r>
        <w:t xml:space="preserve">The question is not asking you to </w:t>
      </w:r>
      <w:r w:rsidR="004F3B26">
        <w:t>comment on criticisms of the law, but to apply it as it currently stands.</w:t>
      </w:r>
    </w:p>
    <w:p w14:paraId="3D230354" w14:textId="11F9368D" w:rsidR="005020F5" w:rsidRDefault="00D301E0" w:rsidP="005675F5">
      <w:pPr>
        <w:pStyle w:val="ListParagraph"/>
        <w:numPr>
          <w:ilvl w:val="0"/>
          <w:numId w:val="4"/>
        </w:numPr>
      </w:pPr>
      <w:r>
        <w:t xml:space="preserve">In corporate manslaughter, remember that the duty of care depends upon management and organisational policy. This might be relevant if there have been </w:t>
      </w:r>
      <w:proofErr w:type="gramStart"/>
      <w:r>
        <w:t>a number of</w:t>
      </w:r>
      <w:proofErr w:type="gramEnd"/>
      <w:r>
        <w:t xml:space="preserve"> different breaches.</w:t>
      </w:r>
    </w:p>
    <w:sectPr w:rsidR="005020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7B72" w14:textId="77777777" w:rsidR="00AF46BB" w:rsidRDefault="00AF46BB" w:rsidP="00AF46BB">
      <w:pPr>
        <w:spacing w:after="0" w:line="240" w:lineRule="auto"/>
      </w:pPr>
      <w:r>
        <w:separator/>
      </w:r>
    </w:p>
  </w:endnote>
  <w:endnote w:type="continuationSeparator" w:id="0">
    <w:p w14:paraId="2EF4E18B" w14:textId="77777777" w:rsidR="00AF46BB" w:rsidRDefault="00AF46BB" w:rsidP="00AF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C55D" w14:textId="43356C0B" w:rsidR="00AF46BB" w:rsidRDefault="00AF46BB" w:rsidP="00AF46BB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228DAA9B" wp14:editId="1160A20C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E5E72" w14:textId="77777777" w:rsidR="00AF46BB" w:rsidRDefault="00AF46BB" w:rsidP="00AF46BB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60722E0E" w14:textId="77777777" w:rsidR="00AF46BB" w:rsidRDefault="00AF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FB67" w14:textId="77777777" w:rsidR="00AF46BB" w:rsidRDefault="00AF46BB" w:rsidP="00AF46BB">
      <w:pPr>
        <w:spacing w:after="0" w:line="240" w:lineRule="auto"/>
      </w:pPr>
      <w:r>
        <w:separator/>
      </w:r>
    </w:p>
  </w:footnote>
  <w:footnote w:type="continuationSeparator" w:id="0">
    <w:p w14:paraId="520E1374" w14:textId="77777777" w:rsidR="00AF46BB" w:rsidRDefault="00AF46BB" w:rsidP="00AF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49AA"/>
    <w:multiLevelType w:val="hybridMultilevel"/>
    <w:tmpl w:val="73B6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10BB0"/>
    <w:rsid w:val="00054679"/>
    <w:rsid w:val="001450C4"/>
    <w:rsid w:val="00242BAA"/>
    <w:rsid w:val="00295063"/>
    <w:rsid w:val="003D5F71"/>
    <w:rsid w:val="004573AB"/>
    <w:rsid w:val="004F3B26"/>
    <w:rsid w:val="005020F5"/>
    <w:rsid w:val="005332BD"/>
    <w:rsid w:val="00614FE3"/>
    <w:rsid w:val="0062270B"/>
    <w:rsid w:val="009F6139"/>
    <w:rsid w:val="00A359E2"/>
    <w:rsid w:val="00A6214B"/>
    <w:rsid w:val="00A75EE0"/>
    <w:rsid w:val="00AB08C0"/>
    <w:rsid w:val="00AE5881"/>
    <w:rsid w:val="00AF46BB"/>
    <w:rsid w:val="00D301E0"/>
    <w:rsid w:val="00D94366"/>
    <w:rsid w:val="00E72D51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B"/>
  </w:style>
  <w:style w:type="paragraph" w:styleId="Footer">
    <w:name w:val="footer"/>
    <w:basedOn w:val="Normal"/>
    <w:link w:val="FooterChar"/>
    <w:unhideWhenUsed/>
    <w:rsid w:val="00AF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2022-01-28T13:39:00Z</dcterms:created>
  <dcterms:modified xsi:type="dcterms:W3CDTF">2022-02-02T15:30:00Z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2022-02-02T15:29:01Z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d3854532-3a2b-4a33-b978-6dc302c3b6ad</vt:lpwstr>
  </property>
  <property fmtid="{D5CDD505-2E9C-101B-9397-08002B2CF9AE}" pid="8" name="MSIP_Label_be5cb09a-2992-49d6-8ac9-5f63e7b1ad2f_ContentBits">
    <vt:lpwstr>0</vt:lpwstr>
  </property>
</Properties>
</file>