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722B" w14:textId="77777777" w:rsidR="00285D64" w:rsidRDefault="00285D64" w:rsidP="00285D64">
      <w:pPr>
        <w:rPr>
          <w:rFonts w:ascii="Arial" w:hAnsi="Arial" w:cs="Arial"/>
          <w:sz w:val="24"/>
          <w:szCs w:val="24"/>
        </w:rPr>
      </w:pPr>
    </w:p>
    <w:p w14:paraId="5D13B857" w14:textId="2BD1D9D1" w:rsidR="00F278D2" w:rsidRPr="00137561" w:rsidRDefault="00F278D2" w:rsidP="00137561">
      <w:pPr>
        <w:pStyle w:val="Heading1"/>
      </w:pPr>
      <w:r w:rsidRPr="00137561">
        <w:t>Chapter 2</w:t>
      </w:r>
    </w:p>
    <w:p w14:paraId="6AEC89F7" w14:textId="51132CC4" w:rsidR="00F278D2" w:rsidRPr="009642C9" w:rsidRDefault="00F278D2" w:rsidP="00137561">
      <w:pPr>
        <w:pStyle w:val="Heading2"/>
      </w:pPr>
      <w:r w:rsidRPr="009642C9">
        <w:t>Question</w:t>
      </w:r>
      <w:r w:rsidR="0096224D">
        <w:t>s</w:t>
      </w:r>
      <w:r w:rsidRPr="009642C9">
        <w:t xml:space="preserve"> </w:t>
      </w:r>
    </w:p>
    <w:p w14:paraId="07565CCB" w14:textId="46DC475B" w:rsidR="00F278D2" w:rsidRPr="00BA5CA1" w:rsidRDefault="00F278D2" w:rsidP="00BA5CA1">
      <w:pPr>
        <w:pStyle w:val="NL"/>
        <w:numPr>
          <w:ilvl w:val="0"/>
          <w:numId w:val="4"/>
        </w:numPr>
        <w:tabs>
          <w:tab w:val="left" w:pos="1000"/>
        </w:tabs>
        <w:spacing w:before="120" w:line="276" w:lineRule="auto"/>
        <w:ind w:left="1000" w:hanging="1000"/>
        <w:rPr>
          <w:rFonts w:cstheme="minorHAnsi"/>
          <w:szCs w:val="24"/>
        </w:rPr>
      </w:pPr>
      <w:r w:rsidRPr="009642C9">
        <w:rPr>
          <w:rFonts w:cstheme="minorHAnsi"/>
          <w:szCs w:val="24"/>
        </w:rPr>
        <w:t>D is driving his 15-year-old daughter, A, to school. As D approaches the school</w:t>
      </w:r>
      <w:r w:rsidR="009642C9">
        <w:rPr>
          <w:rFonts w:cstheme="minorHAnsi"/>
          <w:szCs w:val="24"/>
        </w:rPr>
        <w:t xml:space="preserve"> </w:t>
      </w:r>
      <w:r w:rsidRPr="009642C9">
        <w:rPr>
          <w:rFonts w:cstheme="minorHAnsi"/>
          <w:szCs w:val="24"/>
        </w:rPr>
        <w:t>crossing</w:t>
      </w:r>
      <w:r w:rsidR="009642C9">
        <w:rPr>
          <w:rFonts w:cstheme="minorHAnsi"/>
          <w:szCs w:val="24"/>
        </w:rPr>
        <w:t xml:space="preserve">. </w:t>
      </w:r>
      <w:r w:rsidRPr="009642C9">
        <w:rPr>
          <w:rFonts w:cstheme="minorHAnsi"/>
          <w:szCs w:val="24"/>
        </w:rPr>
        <w:t xml:space="preserve">A, who loves to make her father laugh, suddenly tickles D under his arm. He loses control of the steering </w:t>
      </w:r>
      <w:r w:rsidR="00A84DC9" w:rsidRPr="009642C9">
        <w:rPr>
          <w:rFonts w:cstheme="minorHAnsi"/>
          <w:szCs w:val="24"/>
        </w:rPr>
        <w:t>wheel,</w:t>
      </w:r>
      <w:r w:rsidRPr="009642C9">
        <w:rPr>
          <w:rFonts w:cstheme="minorHAnsi"/>
          <w:szCs w:val="24"/>
        </w:rPr>
        <w:t xml:space="preserve"> and the car rolls on to the foot of the lollipop man. D dislikes the man and leaves the car there for a couple of minutes whilst he scolds A.</w:t>
      </w:r>
      <w:r w:rsidR="00BA5CA1">
        <w:rPr>
          <w:rFonts w:cstheme="minorHAnsi"/>
          <w:szCs w:val="24"/>
        </w:rPr>
        <w:t xml:space="preserve"> </w:t>
      </w:r>
      <w:r w:rsidRPr="00BA5CA1">
        <w:rPr>
          <w:rFonts w:cstheme="minorHAnsi"/>
          <w:szCs w:val="24"/>
        </w:rPr>
        <w:t xml:space="preserve">Is this a criminal act? </w:t>
      </w:r>
    </w:p>
    <w:p w14:paraId="17327C50" w14:textId="77777777" w:rsidR="00F278D2" w:rsidRPr="009642C9" w:rsidRDefault="00F278D2" w:rsidP="009642C9">
      <w:pPr>
        <w:pStyle w:val="NL"/>
        <w:numPr>
          <w:ilvl w:val="0"/>
          <w:numId w:val="4"/>
        </w:numPr>
        <w:tabs>
          <w:tab w:val="left" w:pos="1000"/>
        </w:tabs>
        <w:spacing w:before="120" w:line="276" w:lineRule="auto"/>
        <w:ind w:left="1000" w:hanging="1000"/>
        <w:rPr>
          <w:rFonts w:cstheme="minorHAnsi"/>
          <w:szCs w:val="24"/>
        </w:rPr>
      </w:pPr>
      <w:r w:rsidRPr="009642C9">
        <w:rPr>
          <w:rFonts w:cstheme="minorHAnsi"/>
          <w:szCs w:val="24"/>
        </w:rPr>
        <w:t xml:space="preserve">The following week, D’s wife gives birth to a baby. The baby becomes critically ill. After several days the baby’s heart stops beating. The doctors do not resuscitate and withdraw artificial nutrition and hydration on the basis that the baby is never going to recover. Is there a duty of care giving rise to a criminal omission? </w:t>
      </w:r>
    </w:p>
    <w:p w14:paraId="06D7D51E" w14:textId="469B5575" w:rsidR="00F278D2" w:rsidRPr="009642C9" w:rsidRDefault="00F278D2" w:rsidP="009642C9">
      <w:pPr>
        <w:pStyle w:val="NL"/>
        <w:numPr>
          <w:ilvl w:val="0"/>
          <w:numId w:val="4"/>
        </w:numPr>
        <w:tabs>
          <w:tab w:val="left" w:pos="1000"/>
        </w:tabs>
        <w:spacing w:before="120" w:line="276" w:lineRule="auto"/>
        <w:ind w:left="1000" w:hanging="1000"/>
        <w:rPr>
          <w:rFonts w:cstheme="minorHAnsi"/>
          <w:szCs w:val="24"/>
        </w:rPr>
      </w:pPr>
      <w:r w:rsidRPr="009642C9">
        <w:rPr>
          <w:rFonts w:cstheme="minorHAnsi"/>
          <w:szCs w:val="24"/>
        </w:rPr>
        <w:t xml:space="preserve">That night A threatens V, her unusually nervous 9-year-old brother, by breaking into his room and shouting. V jumps out of an upper window and breaks his arm. He is taken to hospital where a junior doctor fails to detect the complexity of the break. The arm is not set properly. It fails to </w:t>
      </w:r>
      <w:r w:rsidR="00A84DC9" w:rsidRPr="009642C9">
        <w:rPr>
          <w:rFonts w:cstheme="minorHAnsi"/>
          <w:szCs w:val="24"/>
        </w:rPr>
        <w:t>heal,</w:t>
      </w:r>
      <w:r w:rsidRPr="009642C9">
        <w:rPr>
          <w:rFonts w:cstheme="minorHAnsi"/>
          <w:szCs w:val="24"/>
        </w:rPr>
        <w:t xml:space="preserve"> and V dies from an infection. Has A caused V’s death? </w:t>
      </w:r>
    </w:p>
    <w:p w14:paraId="75BF924A" w14:textId="77777777" w:rsidR="00BA5CA1" w:rsidRDefault="00BA5CA1" w:rsidP="00F278D2">
      <w:pPr>
        <w:rPr>
          <w:rFonts w:eastAsiaTheme="majorEastAsia" w:cstheme="minorHAnsi"/>
          <w:color w:val="2F5496" w:themeColor="accent1" w:themeShade="BF"/>
          <w:sz w:val="24"/>
          <w:szCs w:val="24"/>
        </w:rPr>
      </w:pPr>
    </w:p>
    <w:p w14:paraId="247A7878" w14:textId="08A32498" w:rsidR="00F278D2" w:rsidRPr="0096224D" w:rsidRDefault="00847618" w:rsidP="00137561">
      <w:pPr>
        <w:pStyle w:val="Heading2"/>
      </w:pPr>
      <w:r w:rsidRPr="0096224D">
        <w:t>Answer guidance</w:t>
      </w:r>
      <w:r w:rsidR="00485A53" w:rsidRPr="0096224D">
        <w:t xml:space="preserve"> for </w:t>
      </w:r>
      <w:r w:rsidRPr="0096224D">
        <w:t>Question 1:</w:t>
      </w:r>
    </w:p>
    <w:p w14:paraId="5A163A81" w14:textId="2D18B42B" w:rsidR="00847618" w:rsidRPr="009642C9" w:rsidRDefault="00847618" w:rsidP="00137561">
      <w:pPr>
        <w:pStyle w:val="Heading3"/>
      </w:pPr>
      <w:r w:rsidRPr="009642C9">
        <w:t xml:space="preserve">Key Issues </w:t>
      </w:r>
    </w:p>
    <w:p w14:paraId="27C49FCD" w14:textId="7C9BFB2D" w:rsidR="00847618" w:rsidRDefault="00847618" w:rsidP="009642C9">
      <w:pPr>
        <w:pStyle w:val="ListParagraph"/>
        <w:numPr>
          <w:ilvl w:val="0"/>
          <w:numId w:val="8"/>
        </w:numPr>
        <w:rPr>
          <w:rFonts w:cstheme="minorHAnsi"/>
          <w:sz w:val="24"/>
          <w:szCs w:val="24"/>
        </w:rPr>
      </w:pPr>
      <w:r w:rsidRPr="009642C9">
        <w:rPr>
          <w:rFonts w:cstheme="minorHAnsi"/>
          <w:sz w:val="24"/>
          <w:szCs w:val="24"/>
        </w:rPr>
        <w:t>Identify the offence</w:t>
      </w:r>
      <w:r w:rsidR="003E1E75">
        <w:rPr>
          <w:rFonts w:cstheme="minorHAnsi"/>
          <w:sz w:val="24"/>
          <w:szCs w:val="24"/>
        </w:rPr>
        <w:t xml:space="preserve"> – common assault</w:t>
      </w:r>
      <w:r w:rsidRPr="009642C9">
        <w:rPr>
          <w:rFonts w:cstheme="minorHAnsi"/>
          <w:sz w:val="24"/>
          <w:szCs w:val="24"/>
        </w:rPr>
        <w:t xml:space="preserve">. </w:t>
      </w:r>
    </w:p>
    <w:p w14:paraId="62BB6609" w14:textId="1CD0D580" w:rsidR="003B2A04" w:rsidRDefault="003B2A04" w:rsidP="009642C9">
      <w:pPr>
        <w:pStyle w:val="ListParagraph"/>
        <w:numPr>
          <w:ilvl w:val="0"/>
          <w:numId w:val="8"/>
        </w:numPr>
        <w:rPr>
          <w:rFonts w:cstheme="minorHAnsi"/>
          <w:sz w:val="24"/>
          <w:szCs w:val="24"/>
        </w:rPr>
      </w:pPr>
      <w:r>
        <w:rPr>
          <w:rFonts w:cstheme="minorHAnsi"/>
          <w:sz w:val="24"/>
          <w:szCs w:val="24"/>
        </w:rPr>
        <w:t>Voluntariness</w:t>
      </w:r>
    </w:p>
    <w:p w14:paraId="129B6273" w14:textId="303CA643" w:rsidR="003B2A04" w:rsidRDefault="003B2A04" w:rsidP="009642C9">
      <w:pPr>
        <w:pStyle w:val="ListParagraph"/>
        <w:numPr>
          <w:ilvl w:val="0"/>
          <w:numId w:val="8"/>
        </w:numPr>
        <w:rPr>
          <w:rFonts w:cstheme="minorHAnsi"/>
          <w:sz w:val="24"/>
          <w:szCs w:val="24"/>
        </w:rPr>
      </w:pPr>
      <w:r>
        <w:rPr>
          <w:rFonts w:cstheme="minorHAnsi"/>
          <w:sz w:val="24"/>
          <w:szCs w:val="24"/>
        </w:rPr>
        <w:t>Coincidence of AR and MR</w:t>
      </w:r>
    </w:p>
    <w:p w14:paraId="21C3321B" w14:textId="66A4CD51" w:rsidR="003B2A04" w:rsidRDefault="003B2A04" w:rsidP="009642C9">
      <w:pPr>
        <w:pStyle w:val="ListParagraph"/>
        <w:numPr>
          <w:ilvl w:val="0"/>
          <w:numId w:val="8"/>
        </w:numPr>
        <w:rPr>
          <w:rFonts w:cstheme="minorHAnsi"/>
          <w:sz w:val="24"/>
          <w:szCs w:val="24"/>
        </w:rPr>
      </w:pPr>
      <w:r>
        <w:rPr>
          <w:rFonts w:cstheme="minorHAnsi"/>
          <w:sz w:val="24"/>
          <w:szCs w:val="24"/>
        </w:rPr>
        <w:t>Omissions and duty to act</w:t>
      </w:r>
    </w:p>
    <w:p w14:paraId="67632317" w14:textId="0DCF4B11" w:rsidR="00847618" w:rsidRPr="009642C9" w:rsidRDefault="00847618" w:rsidP="00137561">
      <w:pPr>
        <w:pStyle w:val="Heading3"/>
      </w:pPr>
      <w:r w:rsidRPr="009642C9">
        <w:t>Key Law</w:t>
      </w:r>
    </w:p>
    <w:p w14:paraId="3C6F56C5" w14:textId="1CDF9740" w:rsidR="003E1E75" w:rsidRPr="003E1E75" w:rsidRDefault="003E1E75" w:rsidP="003E1E75">
      <w:pPr>
        <w:rPr>
          <w:rFonts w:cstheme="minorHAnsi"/>
          <w:sz w:val="24"/>
          <w:szCs w:val="24"/>
        </w:rPr>
      </w:pPr>
      <w:r w:rsidRPr="003E1E75">
        <w:rPr>
          <w:rFonts w:cstheme="minorHAnsi"/>
          <w:sz w:val="24"/>
          <w:szCs w:val="24"/>
        </w:rPr>
        <w:t xml:space="preserve">You will </w:t>
      </w:r>
      <w:r>
        <w:rPr>
          <w:rFonts w:cstheme="minorHAnsi"/>
          <w:sz w:val="24"/>
          <w:szCs w:val="24"/>
        </w:rPr>
        <w:t>find the relevant legal rule</w:t>
      </w:r>
      <w:r w:rsidR="00A82F57">
        <w:rPr>
          <w:rFonts w:cstheme="minorHAnsi"/>
          <w:sz w:val="24"/>
          <w:szCs w:val="24"/>
        </w:rPr>
        <w:t xml:space="preserve">s in </w:t>
      </w:r>
    </w:p>
    <w:p w14:paraId="647F8ADD" w14:textId="0ED5842F" w:rsidR="00847618" w:rsidRDefault="00A82F57" w:rsidP="009642C9">
      <w:pPr>
        <w:pStyle w:val="ListParagraph"/>
        <w:numPr>
          <w:ilvl w:val="0"/>
          <w:numId w:val="9"/>
        </w:numPr>
        <w:rPr>
          <w:rFonts w:cstheme="minorHAnsi"/>
          <w:sz w:val="24"/>
          <w:szCs w:val="24"/>
        </w:rPr>
      </w:pPr>
      <w:r>
        <w:rPr>
          <w:rFonts w:cstheme="minorHAnsi"/>
          <w:sz w:val="24"/>
          <w:szCs w:val="24"/>
        </w:rPr>
        <w:t>Common law definition of assault (Chapter 2</w:t>
      </w:r>
      <w:r w:rsidR="003B2A04">
        <w:rPr>
          <w:rFonts w:cstheme="minorHAnsi"/>
          <w:sz w:val="24"/>
          <w:szCs w:val="24"/>
        </w:rPr>
        <w:t>, section 2.1.2)</w:t>
      </w:r>
    </w:p>
    <w:p w14:paraId="2C107C2C" w14:textId="04BA461C" w:rsidR="003E1E75" w:rsidRPr="009642C9" w:rsidRDefault="003E1E75" w:rsidP="009642C9">
      <w:pPr>
        <w:pStyle w:val="ListParagraph"/>
        <w:numPr>
          <w:ilvl w:val="0"/>
          <w:numId w:val="9"/>
        </w:numPr>
        <w:rPr>
          <w:rFonts w:cstheme="minorHAnsi"/>
          <w:sz w:val="24"/>
          <w:szCs w:val="24"/>
        </w:rPr>
      </w:pPr>
      <w:r>
        <w:rPr>
          <w:rFonts w:cstheme="minorHAnsi"/>
          <w:sz w:val="24"/>
          <w:szCs w:val="24"/>
        </w:rPr>
        <w:t>Voluntariness</w:t>
      </w:r>
      <w:r w:rsidR="003B2A04">
        <w:rPr>
          <w:rFonts w:cstheme="minorHAnsi"/>
          <w:sz w:val="24"/>
          <w:szCs w:val="24"/>
        </w:rPr>
        <w:t xml:space="preserve"> (Chapter 2, section 2.5)</w:t>
      </w:r>
    </w:p>
    <w:p w14:paraId="3FC6B6AF" w14:textId="510024DF" w:rsidR="00285D64" w:rsidRPr="003B2A04" w:rsidRDefault="00285D64" w:rsidP="009642C9">
      <w:pPr>
        <w:pStyle w:val="ListParagraph"/>
        <w:numPr>
          <w:ilvl w:val="0"/>
          <w:numId w:val="9"/>
        </w:numPr>
        <w:rPr>
          <w:rFonts w:cstheme="minorHAnsi"/>
          <w:sz w:val="24"/>
          <w:szCs w:val="24"/>
        </w:rPr>
      </w:pPr>
      <w:r w:rsidRPr="009642C9">
        <w:rPr>
          <w:rFonts w:cstheme="minorHAnsi"/>
          <w:sz w:val="24"/>
          <w:szCs w:val="24"/>
        </w:rPr>
        <w:t>Coincidence of AR and MR</w:t>
      </w:r>
      <w:r w:rsidR="00485A53" w:rsidRPr="009642C9">
        <w:rPr>
          <w:rFonts w:cstheme="minorHAnsi"/>
          <w:sz w:val="24"/>
          <w:szCs w:val="24"/>
        </w:rPr>
        <w:t xml:space="preserve"> – see </w:t>
      </w:r>
      <w:r w:rsidR="00485A53" w:rsidRPr="00137561">
        <w:rPr>
          <w:rFonts w:cstheme="minorHAnsi"/>
          <w:i/>
          <w:iCs/>
          <w:sz w:val="24"/>
          <w:szCs w:val="24"/>
        </w:rPr>
        <w:t>Church</w:t>
      </w:r>
      <w:r w:rsidR="00485A53" w:rsidRPr="003B2A04">
        <w:rPr>
          <w:rFonts w:cstheme="minorHAnsi"/>
          <w:sz w:val="24"/>
          <w:szCs w:val="24"/>
        </w:rPr>
        <w:t xml:space="preserve">, </w:t>
      </w:r>
      <w:r w:rsidR="00485A53" w:rsidRPr="00137561">
        <w:rPr>
          <w:rFonts w:cstheme="minorHAnsi"/>
          <w:i/>
          <w:iCs/>
          <w:sz w:val="24"/>
          <w:szCs w:val="24"/>
        </w:rPr>
        <w:t>Le Brun</w:t>
      </w:r>
      <w:r w:rsidR="00485A53" w:rsidRPr="003B2A04">
        <w:rPr>
          <w:rFonts w:cstheme="minorHAnsi"/>
          <w:sz w:val="24"/>
          <w:szCs w:val="24"/>
        </w:rPr>
        <w:t xml:space="preserve"> and </w:t>
      </w:r>
      <w:r w:rsidR="00485A53" w:rsidRPr="00137561">
        <w:rPr>
          <w:rFonts w:cstheme="minorHAnsi"/>
          <w:i/>
          <w:iCs/>
          <w:sz w:val="24"/>
          <w:szCs w:val="24"/>
        </w:rPr>
        <w:t>Fagan</w:t>
      </w:r>
      <w:r w:rsidR="00A82F57">
        <w:rPr>
          <w:rFonts w:cstheme="minorHAnsi"/>
          <w:i/>
          <w:iCs/>
          <w:sz w:val="24"/>
          <w:szCs w:val="24"/>
        </w:rPr>
        <w:t xml:space="preserve"> </w:t>
      </w:r>
      <w:r w:rsidR="00A82F57" w:rsidRPr="003B2A04">
        <w:rPr>
          <w:rFonts w:cstheme="minorHAnsi"/>
          <w:sz w:val="24"/>
          <w:szCs w:val="24"/>
        </w:rPr>
        <w:t xml:space="preserve">(Chapter 2, </w:t>
      </w:r>
      <w:r w:rsidR="003B2A04" w:rsidRPr="003B2A04">
        <w:rPr>
          <w:rFonts w:cstheme="minorHAnsi"/>
          <w:sz w:val="24"/>
          <w:szCs w:val="24"/>
        </w:rPr>
        <w:t>section 2.5)</w:t>
      </w:r>
    </w:p>
    <w:p w14:paraId="758E8252" w14:textId="51FDF066" w:rsidR="009642C9" w:rsidRPr="009642C9" w:rsidRDefault="009642C9" w:rsidP="009642C9">
      <w:pPr>
        <w:pStyle w:val="ListParagraph"/>
        <w:numPr>
          <w:ilvl w:val="0"/>
          <w:numId w:val="9"/>
        </w:numPr>
        <w:rPr>
          <w:rFonts w:cstheme="minorHAnsi"/>
          <w:sz w:val="24"/>
          <w:szCs w:val="24"/>
        </w:rPr>
      </w:pPr>
      <w:r w:rsidRPr="00137561">
        <w:rPr>
          <w:rFonts w:cstheme="minorHAnsi"/>
          <w:i/>
          <w:iCs/>
          <w:sz w:val="24"/>
          <w:szCs w:val="24"/>
        </w:rPr>
        <w:t>Miller</w:t>
      </w:r>
      <w:r w:rsidRPr="009642C9">
        <w:rPr>
          <w:rFonts w:cstheme="minorHAnsi"/>
          <w:sz w:val="24"/>
          <w:szCs w:val="24"/>
        </w:rPr>
        <w:t xml:space="preserve"> duty principle</w:t>
      </w:r>
      <w:r w:rsidR="00A82F57">
        <w:rPr>
          <w:rFonts w:cstheme="minorHAnsi"/>
          <w:sz w:val="24"/>
          <w:szCs w:val="24"/>
        </w:rPr>
        <w:t xml:space="preserve"> (Chapter 2</w:t>
      </w:r>
      <w:r w:rsidR="003B2A04">
        <w:rPr>
          <w:rFonts w:cstheme="minorHAnsi"/>
          <w:sz w:val="24"/>
          <w:szCs w:val="24"/>
        </w:rPr>
        <w:t>, section 2.2.3)</w:t>
      </w:r>
    </w:p>
    <w:p w14:paraId="4B27BD34" w14:textId="14FC4BEA" w:rsidR="00847618" w:rsidRPr="009642C9" w:rsidRDefault="00847618" w:rsidP="00137561">
      <w:pPr>
        <w:pStyle w:val="Heading3"/>
      </w:pPr>
      <w:r w:rsidRPr="009642C9">
        <w:t>Hints</w:t>
      </w:r>
    </w:p>
    <w:p w14:paraId="20E6B404" w14:textId="6E129B0E" w:rsidR="00A82F57" w:rsidRDefault="00285D64" w:rsidP="003E1E75">
      <w:pPr>
        <w:pStyle w:val="ListParagraph"/>
        <w:numPr>
          <w:ilvl w:val="0"/>
          <w:numId w:val="10"/>
        </w:numPr>
        <w:rPr>
          <w:rFonts w:cstheme="minorHAnsi"/>
          <w:sz w:val="24"/>
          <w:szCs w:val="24"/>
        </w:rPr>
      </w:pPr>
      <w:r w:rsidRPr="003E1E75">
        <w:rPr>
          <w:rFonts w:cstheme="minorHAnsi"/>
          <w:sz w:val="24"/>
          <w:szCs w:val="24"/>
        </w:rPr>
        <w:t>Remember that AR is a voluntary act or omission</w:t>
      </w:r>
      <w:r w:rsidR="003B2A04">
        <w:rPr>
          <w:rFonts w:cstheme="minorHAnsi"/>
          <w:sz w:val="24"/>
          <w:szCs w:val="24"/>
        </w:rPr>
        <w:t xml:space="preserve"> - i</w:t>
      </w:r>
      <w:r w:rsidRPr="003E1E75">
        <w:rPr>
          <w:rFonts w:cstheme="minorHAnsi"/>
          <w:sz w:val="24"/>
          <w:szCs w:val="24"/>
        </w:rPr>
        <w:t xml:space="preserve">f you cannot </w:t>
      </w:r>
      <w:r w:rsidR="00485A53" w:rsidRPr="003E1E75">
        <w:rPr>
          <w:rFonts w:cstheme="minorHAnsi"/>
          <w:sz w:val="24"/>
          <w:szCs w:val="24"/>
        </w:rPr>
        <w:t>establish</w:t>
      </w:r>
      <w:r w:rsidRPr="003E1E75">
        <w:rPr>
          <w:rFonts w:cstheme="minorHAnsi"/>
          <w:sz w:val="24"/>
          <w:szCs w:val="24"/>
        </w:rPr>
        <w:t xml:space="preserve"> voluntariness, then there is no AR</w:t>
      </w:r>
      <w:r w:rsidR="009642C9" w:rsidRPr="003E1E75">
        <w:rPr>
          <w:rFonts w:cstheme="minorHAnsi"/>
          <w:sz w:val="24"/>
          <w:szCs w:val="24"/>
        </w:rPr>
        <w:t xml:space="preserve">. </w:t>
      </w:r>
    </w:p>
    <w:p w14:paraId="29178CB9" w14:textId="014AA60A" w:rsidR="009642C9" w:rsidRDefault="009642C9" w:rsidP="003E1E75">
      <w:pPr>
        <w:pStyle w:val="ListParagraph"/>
        <w:numPr>
          <w:ilvl w:val="0"/>
          <w:numId w:val="10"/>
        </w:numPr>
        <w:rPr>
          <w:rFonts w:cstheme="minorHAnsi"/>
          <w:sz w:val="24"/>
          <w:szCs w:val="24"/>
        </w:rPr>
      </w:pPr>
      <w:r w:rsidRPr="003E1E75">
        <w:rPr>
          <w:rFonts w:cstheme="minorHAnsi"/>
          <w:sz w:val="24"/>
          <w:szCs w:val="24"/>
        </w:rPr>
        <w:t xml:space="preserve">Is the rolling car an omission? </w:t>
      </w:r>
      <w:r w:rsidR="00A82F57">
        <w:rPr>
          <w:rFonts w:cstheme="minorHAnsi"/>
          <w:sz w:val="24"/>
          <w:szCs w:val="24"/>
        </w:rPr>
        <w:t>Remember that there must be a duty to act</w:t>
      </w:r>
    </w:p>
    <w:p w14:paraId="5F00FC7F" w14:textId="67228E3A" w:rsidR="00485A53" w:rsidRPr="003B2A04" w:rsidRDefault="003B2A04" w:rsidP="00F278D2">
      <w:pPr>
        <w:pStyle w:val="ListParagraph"/>
        <w:numPr>
          <w:ilvl w:val="0"/>
          <w:numId w:val="10"/>
        </w:numPr>
        <w:rPr>
          <w:rFonts w:cstheme="minorHAnsi"/>
          <w:sz w:val="24"/>
          <w:szCs w:val="24"/>
        </w:rPr>
      </w:pPr>
      <w:r>
        <w:rPr>
          <w:rFonts w:cstheme="minorHAnsi"/>
          <w:sz w:val="24"/>
          <w:szCs w:val="24"/>
        </w:rPr>
        <w:lastRenderedPageBreak/>
        <w:t xml:space="preserve">Coincidence – though note here you are only asked to establish a criminal act. </w:t>
      </w:r>
      <w:r w:rsidR="00485A53" w:rsidRPr="003B2A04">
        <w:rPr>
          <w:rFonts w:cstheme="minorHAnsi"/>
          <w:sz w:val="24"/>
          <w:szCs w:val="24"/>
        </w:rPr>
        <w:t>Think about how the courts would approach coincidence of AR and MR</w:t>
      </w:r>
      <w:r w:rsidR="009642C9" w:rsidRPr="003B2A04">
        <w:rPr>
          <w:rFonts w:cstheme="minorHAnsi"/>
          <w:sz w:val="24"/>
          <w:szCs w:val="24"/>
        </w:rPr>
        <w:t xml:space="preserve"> (continuing act theory)</w:t>
      </w:r>
      <w:r w:rsidR="00485A53" w:rsidRPr="003B2A04">
        <w:rPr>
          <w:rFonts w:cstheme="minorHAnsi"/>
          <w:sz w:val="24"/>
          <w:szCs w:val="24"/>
        </w:rPr>
        <w:t xml:space="preserve">. </w:t>
      </w:r>
    </w:p>
    <w:p w14:paraId="286D8846" w14:textId="33B72FBF" w:rsidR="00E56A24" w:rsidRPr="0096224D" w:rsidRDefault="00F278D2" w:rsidP="00137561">
      <w:pPr>
        <w:pStyle w:val="Heading2"/>
      </w:pPr>
      <w:r w:rsidRPr="0096224D">
        <w:t>Answer guidance for question 2</w:t>
      </w:r>
    </w:p>
    <w:p w14:paraId="108D21FE" w14:textId="15AF82B6" w:rsidR="00485A53" w:rsidRPr="009642C9" w:rsidRDefault="009642C9" w:rsidP="00137561">
      <w:pPr>
        <w:pStyle w:val="Heading3"/>
      </w:pPr>
      <w:r>
        <w:t xml:space="preserve">Key </w:t>
      </w:r>
      <w:r w:rsidR="00485A53" w:rsidRPr="009642C9">
        <w:t>Issues</w:t>
      </w:r>
    </w:p>
    <w:p w14:paraId="3815AF17" w14:textId="241130A1" w:rsidR="00485A53" w:rsidRPr="004D2A51" w:rsidRDefault="004D2A51" w:rsidP="004D2A51">
      <w:pPr>
        <w:pStyle w:val="ListParagraph"/>
        <w:numPr>
          <w:ilvl w:val="0"/>
          <w:numId w:val="11"/>
        </w:numPr>
        <w:rPr>
          <w:rFonts w:cstheme="minorHAnsi"/>
          <w:sz w:val="24"/>
          <w:szCs w:val="24"/>
        </w:rPr>
      </w:pPr>
      <w:r>
        <w:rPr>
          <w:rFonts w:cstheme="minorHAnsi"/>
          <w:sz w:val="24"/>
          <w:szCs w:val="24"/>
        </w:rPr>
        <w:t>Identify the offence: m</w:t>
      </w:r>
      <w:r w:rsidR="003B2A04" w:rsidRPr="004D2A51">
        <w:rPr>
          <w:rFonts w:cstheme="minorHAnsi"/>
          <w:sz w:val="24"/>
          <w:szCs w:val="24"/>
        </w:rPr>
        <w:t>urder by omission</w:t>
      </w:r>
    </w:p>
    <w:p w14:paraId="1E23BC72" w14:textId="4BB10FFB" w:rsidR="003B2A04" w:rsidRPr="004D2A51" w:rsidRDefault="003B2A04" w:rsidP="004D2A51">
      <w:pPr>
        <w:pStyle w:val="ListParagraph"/>
        <w:numPr>
          <w:ilvl w:val="0"/>
          <w:numId w:val="11"/>
        </w:numPr>
        <w:rPr>
          <w:rFonts w:cstheme="minorHAnsi"/>
          <w:sz w:val="24"/>
          <w:szCs w:val="24"/>
        </w:rPr>
      </w:pPr>
      <w:r w:rsidRPr="004D2A51">
        <w:rPr>
          <w:rFonts w:cstheme="minorHAnsi"/>
          <w:sz w:val="24"/>
          <w:szCs w:val="24"/>
        </w:rPr>
        <w:t>Duty to act</w:t>
      </w:r>
      <w:r w:rsidR="004D2A51">
        <w:rPr>
          <w:rFonts w:cstheme="minorHAnsi"/>
          <w:sz w:val="24"/>
          <w:szCs w:val="24"/>
        </w:rPr>
        <w:t>/the ‘best interests’ argument</w:t>
      </w:r>
    </w:p>
    <w:p w14:paraId="2F74FD78" w14:textId="2D671190" w:rsidR="00485A53" w:rsidRDefault="009642C9" w:rsidP="00137561">
      <w:pPr>
        <w:pStyle w:val="Heading3"/>
      </w:pPr>
      <w:r>
        <w:t xml:space="preserve">Key </w:t>
      </w:r>
      <w:r w:rsidR="00485A53" w:rsidRPr="009642C9">
        <w:t xml:space="preserve">Law </w:t>
      </w:r>
    </w:p>
    <w:p w14:paraId="6DC077ED" w14:textId="07A10EAC" w:rsidR="00485A53" w:rsidRDefault="003B2A04" w:rsidP="00137561">
      <w:pPr>
        <w:spacing w:after="0"/>
        <w:rPr>
          <w:rFonts w:cstheme="minorHAnsi"/>
          <w:color w:val="000000" w:themeColor="text1"/>
          <w:sz w:val="24"/>
          <w:szCs w:val="24"/>
        </w:rPr>
      </w:pPr>
      <w:r>
        <w:rPr>
          <w:rFonts w:cstheme="minorHAnsi"/>
          <w:color w:val="000000" w:themeColor="text1"/>
          <w:sz w:val="24"/>
          <w:szCs w:val="24"/>
        </w:rPr>
        <w:t xml:space="preserve">You will find the relevant law in </w:t>
      </w:r>
    </w:p>
    <w:p w14:paraId="48BC98A7" w14:textId="39D84F6A" w:rsidR="003B2A04" w:rsidRPr="00137561" w:rsidRDefault="003B2A04" w:rsidP="00137561">
      <w:pPr>
        <w:pStyle w:val="ListParagraph"/>
        <w:numPr>
          <w:ilvl w:val="0"/>
          <w:numId w:val="15"/>
        </w:numPr>
        <w:rPr>
          <w:rFonts w:cstheme="minorHAnsi"/>
          <w:sz w:val="24"/>
          <w:szCs w:val="24"/>
        </w:rPr>
      </w:pPr>
      <w:r w:rsidRPr="00137561">
        <w:rPr>
          <w:rFonts w:cstheme="minorHAnsi"/>
          <w:color w:val="000000" w:themeColor="text1"/>
          <w:sz w:val="24"/>
          <w:szCs w:val="24"/>
        </w:rPr>
        <w:t xml:space="preserve">Duty to act (see </w:t>
      </w:r>
      <w:r w:rsidRPr="00137561">
        <w:rPr>
          <w:rFonts w:cstheme="minorHAnsi"/>
          <w:i/>
          <w:iCs/>
          <w:color w:val="000000" w:themeColor="text1"/>
          <w:sz w:val="24"/>
          <w:szCs w:val="24"/>
        </w:rPr>
        <w:t>Bland</w:t>
      </w:r>
      <w:r w:rsidRPr="00137561">
        <w:rPr>
          <w:rFonts w:cstheme="minorHAnsi"/>
          <w:color w:val="000000" w:themeColor="text1"/>
          <w:sz w:val="24"/>
          <w:szCs w:val="24"/>
        </w:rPr>
        <w:t>) Chapter 2, 2.2.3</w:t>
      </w:r>
    </w:p>
    <w:p w14:paraId="3CF502C6" w14:textId="0309CC5B" w:rsidR="00485A53" w:rsidRPr="009642C9" w:rsidRDefault="00485A53" w:rsidP="00137561">
      <w:pPr>
        <w:pStyle w:val="Heading3"/>
      </w:pPr>
      <w:r w:rsidRPr="009642C9">
        <w:t xml:space="preserve">Hint </w:t>
      </w:r>
    </w:p>
    <w:p w14:paraId="1FB8A382" w14:textId="0AB6051D" w:rsidR="00485A53" w:rsidRDefault="004D2A51" w:rsidP="00137561">
      <w:pPr>
        <w:pStyle w:val="ListParagraph"/>
        <w:numPr>
          <w:ilvl w:val="0"/>
          <w:numId w:val="15"/>
        </w:numPr>
        <w:rPr>
          <w:rFonts w:cstheme="minorHAnsi"/>
          <w:sz w:val="24"/>
          <w:szCs w:val="24"/>
        </w:rPr>
      </w:pPr>
      <w:r w:rsidRPr="00137561">
        <w:rPr>
          <w:rFonts w:cstheme="minorHAnsi"/>
          <w:sz w:val="24"/>
          <w:szCs w:val="24"/>
        </w:rPr>
        <w:t xml:space="preserve">Look at the reasoning in Bland for the imposition of a duty. </w:t>
      </w:r>
      <w:r w:rsidR="00E56A24" w:rsidRPr="00137561">
        <w:rPr>
          <w:rFonts w:cstheme="minorHAnsi"/>
          <w:sz w:val="24"/>
          <w:szCs w:val="24"/>
        </w:rPr>
        <w:t xml:space="preserve">The provisions of the ECHR may be relevant here. </w:t>
      </w:r>
    </w:p>
    <w:p w14:paraId="03EED0A7" w14:textId="77777777" w:rsidR="00137561" w:rsidRPr="00137561" w:rsidRDefault="00137561" w:rsidP="00137561">
      <w:pPr>
        <w:pStyle w:val="ListParagraph"/>
        <w:rPr>
          <w:rFonts w:cstheme="minorHAnsi"/>
          <w:sz w:val="24"/>
          <w:szCs w:val="24"/>
        </w:rPr>
      </w:pPr>
    </w:p>
    <w:p w14:paraId="5831BD56" w14:textId="53E21A4C" w:rsidR="00E56A24" w:rsidRPr="0096224D" w:rsidRDefault="00F278D2" w:rsidP="00137561">
      <w:pPr>
        <w:pStyle w:val="Heading2"/>
      </w:pPr>
      <w:r w:rsidRPr="0096224D">
        <w:t>Answer guidance for question 3</w:t>
      </w:r>
    </w:p>
    <w:p w14:paraId="757F48E5" w14:textId="77777777" w:rsidR="00E56A24" w:rsidRPr="009642C9" w:rsidRDefault="00E56A24" w:rsidP="00137561">
      <w:pPr>
        <w:pStyle w:val="Heading3"/>
      </w:pPr>
      <w:r>
        <w:t xml:space="preserve">Key </w:t>
      </w:r>
      <w:r w:rsidRPr="009642C9">
        <w:t>Issues</w:t>
      </w:r>
    </w:p>
    <w:p w14:paraId="5702A5D5" w14:textId="7E7FF6EF" w:rsidR="00B655B3" w:rsidRPr="004D2A51" w:rsidRDefault="004D2A51" w:rsidP="004D2A51">
      <w:pPr>
        <w:pStyle w:val="ListParagraph"/>
        <w:numPr>
          <w:ilvl w:val="0"/>
          <w:numId w:val="12"/>
        </w:numPr>
        <w:rPr>
          <w:rFonts w:cstheme="minorHAnsi"/>
          <w:sz w:val="24"/>
          <w:szCs w:val="24"/>
        </w:rPr>
      </w:pPr>
      <w:r w:rsidRPr="004D2A51">
        <w:rPr>
          <w:rFonts w:cstheme="minorHAnsi"/>
          <w:sz w:val="24"/>
          <w:szCs w:val="24"/>
        </w:rPr>
        <w:t>Identify the offence - m</w:t>
      </w:r>
      <w:r w:rsidR="00B655B3" w:rsidRPr="004D2A51">
        <w:rPr>
          <w:rFonts w:cstheme="minorHAnsi"/>
          <w:sz w:val="24"/>
          <w:szCs w:val="24"/>
        </w:rPr>
        <w:t>urder</w:t>
      </w:r>
    </w:p>
    <w:p w14:paraId="3CF14FF4" w14:textId="61509048" w:rsidR="004D2A51" w:rsidRPr="004D2A51" w:rsidRDefault="004D2A51" w:rsidP="004D2A51">
      <w:pPr>
        <w:pStyle w:val="ListParagraph"/>
        <w:numPr>
          <w:ilvl w:val="0"/>
          <w:numId w:val="12"/>
        </w:numPr>
        <w:rPr>
          <w:rFonts w:cstheme="minorHAnsi"/>
          <w:sz w:val="24"/>
          <w:szCs w:val="24"/>
        </w:rPr>
      </w:pPr>
      <w:r w:rsidRPr="004D2A51">
        <w:rPr>
          <w:rFonts w:cstheme="minorHAnsi"/>
          <w:sz w:val="24"/>
          <w:szCs w:val="24"/>
        </w:rPr>
        <w:t xml:space="preserve">Causation: novus actus interveniens – acts of a third party, </w:t>
      </w:r>
      <w:r>
        <w:rPr>
          <w:rFonts w:cstheme="minorHAnsi"/>
          <w:sz w:val="24"/>
          <w:szCs w:val="24"/>
        </w:rPr>
        <w:t xml:space="preserve">negligent </w:t>
      </w:r>
      <w:r w:rsidRPr="004D2A51">
        <w:rPr>
          <w:rFonts w:cstheme="minorHAnsi"/>
          <w:sz w:val="24"/>
          <w:szCs w:val="24"/>
        </w:rPr>
        <w:t xml:space="preserve">medical </w:t>
      </w:r>
      <w:proofErr w:type="gramStart"/>
      <w:r w:rsidRPr="004D2A51">
        <w:rPr>
          <w:rFonts w:cstheme="minorHAnsi"/>
          <w:sz w:val="24"/>
          <w:szCs w:val="24"/>
        </w:rPr>
        <w:t>treatment</w:t>
      </w:r>
      <w:proofErr w:type="gramEnd"/>
      <w:r w:rsidRPr="004D2A51">
        <w:rPr>
          <w:rFonts w:cstheme="minorHAnsi"/>
          <w:sz w:val="24"/>
          <w:szCs w:val="24"/>
        </w:rPr>
        <w:t xml:space="preserve"> and victim’s own actions</w:t>
      </w:r>
      <w:r>
        <w:rPr>
          <w:rFonts w:cstheme="minorHAnsi"/>
          <w:sz w:val="24"/>
          <w:szCs w:val="24"/>
        </w:rPr>
        <w:t xml:space="preserve"> – do these break the chain of causation? </w:t>
      </w:r>
      <w:r w:rsidRPr="009642C9">
        <w:rPr>
          <w:rFonts w:cstheme="minorHAnsi"/>
          <w:sz w:val="24"/>
          <w:szCs w:val="24"/>
        </w:rPr>
        <w:t>An intervention in the course of duty will not be voluntary</w:t>
      </w:r>
      <w:r>
        <w:rPr>
          <w:rFonts w:cstheme="minorHAnsi"/>
          <w:sz w:val="24"/>
          <w:szCs w:val="24"/>
        </w:rPr>
        <w:t xml:space="preserve">. </w:t>
      </w:r>
      <w:r w:rsidRPr="009642C9">
        <w:rPr>
          <w:rFonts w:cstheme="minorHAnsi"/>
          <w:sz w:val="24"/>
          <w:szCs w:val="24"/>
        </w:rPr>
        <w:t xml:space="preserve"> </w:t>
      </w:r>
      <w:r>
        <w:rPr>
          <w:rFonts w:cstheme="minorHAnsi"/>
          <w:sz w:val="24"/>
          <w:szCs w:val="24"/>
        </w:rPr>
        <w:t xml:space="preserve">D must take </w:t>
      </w:r>
      <w:r w:rsidR="00137561">
        <w:rPr>
          <w:rFonts w:cstheme="minorHAnsi"/>
          <w:sz w:val="24"/>
          <w:szCs w:val="24"/>
        </w:rPr>
        <w:t>their</w:t>
      </w:r>
      <w:r>
        <w:rPr>
          <w:rFonts w:cstheme="minorHAnsi"/>
          <w:sz w:val="24"/>
          <w:szCs w:val="24"/>
        </w:rPr>
        <w:t xml:space="preserve"> victim as </w:t>
      </w:r>
      <w:r w:rsidR="00137561">
        <w:rPr>
          <w:rFonts w:cstheme="minorHAnsi"/>
          <w:sz w:val="24"/>
          <w:szCs w:val="24"/>
        </w:rPr>
        <w:t>they</w:t>
      </w:r>
      <w:r>
        <w:rPr>
          <w:rFonts w:cstheme="minorHAnsi"/>
          <w:sz w:val="24"/>
          <w:szCs w:val="24"/>
        </w:rPr>
        <w:t xml:space="preserve"> find </w:t>
      </w:r>
      <w:r w:rsidR="00137561">
        <w:rPr>
          <w:rFonts w:cstheme="minorHAnsi"/>
          <w:sz w:val="24"/>
          <w:szCs w:val="24"/>
        </w:rPr>
        <w:t>the</w:t>
      </w:r>
      <w:r>
        <w:rPr>
          <w:rFonts w:cstheme="minorHAnsi"/>
          <w:sz w:val="24"/>
          <w:szCs w:val="24"/>
        </w:rPr>
        <w:t>m</w:t>
      </w:r>
    </w:p>
    <w:p w14:paraId="193AF345" w14:textId="2BA4F46A" w:rsidR="00E56A24" w:rsidRDefault="00E56A24" w:rsidP="00137561">
      <w:pPr>
        <w:pStyle w:val="Heading3"/>
      </w:pPr>
      <w:r>
        <w:t xml:space="preserve">Key </w:t>
      </w:r>
      <w:r w:rsidRPr="009642C9">
        <w:t xml:space="preserve">Law </w:t>
      </w:r>
    </w:p>
    <w:p w14:paraId="7241455F" w14:textId="49A16E59" w:rsidR="0096224D" w:rsidRDefault="0096224D" w:rsidP="00E56A24">
      <w:pPr>
        <w:rPr>
          <w:rFonts w:cstheme="minorHAnsi"/>
          <w:color w:val="4472C4" w:themeColor="accent1"/>
          <w:sz w:val="24"/>
          <w:szCs w:val="24"/>
        </w:rPr>
      </w:pPr>
      <w:r>
        <w:rPr>
          <w:rFonts w:cstheme="minorHAnsi"/>
          <w:color w:val="4472C4" w:themeColor="accent1"/>
          <w:sz w:val="24"/>
          <w:szCs w:val="24"/>
        </w:rPr>
        <w:t>Y</w:t>
      </w:r>
      <w:r w:rsidRPr="0096224D">
        <w:rPr>
          <w:rFonts w:cstheme="minorHAnsi"/>
          <w:sz w:val="24"/>
          <w:szCs w:val="24"/>
        </w:rPr>
        <w:t>ou will find the relevant law in:</w:t>
      </w:r>
    </w:p>
    <w:p w14:paraId="295D2081" w14:textId="3A58967D" w:rsidR="00B655B3" w:rsidRPr="0096224D" w:rsidRDefault="004D2A51" w:rsidP="0096224D">
      <w:pPr>
        <w:pStyle w:val="ListParagraph"/>
        <w:numPr>
          <w:ilvl w:val="0"/>
          <w:numId w:val="14"/>
        </w:numPr>
        <w:rPr>
          <w:rFonts w:cstheme="minorHAnsi"/>
          <w:sz w:val="24"/>
          <w:szCs w:val="24"/>
        </w:rPr>
      </w:pPr>
      <w:r w:rsidRPr="0096224D">
        <w:rPr>
          <w:rFonts w:cstheme="minorHAnsi"/>
          <w:sz w:val="24"/>
          <w:szCs w:val="24"/>
        </w:rPr>
        <w:t xml:space="preserve">Murder – see definition </w:t>
      </w:r>
      <w:r w:rsidR="0096224D" w:rsidRPr="0096224D">
        <w:rPr>
          <w:rFonts w:cstheme="minorHAnsi"/>
          <w:sz w:val="24"/>
          <w:szCs w:val="24"/>
        </w:rPr>
        <w:t>(Chapter 4, section 4.1)</w:t>
      </w:r>
    </w:p>
    <w:p w14:paraId="37DBE202" w14:textId="17879973" w:rsidR="00B655B3" w:rsidRPr="0096224D" w:rsidRDefault="004D2A51" w:rsidP="0096224D">
      <w:pPr>
        <w:pStyle w:val="ListParagraph"/>
        <w:numPr>
          <w:ilvl w:val="0"/>
          <w:numId w:val="14"/>
        </w:numPr>
        <w:rPr>
          <w:rFonts w:cstheme="minorHAnsi"/>
          <w:sz w:val="24"/>
          <w:szCs w:val="24"/>
        </w:rPr>
      </w:pPr>
      <w:r w:rsidRPr="0096224D">
        <w:rPr>
          <w:rFonts w:cstheme="minorHAnsi"/>
          <w:sz w:val="24"/>
          <w:szCs w:val="24"/>
        </w:rPr>
        <w:t>Principles of legal causation</w:t>
      </w:r>
      <w:r w:rsidR="0096224D" w:rsidRPr="0096224D">
        <w:rPr>
          <w:rFonts w:cstheme="minorHAnsi"/>
          <w:sz w:val="24"/>
          <w:szCs w:val="24"/>
        </w:rPr>
        <w:t xml:space="preserve"> (all in Chapter 2, section 2.3)</w:t>
      </w:r>
      <w:r w:rsidR="00137561">
        <w:rPr>
          <w:rFonts w:cstheme="minorHAnsi"/>
          <w:sz w:val="24"/>
          <w:szCs w:val="24"/>
        </w:rPr>
        <w:t>.</w:t>
      </w:r>
      <w:r w:rsidR="0096224D" w:rsidRPr="0096224D">
        <w:rPr>
          <w:rFonts w:cstheme="minorHAnsi"/>
          <w:sz w:val="24"/>
          <w:szCs w:val="24"/>
        </w:rPr>
        <w:t xml:space="preserve">  </w:t>
      </w:r>
      <w:r w:rsidR="00B655B3" w:rsidRPr="00137561">
        <w:rPr>
          <w:rFonts w:cstheme="minorHAnsi"/>
          <w:i/>
          <w:iCs/>
          <w:sz w:val="24"/>
          <w:szCs w:val="24"/>
        </w:rPr>
        <w:t>Pagett</w:t>
      </w:r>
      <w:r w:rsidR="00137561">
        <w:rPr>
          <w:rFonts w:cstheme="minorHAnsi"/>
          <w:sz w:val="24"/>
          <w:szCs w:val="24"/>
        </w:rPr>
        <w:t>,</w:t>
      </w:r>
      <w:r w:rsidR="00B655B3" w:rsidRPr="0096224D">
        <w:rPr>
          <w:rFonts w:cstheme="minorHAnsi"/>
          <w:i/>
          <w:iCs/>
          <w:sz w:val="24"/>
          <w:szCs w:val="24"/>
        </w:rPr>
        <w:t xml:space="preserve"> </w:t>
      </w:r>
      <w:r w:rsidR="00B655B3" w:rsidRPr="00137561">
        <w:rPr>
          <w:rFonts w:cstheme="minorHAnsi"/>
          <w:i/>
          <w:iCs/>
          <w:sz w:val="24"/>
          <w:szCs w:val="24"/>
        </w:rPr>
        <w:t>Smith</w:t>
      </w:r>
      <w:r w:rsidR="00137561">
        <w:rPr>
          <w:rFonts w:cstheme="minorHAnsi"/>
          <w:sz w:val="24"/>
          <w:szCs w:val="24"/>
        </w:rPr>
        <w:t>,</w:t>
      </w:r>
      <w:r w:rsidR="00B655B3" w:rsidRPr="0096224D">
        <w:rPr>
          <w:rFonts w:cstheme="minorHAnsi"/>
          <w:sz w:val="24"/>
          <w:szCs w:val="24"/>
        </w:rPr>
        <w:t xml:space="preserve"> </w:t>
      </w:r>
      <w:r w:rsidR="00B655B3" w:rsidRPr="00137561">
        <w:rPr>
          <w:rFonts w:cstheme="minorHAnsi"/>
          <w:i/>
          <w:iCs/>
          <w:sz w:val="24"/>
          <w:szCs w:val="24"/>
        </w:rPr>
        <w:t>Cheshire</w:t>
      </w:r>
      <w:r w:rsidR="00B655B3" w:rsidRPr="0096224D">
        <w:rPr>
          <w:rFonts w:cstheme="minorHAnsi"/>
          <w:sz w:val="24"/>
          <w:szCs w:val="24"/>
        </w:rPr>
        <w:t>.</w:t>
      </w:r>
      <w:r w:rsidR="0096224D">
        <w:rPr>
          <w:rFonts w:cstheme="minorHAnsi"/>
          <w:sz w:val="24"/>
          <w:szCs w:val="24"/>
        </w:rPr>
        <w:t xml:space="preserve"> </w:t>
      </w:r>
      <w:r w:rsidR="00B655B3" w:rsidRPr="0096224D">
        <w:rPr>
          <w:rFonts w:cstheme="minorHAnsi"/>
          <w:sz w:val="24"/>
          <w:szCs w:val="24"/>
        </w:rPr>
        <w:t xml:space="preserve">Unreasonable escape – </w:t>
      </w:r>
      <w:r w:rsidR="00B655B3" w:rsidRPr="00137561">
        <w:rPr>
          <w:rFonts w:cstheme="minorHAnsi"/>
          <w:i/>
          <w:iCs/>
          <w:sz w:val="24"/>
          <w:szCs w:val="24"/>
        </w:rPr>
        <w:t>Roberts/Williams</w:t>
      </w:r>
      <w:r w:rsidR="00B655B3" w:rsidRPr="0096224D">
        <w:rPr>
          <w:rFonts w:cstheme="minorHAnsi"/>
          <w:sz w:val="24"/>
          <w:szCs w:val="24"/>
        </w:rPr>
        <w:t xml:space="preserve">. </w:t>
      </w:r>
      <w:r w:rsidR="00B655B3" w:rsidRPr="00137561">
        <w:rPr>
          <w:rFonts w:cstheme="minorHAnsi"/>
          <w:i/>
          <w:iCs/>
          <w:sz w:val="24"/>
          <w:szCs w:val="24"/>
        </w:rPr>
        <w:t>Blaue</w:t>
      </w:r>
      <w:r w:rsidR="00B655B3" w:rsidRPr="0096224D">
        <w:rPr>
          <w:rFonts w:cstheme="minorHAnsi"/>
          <w:sz w:val="24"/>
          <w:szCs w:val="24"/>
        </w:rPr>
        <w:t xml:space="preserve"> – the thin skull rule</w:t>
      </w:r>
    </w:p>
    <w:p w14:paraId="1AE98F14" w14:textId="2307A159" w:rsidR="00E56A24" w:rsidRPr="00E56A24" w:rsidRDefault="00E56A24" w:rsidP="00137561">
      <w:pPr>
        <w:pStyle w:val="Heading3"/>
      </w:pPr>
      <w:r w:rsidRPr="00E56A24">
        <w:t xml:space="preserve">Hints </w:t>
      </w:r>
    </w:p>
    <w:p w14:paraId="4D6E6FAB" w14:textId="2890319E" w:rsidR="00485A53" w:rsidRPr="0096224D" w:rsidRDefault="0096224D" w:rsidP="0096224D">
      <w:pPr>
        <w:pStyle w:val="ListParagraph"/>
        <w:numPr>
          <w:ilvl w:val="0"/>
          <w:numId w:val="13"/>
        </w:numPr>
        <w:rPr>
          <w:rFonts w:cstheme="minorHAnsi"/>
          <w:sz w:val="24"/>
          <w:szCs w:val="24"/>
        </w:rPr>
      </w:pPr>
      <w:r w:rsidRPr="0096224D">
        <w:rPr>
          <w:rFonts w:cstheme="minorHAnsi"/>
          <w:sz w:val="24"/>
          <w:szCs w:val="24"/>
        </w:rPr>
        <w:t>I</w:t>
      </w:r>
      <w:r w:rsidR="00B655B3" w:rsidRPr="0096224D">
        <w:rPr>
          <w:rFonts w:cstheme="minorHAnsi"/>
          <w:sz w:val="24"/>
          <w:szCs w:val="24"/>
        </w:rPr>
        <w:t>s the chain of causation between D’s assault and V’s death broken by the medical negligence or by V’s reaction?</w:t>
      </w:r>
      <w:r w:rsidR="004D2A51" w:rsidRPr="0096224D">
        <w:rPr>
          <w:rFonts w:cstheme="minorHAnsi"/>
          <w:sz w:val="24"/>
          <w:szCs w:val="24"/>
        </w:rPr>
        <w:t xml:space="preserve"> Use the case law carefully and decide if it should be applied or can be distinguished. </w:t>
      </w:r>
    </w:p>
    <w:p w14:paraId="20BEE3E4" w14:textId="74423981" w:rsidR="00485A53" w:rsidRPr="0096224D" w:rsidRDefault="00E56A24" w:rsidP="0096224D">
      <w:pPr>
        <w:pStyle w:val="ListParagraph"/>
        <w:numPr>
          <w:ilvl w:val="0"/>
          <w:numId w:val="13"/>
        </w:numPr>
        <w:rPr>
          <w:rFonts w:cstheme="minorHAnsi"/>
          <w:sz w:val="24"/>
          <w:szCs w:val="24"/>
        </w:rPr>
      </w:pPr>
      <w:r w:rsidRPr="0096224D">
        <w:rPr>
          <w:rFonts w:cstheme="minorHAnsi"/>
          <w:sz w:val="24"/>
          <w:szCs w:val="24"/>
        </w:rPr>
        <w:t>Note that you are not asked to cover MR</w:t>
      </w:r>
      <w:r w:rsidR="0096224D">
        <w:rPr>
          <w:rFonts w:cstheme="minorHAnsi"/>
          <w:sz w:val="24"/>
          <w:szCs w:val="24"/>
        </w:rPr>
        <w:t>.</w:t>
      </w:r>
    </w:p>
    <w:p w14:paraId="44F8F194" w14:textId="77777777" w:rsidR="00FA5950" w:rsidRPr="009642C9" w:rsidRDefault="00FA5950" w:rsidP="00FA5950">
      <w:pPr>
        <w:rPr>
          <w:rFonts w:cstheme="minorHAnsi"/>
          <w:sz w:val="24"/>
          <w:szCs w:val="24"/>
        </w:rPr>
      </w:pPr>
    </w:p>
    <w:sectPr w:rsidR="00FA5950" w:rsidRPr="009642C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4CF2" w14:textId="77777777" w:rsidR="00A84DC9" w:rsidRDefault="00A84DC9" w:rsidP="00A84DC9">
      <w:pPr>
        <w:spacing w:after="0" w:line="240" w:lineRule="auto"/>
      </w:pPr>
      <w:r>
        <w:separator/>
      </w:r>
    </w:p>
  </w:endnote>
  <w:endnote w:type="continuationSeparator" w:id="0">
    <w:p w14:paraId="46ABAAC9" w14:textId="77777777" w:rsidR="00A84DC9" w:rsidRDefault="00A84DC9" w:rsidP="00A8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P Swift">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487A" w14:textId="415BD610" w:rsidR="00A84DC9" w:rsidRDefault="00A84DC9" w:rsidP="00A84DC9">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5F03150C" wp14:editId="7FA03D47">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27281F01" w14:textId="77777777" w:rsidR="00A84DC9" w:rsidRDefault="00A84DC9" w:rsidP="00A84DC9">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41A02308" w14:textId="77777777" w:rsidR="00A84DC9" w:rsidRDefault="00A84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8BCF0" w14:textId="77777777" w:rsidR="00A84DC9" w:rsidRDefault="00A84DC9" w:rsidP="00A84DC9">
      <w:pPr>
        <w:spacing w:after="0" w:line="240" w:lineRule="auto"/>
      </w:pPr>
      <w:r>
        <w:separator/>
      </w:r>
    </w:p>
  </w:footnote>
  <w:footnote w:type="continuationSeparator" w:id="0">
    <w:p w14:paraId="700C0244" w14:textId="77777777" w:rsidR="00A84DC9" w:rsidRDefault="00A84DC9" w:rsidP="00A84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E7"/>
    <w:multiLevelType w:val="singleLevel"/>
    <w:tmpl w:val="3EDAAB62"/>
    <w:lvl w:ilvl="0">
      <w:start w:val="1"/>
      <w:numFmt w:val="decimal"/>
      <w:lvlText w:val="%1."/>
      <w:lvlJc w:val="left"/>
      <w:rPr>
        <w:rFonts w:ascii="Times New Roman" w:hAnsi="Times New Roman"/>
        <w:color w:val="000000"/>
        <w:sz w:val="24"/>
      </w:rPr>
    </w:lvl>
  </w:abstractNum>
  <w:abstractNum w:abstractNumId="1" w15:restartNumberingAfterBreak="0">
    <w:nsid w:val="0A033C71"/>
    <w:multiLevelType w:val="hybridMultilevel"/>
    <w:tmpl w:val="76FA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10DB8"/>
    <w:multiLevelType w:val="hybridMultilevel"/>
    <w:tmpl w:val="E412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B2E2C"/>
    <w:multiLevelType w:val="hybridMultilevel"/>
    <w:tmpl w:val="B96CE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84682"/>
    <w:multiLevelType w:val="hybridMultilevel"/>
    <w:tmpl w:val="53E2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B3DFE"/>
    <w:multiLevelType w:val="hybridMultilevel"/>
    <w:tmpl w:val="8B84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D15B7"/>
    <w:multiLevelType w:val="hybridMultilevel"/>
    <w:tmpl w:val="6E1C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2173D"/>
    <w:multiLevelType w:val="hybridMultilevel"/>
    <w:tmpl w:val="804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150BB8"/>
    <w:multiLevelType w:val="hybridMultilevel"/>
    <w:tmpl w:val="95C8B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754E42"/>
    <w:multiLevelType w:val="hybridMultilevel"/>
    <w:tmpl w:val="1AAC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220F1C"/>
    <w:multiLevelType w:val="hybridMultilevel"/>
    <w:tmpl w:val="A452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9287A"/>
    <w:multiLevelType w:val="hybridMultilevel"/>
    <w:tmpl w:val="0E32EFA6"/>
    <w:lvl w:ilvl="0" w:tplc="08090001">
      <w:start w:val="1"/>
      <w:numFmt w:val="bullet"/>
      <w:lvlText w:val=""/>
      <w:lvlJc w:val="left"/>
      <w:pPr>
        <w:tabs>
          <w:tab w:val="num" w:pos="780"/>
        </w:tabs>
        <w:ind w:left="780" w:hanging="360"/>
      </w:pPr>
      <w:rPr>
        <w:rFonts w:ascii="Symbol" w:hAnsi="Symbol" w:cs="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num w:numId="1">
    <w:abstractNumId w:val="8"/>
  </w:num>
  <w:num w:numId="2">
    <w:abstractNumId w:val="6"/>
  </w:num>
  <w:num w:numId="3">
    <w:abstractNumId w:val="4"/>
  </w:num>
  <w:num w:numId="4">
    <w:abstractNumId w:val="0"/>
  </w:num>
  <w:num w:numId="5">
    <w:abstractNumId w:val="11"/>
  </w:num>
  <w:num w:numId="6">
    <w:abstractNumId w:val="3"/>
  </w:num>
  <w:num w:numId="7">
    <w:abstractNumId w:val="14"/>
  </w:num>
  <w:num w:numId="8">
    <w:abstractNumId w:val="13"/>
  </w:num>
  <w:num w:numId="9">
    <w:abstractNumId w:val="9"/>
  </w:num>
  <w:num w:numId="10">
    <w:abstractNumId w:val="1"/>
  </w:num>
  <w:num w:numId="11">
    <w:abstractNumId w:val="12"/>
  </w:num>
  <w:num w:numId="12">
    <w:abstractNumId w:val="2"/>
  </w:num>
  <w:num w:numId="13">
    <w:abstractNumId w:val="7"/>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50"/>
    <w:rsid w:val="00137561"/>
    <w:rsid w:val="0018064F"/>
    <w:rsid w:val="00285D64"/>
    <w:rsid w:val="003B2A04"/>
    <w:rsid w:val="003E1E75"/>
    <w:rsid w:val="00485A53"/>
    <w:rsid w:val="004D2A51"/>
    <w:rsid w:val="00847618"/>
    <w:rsid w:val="0096224D"/>
    <w:rsid w:val="009642C9"/>
    <w:rsid w:val="00A82F57"/>
    <w:rsid w:val="00A84DC9"/>
    <w:rsid w:val="00B655B3"/>
    <w:rsid w:val="00BA5CA1"/>
    <w:rsid w:val="00DA5F2C"/>
    <w:rsid w:val="00E56A24"/>
    <w:rsid w:val="00F278D2"/>
    <w:rsid w:val="00FA5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04B42"/>
  <w15:chartTrackingRefBased/>
  <w15:docId w15:val="{F84957F5-FE64-4C98-9D8D-7A330E8A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9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59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75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50"/>
    <w:pPr>
      <w:ind w:left="720"/>
      <w:contextualSpacing/>
    </w:pPr>
  </w:style>
  <w:style w:type="character" w:customStyle="1" w:styleId="Heading1Char">
    <w:name w:val="Heading 1 Char"/>
    <w:basedOn w:val="DefaultParagraphFont"/>
    <w:link w:val="Heading1"/>
    <w:uiPriority w:val="9"/>
    <w:rsid w:val="00FA595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A5950"/>
    <w:rPr>
      <w:rFonts w:asciiTheme="majorHAnsi" w:eastAsiaTheme="majorEastAsia" w:hAnsiTheme="majorHAnsi" w:cstheme="majorBidi"/>
      <w:color w:val="2F5496" w:themeColor="accent1" w:themeShade="BF"/>
      <w:sz w:val="26"/>
      <w:szCs w:val="26"/>
    </w:rPr>
  </w:style>
  <w:style w:type="paragraph" w:customStyle="1" w:styleId="NL">
    <w:name w:val="NL"/>
    <w:basedOn w:val="Normal"/>
    <w:rsid w:val="00F278D2"/>
    <w:pPr>
      <w:tabs>
        <w:tab w:val="left" w:pos="720"/>
        <w:tab w:val="left" w:pos="1440"/>
      </w:tabs>
      <w:spacing w:before="60" w:after="60" w:line="480" w:lineRule="auto"/>
    </w:pPr>
    <w:rPr>
      <w:sz w:val="24"/>
      <w:szCs w:val="20"/>
    </w:rPr>
  </w:style>
  <w:style w:type="character" w:customStyle="1" w:styleId="Heading3Char">
    <w:name w:val="Heading 3 Char"/>
    <w:basedOn w:val="DefaultParagraphFont"/>
    <w:link w:val="Heading3"/>
    <w:uiPriority w:val="9"/>
    <w:rsid w:val="0013756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84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DC9"/>
  </w:style>
  <w:style w:type="paragraph" w:styleId="Footer">
    <w:name w:val="footer"/>
    <w:basedOn w:val="Normal"/>
    <w:link w:val="FooterChar"/>
    <w:unhideWhenUsed/>
    <w:rsid w:val="00A84DC9"/>
    <w:pPr>
      <w:tabs>
        <w:tab w:val="center" w:pos="4680"/>
        <w:tab w:val="right" w:pos="9360"/>
      </w:tabs>
      <w:spacing w:after="0" w:line="240" w:lineRule="auto"/>
    </w:pPr>
  </w:style>
  <w:style w:type="character" w:customStyle="1" w:styleId="FooterChar">
    <w:name w:val="Footer Char"/>
    <w:basedOn w:val="DefaultParagraphFont"/>
    <w:link w:val="Footer"/>
    <w:rsid w:val="00A8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7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2022-01-28T13:49:00Z</dcterms:created>
  <dcterms:modified xsi:type="dcterms:W3CDTF">2022-02-02T15:26:00Z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2022-02-02T15:26:02Z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cbf950ac-43e1-4b63-bcec-9bfcf2892a53</vt:lpwstr>
  </property>
  <property fmtid="{D5CDD505-2E9C-101B-9397-08002B2CF9AE}" pid="8" name="MSIP_Label_be5cb09a-2992-49d6-8ac9-5f63e7b1ad2f_ContentBits">
    <vt:lpwstr>0</vt:lpwstr>
  </property>
</Properties>
</file>