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33153" w14:textId="6D086BF9" w:rsidR="005020F5" w:rsidRDefault="005020F5" w:rsidP="005020F5">
      <w:pPr>
        <w:pStyle w:val="Heading1"/>
      </w:pPr>
      <w:r>
        <w:t xml:space="preserve">Answer guidance </w:t>
      </w:r>
    </w:p>
    <w:p w14:paraId="1816FB8C" w14:textId="77777777" w:rsidR="009F6139" w:rsidRDefault="009F6139" w:rsidP="009F6139"/>
    <w:p w14:paraId="1AFF62B2" w14:textId="1061EEE8" w:rsidR="009F6139" w:rsidRDefault="009F6139" w:rsidP="009F6139">
      <w:pPr>
        <w:pStyle w:val="Heading2"/>
      </w:pPr>
      <w:r>
        <w:t>Question:</w:t>
      </w:r>
    </w:p>
    <w:p w14:paraId="00553B05" w14:textId="79192CBB" w:rsidR="00AB1B2D" w:rsidRDefault="00603777" w:rsidP="009F6139">
      <w:r w:rsidRPr="00603777">
        <w:t xml:space="preserve">Derek met Anne one night at a disco.  After the dancing had finished, Anne invited him back to her flat for a drink.  Derek accepted and escorted Anne home where she drank several whiskies and became very drunk.  Derek proposed sexual </w:t>
      </w:r>
      <w:r w:rsidR="003C2EBA" w:rsidRPr="00603777">
        <w:t>intercourse,</w:t>
      </w:r>
      <w:r w:rsidRPr="00603777">
        <w:t xml:space="preserve"> but Anne resisted.  As she lay on the floor, he inserted his fingers into her vagina.  She felt too ill to stop him.  She then fell unconscious whereupon Derek had sexual intercourse with her.  </w:t>
      </w:r>
    </w:p>
    <w:p w14:paraId="22A3E7A1" w14:textId="77777777" w:rsidR="00AB1B2D" w:rsidRDefault="00603777" w:rsidP="009F6139">
      <w:r w:rsidRPr="00603777">
        <w:t xml:space="preserve">The following week, Derek invited Bina out for a meal and afterwards they returned to her flat.  Derek told Bina that he was David Beckham’s brother and that if she had sexual intercourse with him he would arrange a meeting with the famous football player.  None of this was true but Bina naively agreed.  </w:t>
      </w:r>
    </w:p>
    <w:p w14:paraId="2FACB9D5" w14:textId="60C5E30A" w:rsidR="009F6139" w:rsidRDefault="00603777" w:rsidP="009F6139">
      <w:r w:rsidRPr="00603777">
        <w:t>Six months later, both Anne and Bina discovered that they were infected with HIV.  Derek later stated that he knew he was HIV+ but claimed to be ignorant of the risks of transmission.</w:t>
      </w:r>
    </w:p>
    <w:p w14:paraId="7DC94842" w14:textId="25F8F113" w:rsidR="00AB1B2D" w:rsidRDefault="00AB1B2D" w:rsidP="009F6139">
      <w:r>
        <w:t xml:space="preserve">Discuss Derek’s liability. </w:t>
      </w:r>
    </w:p>
    <w:p w14:paraId="2BA0053C" w14:textId="77777777" w:rsidR="00AB1B2D" w:rsidRPr="009F6139" w:rsidRDefault="00AB1B2D" w:rsidP="009F6139"/>
    <w:p w14:paraId="0C883292" w14:textId="77777777" w:rsidR="005020F5" w:rsidRDefault="005020F5" w:rsidP="005020F5">
      <w:pPr>
        <w:pStyle w:val="Heading2"/>
      </w:pPr>
      <w:r>
        <w:t>Key issues:</w:t>
      </w:r>
    </w:p>
    <w:p w14:paraId="6008B05A" w14:textId="081625DE" w:rsidR="005020F5" w:rsidRDefault="00E962B7" w:rsidP="005020F5">
      <w:pPr>
        <w:pStyle w:val="ListParagraph"/>
        <w:numPr>
          <w:ilvl w:val="0"/>
          <w:numId w:val="1"/>
        </w:numPr>
      </w:pPr>
      <w:r>
        <w:t xml:space="preserve">Anne: assault by penetration </w:t>
      </w:r>
      <w:r w:rsidR="00041C23">
        <w:t>– capacity to consent</w:t>
      </w:r>
    </w:p>
    <w:p w14:paraId="4453FD02" w14:textId="566B20D7" w:rsidR="00E962B7" w:rsidRDefault="00E962B7" w:rsidP="005020F5">
      <w:pPr>
        <w:pStyle w:val="ListParagraph"/>
        <w:numPr>
          <w:ilvl w:val="0"/>
          <w:numId w:val="1"/>
        </w:numPr>
      </w:pPr>
      <w:r>
        <w:t>Anne: rape</w:t>
      </w:r>
      <w:r w:rsidR="00184C89">
        <w:t xml:space="preserve"> – statutory presumptions</w:t>
      </w:r>
    </w:p>
    <w:p w14:paraId="48625811" w14:textId="1BD10897" w:rsidR="005020F5" w:rsidRDefault="00E962B7" w:rsidP="005020F5">
      <w:pPr>
        <w:pStyle w:val="ListParagraph"/>
        <w:numPr>
          <w:ilvl w:val="0"/>
          <w:numId w:val="1"/>
        </w:numPr>
      </w:pPr>
      <w:r>
        <w:t>Bina: rape</w:t>
      </w:r>
      <w:r w:rsidR="00184C89">
        <w:t xml:space="preserve"> – deception </w:t>
      </w:r>
    </w:p>
    <w:p w14:paraId="59206705" w14:textId="1D88862D" w:rsidR="00642BC7" w:rsidRDefault="00642BC7" w:rsidP="005020F5">
      <w:pPr>
        <w:pStyle w:val="ListParagraph"/>
        <w:numPr>
          <w:ilvl w:val="0"/>
          <w:numId w:val="1"/>
        </w:numPr>
      </w:pPr>
      <w:r>
        <w:t>Anne and Bina – s20 GBH, possible rape by deception</w:t>
      </w:r>
    </w:p>
    <w:p w14:paraId="7FD9692D" w14:textId="77777777" w:rsidR="005020F5" w:rsidRDefault="005020F5" w:rsidP="005020F5">
      <w:pPr>
        <w:pStyle w:val="Heading2"/>
      </w:pPr>
      <w:r>
        <w:t>Key law</w:t>
      </w:r>
    </w:p>
    <w:p w14:paraId="52A4DDDB" w14:textId="77777777" w:rsidR="005020F5" w:rsidRDefault="005020F5" w:rsidP="005020F5">
      <w:r>
        <w:t>You will find relevant legal rules in:</w:t>
      </w:r>
    </w:p>
    <w:p w14:paraId="19DFF3CD" w14:textId="2E5DDFF9" w:rsidR="005020F5" w:rsidRDefault="00694FB9" w:rsidP="005020F5">
      <w:pPr>
        <w:pStyle w:val="ListParagraph"/>
        <w:numPr>
          <w:ilvl w:val="0"/>
          <w:numId w:val="2"/>
        </w:numPr>
      </w:pPr>
      <w:r>
        <w:t xml:space="preserve">Rape: s1 SOA 2003, section </w:t>
      </w:r>
      <w:r w:rsidR="00C24FAA">
        <w:t>9.2</w:t>
      </w:r>
    </w:p>
    <w:p w14:paraId="033E014C" w14:textId="5F27C314" w:rsidR="00C24FAA" w:rsidRDefault="00C24FAA" w:rsidP="005020F5">
      <w:pPr>
        <w:pStyle w:val="ListParagraph"/>
        <w:numPr>
          <w:ilvl w:val="0"/>
          <w:numId w:val="2"/>
        </w:numPr>
      </w:pPr>
      <w:r>
        <w:t>Assault by penetration: s2 SOA 2003, section 9.3</w:t>
      </w:r>
    </w:p>
    <w:p w14:paraId="3F98BFC3" w14:textId="450BC959" w:rsidR="005020F5" w:rsidRDefault="000C45DB" w:rsidP="005020F5">
      <w:pPr>
        <w:pStyle w:val="ListParagraph"/>
        <w:numPr>
          <w:ilvl w:val="0"/>
          <w:numId w:val="2"/>
        </w:numPr>
      </w:pPr>
      <w:r>
        <w:t>Consent:</w:t>
      </w:r>
      <w:r w:rsidR="00A32523">
        <w:t xml:space="preserve"> section </w:t>
      </w:r>
      <w:r w:rsidR="00AA0EDA">
        <w:t>9.2.2</w:t>
      </w:r>
    </w:p>
    <w:p w14:paraId="12439955" w14:textId="61673309" w:rsidR="000C45DB" w:rsidRDefault="00A32523" w:rsidP="00AC77D7">
      <w:pPr>
        <w:pStyle w:val="ListParagraph"/>
        <w:numPr>
          <w:ilvl w:val="1"/>
          <w:numId w:val="2"/>
        </w:numPr>
      </w:pPr>
      <w:r>
        <w:t>Definition of consent: s74</w:t>
      </w:r>
      <w:r w:rsidR="00AA0EDA">
        <w:t xml:space="preserve"> SOA 2003</w:t>
      </w:r>
    </w:p>
    <w:p w14:paraId="00310D1B" w14:textId="77777777" w:rsidR="006076AD" w:rsidRDefault="006076AD" w:rsidP="006076AD">
      <w:pPr>
        <w:pStyle w:val="ListParagraph"/>
        <w:numPr>
          <w:ilvl w:val="1"/>
          <w:numId w:val="2"/>
        </w:numPr>
      </w:pPr>
      <w:r>
        <w:t xml:space="preserve">Intoxication: </w:t>
      </w:r>
      <w:r>
        <w:rPr>
          <w:i/>
          <w:iCs/>
        </w:rPr>
        <w:t>Bree</w:t>
      </w:r>
    </w:p>
    <w:p w14:paraId="42291977" w14:textId="44D372D0" w:rsidR="00AA0EDA" w:rsidRDefault="00AA0EDA" w:rsidP="00AC77D7">
      <w:pPr>
        <w:pStyle w:val="ListParagraph"/>
        <w:numPr>
          <w:ilvl w:val="1"/>
          <w:numId w:val="2"/>
        </w:numPr>
      </w:pPr>
      <w:r>
        <w:t>Unconsciousness/presumption of non-consent: s75 SOA 2003</w:t>
      </w:r>
    </w:p>
    <w:p w14:paraId="3687EE45" w14:textId="35154354" w:rsidR="00AA0EDA" w:rsidRDefault="00D528A2" w:rsidP="00AC77D7">
      <w:pPr>
        <w:pStyle w:val="ListParagraph"/>
        <w:numPr>
          <w:ilvl w:val="1"/>
          <w:numId w:val="2"/>
        </w:numPr>
      </w:pPr>
      <w:r>
        <w:t>Identity deception: s76 SOA 2003</w:t>
      </w:r>
      <w:r w:rsidR="00AC77D7">
        <w:t xml:space="preserve">, </w:t>
      </w:r>
      <w:r w:rsidR="00AC77D7" w:rsidRPr="00AC77D7">
        <w:rPr>
          <w:i/>
          <w:iCs/>
        </w:rPr>
        <w:t>McNally, R (on the application of ‘Monica’) v DPP</w:t>
      </w:r>
    </w:p>
    <w:p w14:paraId="3B9142B0" w14:textId="2FEE1DDB" w:rsidR="00CF5C16" w:rsidRDefault="00CF5C16" w:rsidP="00CF5C16">
      <w:pPr>
        <w:pStyle w:val="ListParagraph"/>
        <w:numPr>
          <w:ilvl w:val="0"/>
          <w:numId w:val="2"/>
        </w:numPr>
      </w:pPr>
      <w:r>
        <w:t>S20 GBH:</w:t>
      </w:r>
      <w:r w:rsidR="00671290">
        <w:t xml:space="preserve"> </w:t>
      </w:r>
      <w:r w:rsidR="00671290">
        <w:rPr>
          <w:i/>
          <w:iCs/>
        </w:rPr>
        <w:t>Dica, Konzani,</w:t>
      </w:r>
      <w:r>
        <w:t xml:space="preserve"> chapter 8</w:t>
      </w:r>
    </w:p>
    <w:p w14:paraId="62016FD5" w14:textId="77777777" w:rsidR="005020F5" w:rsidRDefault="005020F5" w:rsidP="005020F5"/>
    <w:p w14:paraId="119FA4EB" w14:textId="77777777" w:rsidR="005020F5" w:rsidRDefault="005020F5" w:rsidP="005020F5">
      <w:pPr>
        <w:pStyle w:val="Heading2"/>
      </w:pPr>
      <w:r>
        <w:t>Hint(s):</w:t>
      </w:r>
    </w:p>
    <w:p w14:paraId="34869627" w14:textId="1582C20E" w:rsidR="005020F5" w:rsidRDefault="00671290" w:rsidP="00671290">
      <w:pPr>
        <w:pStyle w:val="ListParagraph"/>
        <w:numPr>
          <w:ilvl w:val="0"/>
          <w:numId w:val="4"/>
        </w:numPr>
      </w:pPr>
      <w:r>
        <w:t>Remember that where a presumption under s75 or s76 does not apply, there may still be a lack of freedom/capacity under s74.</w:t>
      </w:r>
      <w:r w:rsidR="0042184A">
        <w:t xml:space="preserve"> </w:t>
      </w:r>
    </w:p>
    <w:p w14:paraId="3D230354" w14:textId="77777777" w:rsidR="005020F5" w:rsidRDefault="005020F5"/>
    <w:sectPr w:rsidR="005020F5">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D013A" w14:textId="77777777" w:rsidR="003C2EBA" w:rsidRDefault="003C2EBA" w:rsidP="003C2EBA">
      <w:pPr>
        <w:spacing w:after="0" w:line="240" w:lineRule="auto"/>
      </w:pPr>
      <w:r>
        <w:separator/>
      </w:r>
    </w:p>
  </w:endnote>
  <w:endnote w:type="continuationSeparator" w:id="0">
    <w:p w14:paraId="45146B7B" w14:textId="77777777" w:rsidR="003C2EBA" w:rsidRDefault="003C2EBA" w:rsidP="003C2E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UP Swift">
    <w:altName w:val="Calibri"/>
    <w:panose1 w:val="02000503080000020004"/>
    <w:charset w:val="00"/>
    <w:family w:val="auto"/>
    <w:pitch w:val="variable"/>
    <w:sig w:usb0="8000002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0584E" w14:textId="0857B613" w:rsidR="003C2EBA" w:rsidRDefault="003C2EBA" w:rsidP="003C2EBA">
    <w:pPr>
      <w:pStyle w:val="Footer"/>
      <w:pBdr>
        <w:top w:val="single" w:sz="4" w:space="1" w:color="808080"/>
      </w:pBdr>
      <w:jc w:val="right"/>
      <w:rPr>
        <w:rFonts w:ascii="OUP Swift" w:hAnsi="OUP Swift"/>
        <w:color w:val="808080"/>
      </w:rPr>
    </w:pPr>
    <w:bookmarkStart w:id="0" w:name="_Hlk94603672"/>
    <w:bookmarkStart w:id="1" w:name="_Hlk94603673"/>
    <w:r>
      <w:rPr>
        <w:rFonts w:ascii="OUP Swift" w:hAnsi="OUP Swift"/>
        <w:noProof/>
        <w:color w:val="808080"/>
      </w:rPr>
      <w:drawing>
        <wp:inline distT="0" distB="0" distL="0" distR="0" wp14:anchorId="53A58872" wp14:editId="17FE0D7A">
          <wp:extent cx="1219200" cy="457200"/>
          <wp:effectExtent l="0" t="0" r="0" b="0"/>
          <wp:docPr id="1" name="Picture 1" descr="Company n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any nam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457200"/>
                  </a:xfrm>
                  <a:prstGeom prst="rect">
                    <a:avLst/>
                  </a:prstGeom>
                  <a:noFill/>
                  <a:ln>
                    <a:noFill/>
                  </a:ln>
                </pic:spPr>
              </pic:pic>
            </a:graphicData>
          </a:graphic>
        </wp:inline>
      </w:drawing>
    </w:r>
  </w:p>
  <w:p w14:paraId="40F8687A" w14:textId="77777777" w:rsidR="003C2EBA" w:rsidRDefault="003C2EBA" w:rsidP="003C2EBA">
    <w:pPr>
      <w:pStyle w:val="Footer"/>
      <w:rPr>
        <w:rFonts w:ascii="Arial" w:hAnsi="Arial"/>
        <w:color w:val="808080"/>
        <w:sz w:val="20"/>
        <w:szCs w:val="20"/>
      </w:rPr>
    </w:pPr>
    <w:r>
      <w:rPr>
        <w:rFonts w:ascii="Arial" w:hAnsi="Arial"/>
        <w:color w:val="808080"/>
        <w:sz w:val="20"/>
        <w:szCs w:val="20"/>
      </w:rPr>
      <w:t>© Oxford University Press, 2022. All rights reserved.</w:t>
    </w:r>
    <w:bookmarkEnd w:id="0"/>
    <w:bookmarkEnd w:id="1"/>
  </w:p>
  <w:p w14:paraId="14CCD662" w14:textId="77777777" w:rsidR="003C2EBA" w:rsidRDefault="003C2EBA" w:rsidP="003C2EBA">
    <w:pPr>
      <w:pStyle w:val="Footer"/>
    </w:pPr>
  </w:p>
  <w:p w14:paraId="6F55D567" w14:textId="77777777" w:rsidR="003C2EBA" w:rsidRDefault="003C2E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2C44A" w14:textId="77777777" w:rsidR="003C2EBA" w:rsidRDefault="003C2EBA" w:rsidP="003C2EBA">
      <w:pPr>
        <w:spacing w:after="0" w:line="240" w:lineRule="auto"/>
      </w:pPr>
      <w:r>
        <w:separator/>
      </w:r>
    </w:p>
  </w:footnote>
  <w:footnote w:type="continuationSeparator" w:id="0">
    <w:p w14:paraId="426371F6" w14:textId="77777777" w:rsidR="003C2EBA" w:rsidRDefault="003C2EBA" w:rsidP="003C2E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5A0CF2"/>
    <w:multiLevelType w:val="hybridMultilevel"/>
    <w:tmpl w:val="8FB48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E70449"/>
    <w:multiLevelType w:val="hybridMultilevel"/>
    <w:tmpl w:val="C1C064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E17C86"/>
    <w:multiLevelType w:val="hybridMultilevel"/>
    <w:tmpl w:val="F0D60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FB4FE5"/>
    <w:multiLevelType w:val="hybridMultilevel"/>
    <w:tmpl w:val="B06476E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0F5"/>
    <w:rsid w:val="00041C23"/>
    <w:rsid w:val="000C45DB"/>
    <w:rsid w:val="00184C89"/>
    <w:rsid w:val="00347F74"/>
    <w:rsid w:val="00367678"/>
    <w:rsid w:val="003C2EBA"/>
    <w:rsid w:val="003D2209"/>
    <w:rsid w:val="0042184A"/>
    <w:rsid w:val="005020F5"/>
    <w:rsid w:val="00603777"/>
    <w:rsid w:val="006076AD"/>
    <w:rsid w:val="00642BC7"/>
    <w:rsid w:val="00671290"/>
    <w:rsid w:val="00694FB9"/>
    <w:rsid w:val="009610F8"/>
    <w:rsid w:val="009F6139"/>
    <w:rsid w:val="00A32523"/>
    <w:rsid w:val="00A359E2"/>
    <w:rsid w:val="00AA0EDA"/>
    <w:rsid w:val="00AB1B2D"/>
    <w:rsid w:val="00AC77D7"/>
    <w:rsid w:val="00BD5485"/>
    <w:rsid w:val="00C24FAA"/>
    <w:rsid w:val="00CF5C16"/>
    <w:rsid w:val="00D528A2"/>
    <w:rsid w:val="00E962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53E645"/>
  <w15:chartTrackingRefBased/>
  <w15:docId w15:val="{1BF89C82-33FC-4BF6-8B7F-D24BB8485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0F5"/>
  </w:style>
  <w:style w:type="paragraph" w:styleId="Heading1">
    <w:name w:val="heading 1"/>
    <w:basedOn w:val="Normal"/>
    <w:next w:val="Normal"/>
    <w:link w:val="Heading1Char"/>
    <w:uiPriority w:val="9"/>
    <w:qFormat/>
    <w:rsid w:val="005020F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020F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20F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020F5"/>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5020F5"/>
    <w:pPr>
      <w:ind w:left="720"/>
      <w:contextualSpacing/>
    </w:pPr>
  </w:style>
  <w:style w:type="paragraph" w:styleId="Header">
    <w:name w:val="header"/>
    <w:basedOn w:val="Normal"/>
    <w:link w:val="HeaderChar"/>
    <w:uiPriority w:val="99"/>
    <w:unhideWhenUsed/>
    <w:rsid w:val="003C2E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2EBA"/>
  </w:style>
  <w:style w:type="paragraph" w:styleId="Footer">
    <w:name w:val="footer"/>
    <w:basedOn w:val="Normal"/>
    <w:link w:val="FooterChar"/>
    <w:unhideWhenUsed/>
    <w:rsid w:val="003C2EBA"/>
    <w:pPr>
      <w:tabs>
        <w:tab w:val="center" w:pos="4680"/>
        <w:tab w:val="right" w:pos="9360"/>
      </w:tabs>
      <w:spacing w:after="0" w:line="240" w:lineRule="auto"/>
    </w:pPr>
  </w:style>
  <w:style w:type="character" w:customStyle="1" w:styleId="FooterChar">
    <w:name w:val="Footer Char"/>
    <w:basedOn w:val="DefaultParagraphFont"/>
    <w:link w:val="Footer"/>
    <w:rsid w:val="003C2E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437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251</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Derry</dc:creator>
  <cp:keywords/>
  <dc:description/>
  <cp:lastModifiedBy>SINGH, Sera</cp:lastModifiedBy>
  <cp:revision>22</cp:revision>
  <dcterms:created xsi:type="dcterms:W3CDTF">2022-01-18T19:07:00Z</dcterms:created>
  <dcterms:modified xsi:type="dcterms:W3CDTF">2022-02-03T11:49:00Z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2022-02-03T11:48:30Z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34aa939f-2135-4ac5-b000-84f43f540245</vt:lpwstr>
  </property>
  <property fmtid="{D5CDD505-2E9C-101B-9397-08002B2CF9AE}" pid="8" name="MSIP_Label_be5cb09a-2992-49d6-8ac9-5f63e7b1ad2f_ContentBits">
    <vt:lpwstr>0</vt:lpwstr>
  </property>
</Properties>
</file>