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3153" w14:textId="6D086BF9" w:rsidR="005020F5" w:rsidRDefault="005020F5" w:rsidP="005020F5">
      <w:pPr>
        <w:pStyle w:val="Heading1"/>
      </w:pPr>
      <w:r>
        <w:t xml:space="preserve">Answer guidance </w:t>
      </w:r>
    </w:p>
    <w:p w14:paraId="1816FB8C" w14:textId="77777777" w:rsidR="009F6139" w:rsidRDefault="009F6139" w:rsidP="009F6139"/>
    <w:p w14:paraId="1AFF62B2" w14:textId="1061EEE8" w:rsidR="009F6139" w:rsidRDefault="009F6139" w:rsidP="009F6139">
      <w:pPr>
        <w:pStyle w:val="Heading2"/>
      </w:pPr>
      <w:r>
        <w:t>Question:</w:t>
      </w:r>
    </w:p>
    <w:p w14:paraId="1D5BBEDF" w14:textId="5EE5E925" w:rsidR="00BD5151" w:rsidRDefault="00C61380" w:rsidP="00BD5151">
      <w:r>
        <w:t>Amrit</w:t>
      </w:r>
      <w:r w:rsidR="00BD5151">
        <w:t xml:space="preserve">, a cannabis user, was confronted one night by George, his drug supplier who had a reputation for violence.  George drove </w:t>
      </w:r>
      <w:r>
        <w:t>Amrit</w:t>
      </w:r>
      <w:r w:rsidR="00BD5151">
        <w:t xml:space="preserve"> to a house, supplied him with a knife and ordered him to break in.  George threatened </w:t>
      </w:r>
      <w:r>
        <w:t>Amrit</w:t>
      </w:r>
      <w:r w:rsidR="00BD5151">
        <w:t xml:space="preserve"> that unless he took at least £5000 worth of jewellery, </w:t>
      </w:r>
      <w:r>
        <w:t>Amrit’s</w:t>
      </w:r>
      <w:r w:rsidR="00BD5151">
        <w:t xml:space="preserve"> family would be injured.  </w:t>
      </w:r>
      <w:r>
        <w:t xml:space="preserve">Amrit </w:t>
      </w:r>
      <w:r w:rsidR="00BD5151">
        <w:t xml:space="preserve">forced open a ground floor window with the knife and </w:t>
      </w:r>
      <w:r w:rsidR="00A33240">
        <w:t xml:space="preserve">climbed through; he immediately </w:t>
      </w:r>
      <w:r w:rsidR="00666EF5">
        <w:t xml:space="preserve">picked up a watch which was on the living room table and put it in his pocket. </w:t>
      </w:r>
      <w:r w:rsidR="00A40A43">
        <w:t>Claude</w:t>
      </w:r>
      <w:r w:rsidR="00BD5151">
        <w:t xml:space="preserve">, the owner of the house, </w:t>
      </w:r>
      <w:r w:rsidR="00920421">
        <w:t>h</w:t>
      </w:r>
      <w:r w:rsidR="00AC7DF4">
        <w:t>ad heard the window opening and walked into the room</w:t>
      </w:r>
      <w:r w:rsidR="00BD5151">
        <w:t>.  George</w:t>
      </w:r>
      <w:r w:rsidR="00C12006">
        <w:t xml:space="preserve"> leaned through the window and</w:t>
      </w:r>
      <w:r w:rsidR="00BD5151">
        <w:t xml:space="preserve"> shouted to </w:t>
      </w:r>
      <w:r w:rsidR="00A40A43">
        <w:t>Amrit</w:t>
      </w:r>
      <w:r w:rsidR="00BD5151">
        <w:t xml:space="preserve"> to knife </w:t>
      </w:r>
      <w:r w:rsidR="00A40A43">
        <w:t>Claude</w:t>
      </w:r>
      <w:r w:rsidR="00BD5151">
        <w:t xml:space="preserve"> in the </w:t>
      </w:r>
      <w:r w:rsidR="00600765">
        <w:t>arm,</w:t>
      </w:r>
      <w:r w:rsidR="00BD5151">
        <w:t xml:space="preserve"> or he would shoot </w:t>
      </w:r>
      <w:r w:rsidR="00A40A43">
        <w:t>Amrit</w:t>
      </w:r>
      <w:r w:rsidR="00BD5151">
        <w:t xml:space="preserve"> in the </w:t>
      </w:r>
      <w:r w:rsidR="009C538E">
        <w:t>arm</w:t>
      </w:r>
      <w:r w:rsidR="00BD5151">
        <w:t xml:space="preserve">.  </w:t>
      </w:r>
      <w:r w:rsidR="00A40A43">
        <w:t>Claude</w:t>
      </w:r>
      <w:r w:rsidR="0030404F">
        <w:t xml:space="preserve"> then grabbed a heavy sculpture and </w:t>
      </w:r>
      <w:r w:rsidR="005B44A4">
        <w:t>threw it at George’s head</w:t>
      </w:r>
      <w:r w:rsidR="0030404F">
        <w:t xml:space="preserve">, </w:t>
      </w:r>
      <w:r w:rsidR="0089740C">
        <w:t xml:space="preserve">killing him. </w:t>
      </w:r>
      <w:r w:rsidR="00DC6267">
        <w:t>Amrit dropped the knife and ran away</w:t>
      </w:r>
    </w:p>
    <w:p w14:paraId="63B6411C" w14:textId="6BBA56F5" w:rsidR="00BD5151" w:rsidRDefault="00BD5151" w:rsidP="00BD5151">
      <w:r>
        <w:t>Discuss</w:t>
      </w:r>
      <w:r w:rsidR="00E0761C">
        <w:t xml:space="preserve"> Amrit and Claude’s criminal </w:t>
      </w:r>
      <w:r w:rsidR="00AC7DF4">
        <w:t>liability</w:t>
      </w:r>
      <w:r>
        <w:t>, ignoring any drugs offences.</w:t>
      </w:r>
    </w:p>
    <w:p w14:paraId="0C883292" w14:textId="77777777" w:rsidR="005020F5" w:rsidRDefault="005020F5" w:rsidP="005020F5">
      <w:pPr>
        <w:pStyle w:val="Heading2"/>
      </w:pPr>
      <w:r>
        <w:t>Key issues:</w:t>
      </w:r>
    </w:p>
    <w:p w14:paraId="48625811" w14:textId="6E363DF5" w:rsidR="005020F5" w:rsidRDefault="00E0761C" w:rsidP="005020F5">
      <w:pPr>
        <w:pStyle w:val="ListParagraph"/>
        <w:numPr>
          <w:ilvl w:val="0"/>
          <w:numId w:val="1"/>
        </w:numPr>
      </w:pPr>
      <w:r>
        <w:t>Amrit’s</w:t>
      </w:r>
      <w:r w:rsidR="0097614D">
        <w:t xml:space="preserve"> liability for burglary</w:t>
      </w:r>
    </w:p>
    <w:p w14:paraId="3399DE13" w14:textId="5502E814" w:rsidR="001F46B6" w:rsidRDefault="001F46B6" w:rsidP="00D63294">
      <w:pPr>
        <w:pStyle w:val="ListParagraph"/>
        <w:numPr>
          <w:ilvl w:val="1"/>
          <w:numId w:val="1"/>
        </w:numPr>
      </w:pPr>
      <w:r>
        <w:t>AR/MR</w:t>
      </w:r>
      <w:r w:rsidR="00C127C9">
        <w:t xml:space="preserve"> of burglary</w:t>
      </w:r>
      <w:r w:rsidR="00CE40F7">
        <w:t xml:space="preserve"> (this will be covered fully in Chapter 10, but Russell clearly entered the house as a trespasser and committed theft, with full MR)</w:t>
      </w:r>
    </w:p>
    <w:p w14:paraId="4A674EA3" w14:textId="2C8BB2F8" w:rsidR="00CE40F7" w:rsidRDefault="00CE40F7" w:rsidP="00D63294">
      <w:pPr>
        <w:pStyle w:val="ListParagraph"/>
        <w:numPr>
          <w:ilvl w:val="1"/>
          <w:numId w:val="1"/>
        </w:numPr>
      </w:pPr>
      <w:r>
        <w:t>Defence: duress</w:t>
      </w:r>
    </w:p>
    <w:p w14:paraId="24600532" w14:textId="157C73AE" w:rsidR="003203D4" w:rsidRDefault="00DC6267" w:rsidP="005020F5">
      <w:pPr>
        <w:pStyle w:val="ListParagraph"/>
        <w:numPr>
          <w:ilvl w:val="0"/>
          <w:numId w:val="1"/>
        </w:numPr>
      </w:pPr>
      <w:r>
        <w:t>Claude’s</w:t>
      </w:r>
      <w:r w:rsidR="0089740C">
        <w:t xml:space="preserve"> liability for murder</w:t>
      </w:r>
    </w:p>
    <w:p w14:paraId="22B98661" w14:textId="3894070A" w:rsidR="0089740C" w:rsidRDefault="0089740C" w:rsidP="000C0DE9">
      <w:pPr>
        <w:pStyle w:val="ListParagraph"/>
        <w:numPr>
          <w:ilvl w:val="1"/>
          <w:numId w:val="1"/>
        </w:numPr>
      </w:pPr>
      <w:r>
        <w:t>AR</w:t>
      </w:r>
      <w:r w:rsidR="003954E3">
        <w:t>/MR of murder (remember this includes intention to cause GBH)</w:t>
      </w:r>
    </w:p>
    <w:p w14:paraId="7C6904B9" w14:textId="3C7EA717" w:rsidR="003954E3" w:rsidRDefault="003954E3" w:rsidP="000C0DE9">
      <w:pPr>
        <w:pStyle w:val="ListParagraph"/>
        <w:numPr>
          <w:ilvl w:val="1"/>
          <w:numId w:val="1"/>
        </w:numPr>
      </w:pPr>
      <w:r>
        <w:t>Defence: self-defence; loss of control</w:t>
      </w:r>
    </w:p>
    <w:p w14:paraId="7FD9692D" w14:textId="77777777" w:rsidR="005020F5" w:rsidRDefault="005020F5" w:rsidP="005020F5">
      <w:pPr>
        <w:pStyle w:val="Heading2"/>
      </w:pPr>
      <w:r>
        <w:t>Key law</w:t>
      </w:r>
    </w:p>
    <w:p w14:paraId="52A4DDDB" w14:textId="77777777" w:rsidR="005020F5" w:rsidRDefault="005020F5" w:rsidP="005020F5">
      <w:r>
        <w:t>You will find relevant legal rules in:</w:t>
      </w:r>
    </w:p>
    <w:p w14:paraId="19DFF3CD" w14:textId="21D9F365" w:rsidR="005020F5" w:rsidRDefault="00DC6267" w:rsidP="005020F5">
      <w:pPr>
        <w:pStyle w:val="ListParagraph"/>
        <w:numPr>
          <w:ilvl w:val="0"/>
          <w:numId w:val="2"/>
        </w:numPr>
      </w:pPr>
      <w:r>
        <w:t>Burglary: Chapter 10</w:t>
      </w:r>
    </w:p>
    <w:p w14:paraId="3F98BFC3" w14:textId="6B8D2BE5" w:rsidR="005020F5" w:rsidRDefault="00B908F4" w:rsidP="005020F5">
      <w:pPr>
        <w:pStyle w:val="ListParagraph"/>
        <w:numPr>
          <w:ilvl w:val="0"/>
          <w:numId w:val="2"/>
        </w:numPr>
      </w:pPr>
      <w:r>
        <w:t>Murder: Chapter 4</w:t>
      </w:r>
    </w:p>
    <w:p w14:paraId="5FCB48AC" w14:textId="33CBC288" w:rsidR="00B908F4" w:rsidRDefault="00EA7189" w:rsidP="005020F5">
      <w:pPr>
        <w:pStyle w:val="ListParagraph"/>
        <w:numPr>
          <w:ilvl w:val="0"/>
          <w:numId w:val="2"/>
        </w:numPr>
      </w:pPr>
      <w:r>
        <w:t>Duress:</w:t>
      </w:r>
      <w:r w:rsidR="005D7868">
        <w:t xml:space="preserve"> </w:t>
      </w:r>
      <w:r w:rsidR="005D7868">
        <w:rPr>
          <w:i/>
          <w:iCs/>
        </w:rPr>
        <w:t>Graham, Hasan</w:t>
      </w:r>
      <w:r w:rsidR="005D7868">
        <w:t>,</w:t>
      </w:r>
      <w:r w:rsidR="00922441">
        <w:t xml:space="preserve"> </w:t>
      </w:r>
      <w:r w:rsidR="00E00D3F">
        <w:t>section 7.1</w:t>
      </w:r>
    </w:p>
    <w:p w14:paraId="08945106" w14:textId="791581AF" w:rsidR="007F635A" w:rsidRDefault="005D7868" w:rsidP="00E473A6">
      <w:pPr>
        <w:pStyle w:val="ListParagraph"/>
        <w:numPr>
          <w:ilvl w:val="1"/>
          <w:numId w:val="2"/>
        </w:numPr>
      </w:pPr>
      <w:r>
        <w:t>Voluntary association:</w:t>
      </w:r>
      <w:r w:rsidR="0097281D">
        <w:rPr>
          <w:i/>
          <w:iCs/>
        </w:rPr>
        <w:t xml:space="preserve"> Hasan</w:t>
      </w:r>
    </w:p>
    <w:p w14:paraId="1C02CD37" w14:textId="0E105622" w:rsidR="00EA7189" w:rsidRDefault="00EA7189" w:rsidP="005020F5">
      <w:pPr>
        <w:pStyle w:val="ListParagraph"/>
        <w:numPr>
          <w:ilvl w:val="0"/>
          <w:numId w:val="2"/>
        </w:numPr>
      </w:pPr>
      <w:r>
        <w:t xml:space="preserve">Self-defence: </w:t>
      </w:r>
      <w:r w:rsidR="0016248D" w:rsidRPr="0016248D">
        <w:t>s76 Criminal Justice and Immigration Act 2008</w:t>
      </w:r>
      <w:r w:rsidR="0016248D">
        <w:t xml:space="preserve">, </w:t>
      </w:r>
      <w:r w:rsidR="0016248D">
        <w:rPr>
          <w:i/>
          <w:iCs/>
        </w:rPr>
        <w:t>Williams</w:t>
      </w:r>
      <w:r w:rsidR="00015D67">
        <w:rPr>
          <w:i/>
          <w:iCs/>
        </w:rPr>
        <w:t xml:space="preserve"> (Gladstone)</w:t>
      </w:r>
      <w:r w:rsidR="0016248D">
        <w:t>, section 7.3</w:t>
      </w:r>
    </w:p>
    <w:p w14:paraId="5EF2E4BE" w14:textId="77777777" w:rsidR="001743CB" w:rsidRDefault="001743CB" w:rsidP="001743CB">
      <w:pPr>
        <w:pStyle w:val="ListParagraph"/>
        <w:numPr>
          <w:ilvl w:val="1"/>
          <w:numId w:val="2"/>
        </w:numPr>
      </w:pPr>
      <w:r>
        <w:t xml:space="preserve">Excessive force: </w:t>
      </w:r>
      <w:r>
        <w:rPr>
          <w:i/>
          <w:iCs/>
        </w:rPr>
        <w:t>Palmer, Clegg</w:t>
      </w:r>
    </w:p>
    <w:p w14:paraId="33982C6D" w14:textId="576E8894" w:rsidR="00FA66DD" w:rsidRDefault="00997426" w:rsidP="001743CB">
      <w:pPr>
        <w:pStyle w:val="ListParagraph"/>
        <w:numPr>
          <w:ilvl w:val="1"/>
          <w:numId w:val="2"/>
        </w:numPr>
      </w:pPr>
      <w:r>
        <w:t xml:space="preserve">Householder: </w:t>
      </w:r>
      <w:r w:rsidR="001F4587">
        <w:t xml:space="preserve">s76(5A) CJIA 2008, </w:t>
      </w:r>
      <w:r w:rsidR="001F4587">
        <w:rPr>
          <w:i/>
          <w:iCs/>
        </w:rPr>
        <w:t>Ray</w:t>
      </w:r>
    </w:p>
    <w:p w14:paraId="467E396D" w14:textId="6A72F278" w:rsidR="00EA7189" w:rsidRDefault="00EA7189" w:rsidP="005020F5">
      <w:pPr>
        <w:pStyle w:val="ListParagraph"/>
        <w:numPr>
          <w:ilvl w:val="0"/>
          <w:numId w:val="2"/>
        </w:numPr>
      </w:pPr>
      <w:r>
        <w:t xml:space="preserve">Loss of control: Chapter </w:t>
      </w:r>
      <w:r w:rsidR="00922441">
        <w:t>4</w:t>
      </w:r>
      <w:r w:rsidR="001743CB">
        <w:t xml:space="preserve"> </w:t>
      </w:r>
    </w:p>
    <w:p w14:paraId="62016FD5" w14:textId="77777777" w:rsidR="005020F5" w:rsidRDefault="005020F5" w:rsidP="005020F5"/>
    <w:p w14:paraId="119FA4EB" w14:textId="456FF6F4" w:rsidR="005020F5" w:rsidRDefault="005020F5" w:rsidP="005020F5">
      <w:pPr>
        <w:pStyle w:val="Heading2"/>
      </w:pPr>
      <w:r>
        <w:t>Hint:</w:t>
      </w:r>
    </w:p>
    <w:p w14:paraId="34869627" w14:textId="4CB00397" w:rsidR="005020F5" w:rsidRDefault="00922441" w:rsidP="00922441">
      <w:pPr>
        <w:pStyle w:val="ListParagraph"/>
        <w:numPr>
          <w:ilvl w:val="0"/>
          <w:numId w:val="4"/>
        </w:numPr>
      </w:pPr>
      <w:r>
        <w:t>When answering questions which appear to be focused on defences, do not forget to establish the AR and MR of the offence</w:t>
      </w:r>
    </w:p>
    <w:p w14:paraId="474B5A4A" w14:textId="5FB22981" w:rsidR="009C538E" w:rsidRDefault="009C538E" w:rsidP="00922441">
      <w:pPr>
        <w:pStyle w:val="ListParagraph"/>
        <w:numPr>
          <w:ilvl w:val="0"/>
          <w:numId w:val="4"/>
        </w:numPr>
      </w:pPr>
      <w:r>
        <w:t xml:space="preserve">Loss of control is a possible alternative where self-defence is unavailable </w:t>
      </w:r>
      <w:r w:rsidR="00600765">
        <w:t>e.g.</w:t>
      </w:r>
      <w:r>
        <w:t xml:space="preserve"> due to use of excessive force</w:t>
      </w:r>
    </w:p>
    <w:p w14:paraId="3D230354" w14:textId="77777777" w:rsidR="005020F5" w:rsidRDefault="005020F5"/>
    <w:sectPr w:rsidR="00502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5238" w14:textId="77777777" w:rsidR="00600765" w:rsidRDefault="00600765" w:rsidP="00600765">
      <w:pPr>
        <w:spacing w:after="0" w:line="240" w:lineRule="auto"/>
      </w:pPr>
      <w:r>
        <w:separator/>
      </w:r>
    </w:p>
  </w:endnote>
  <w:endnote w:type="continuationSeparator" w:id="0">
    <w:p w14:paraId="35CC8638" w14:textId="77777777" w:rsidR="00600765" w:rsidRDefault="00600765" w:rsidP="0060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altName w:val="Calibri"/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60A2" w14:textId="77777777" w:rsidR="00600765" w:rsidRDefault="00600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A801" w14:textId="58E92F27" w:rsidR="00600765" w:rsidRDefault="00600765" w:rsidP="00600765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0597F9AA" wp14:editId="7673F0C8">
          <wp:extent cx="1219200" cy="457200"/>
          <wp:effectExtent l="0" t="0" r="0" b="0"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6FF84" w14:textId="77777777" w:rsidR="00600765" w:rsidRDefault="00600765" w:rsidP="00600765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7EA51390" w14:textId="77777777" w:rsidR="00600765" w:rsidRDefault="00600765" w:rsidP="00600765">
    <w:pPr>
      <w:pStyle w:val="Footer"/>
    </w:pPr>
  </w:p>
  <w:p w14:paraId="001D17A9" w14:textId="77777777" w:rsidR="00600765" w:rsidRDefault="00600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53D4" w14:textId="77777777" w:rsidR="00600765" w:rsidRDefault="00600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B8EB" w14:textId="77777777" w:rsidR="00600765" w:rsidRDefault="00600765" w:rsidP="00600765">
      <w:pPr>
        <w:spacing w:after="0" w:line="240" w:lineRule="auto"/>
      </w:pPr>
      <w:r>
        <w:separator/>
      </w:r>
    </w:p>
  </w:footnote>
  <w:footnote w:type="continuationSeparator" w:id="0">
    <w:p w14:paraId="7D6FE8AD" w14:textId="77777777" w:rsidR="00600765" w:rsidRDefault="00600765" w:rsidP="0060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9AC2" w14:textId="77777777" w:rsidR="00600765" w:rsidRDefault="00600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4231" w14:textId="77777777" w:rsidR="00600765" w:rsidRDefault="00600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C561" w14:textId="77777777" w:rsidR="00600765" w:rsidRDefault="00600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CF2"/>
    <w:multiLevelType w:val="hybridMultilevel"/>
    <w:tmpl w:val="8FB4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C0E67"/>
    <w:multiLevelType w:val="hybridMultilevel"/>
    <w:tmpl w:val="761E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0449"/>
    <w:multiLevelType w:val="hybridMultilevel"/>
    <w:tmpl w:val="2D1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5"/>
    <w:rsid w:val="00015D67"/>
    <w:rsid w:val="000C0DE9"/>
    <w:rsid w:val="000C3E75"/>
    <w:rsid w:val="00105B5E"/>
    <w:rsid w:val="00117DB4"/>
    <w:rsid w:val="0016248D"/>
    <w:rsid w:val="001743CB"/>
    <w:rsid w:val="001F4587"/>
    <w:rsid w:val="001F46B6"/>
    <w:rsid w:val="00301650"/>
    <w:rsid w:val="0030404F"/>
    <w:rsid w:val="003203D4"/>
    <w:rsid w:val="003954E3"/>
    <w:rsid w:val="003B6505"/>
    <w:rsid w:val="005020F5"/>
    <w:rsid w:val="005B44A4"/>
    <w:rsid w:val="005D7868"/>
    <w:rsid w:val="00600765"/>
    <w:rsid w:val="00666EF5"/>
    <w:rsid w:val="007F635A"/>
    <w:rsid w:val="0089740C"/>
    <w:rsid w:val="008A6205"/>
    <w:rsid w:val="008B4AF9"/>
    <w:rsid w:val="00920421"/>
    <w:rsid w:val="00922441"/>
    <w:rsid w:val="00964747"/>
    <w:rsid w:val="0097281D"/>
    <w:rsid w:val="0097614D"/>
    <w:rsid w:val="00997426"/>
    <w:rsid w:val="009C538E"/>
    <w:rsid w:val="009F6139"/>
    <w:rsid w:val="00A33240"/>
    <w:rsid w:val="00A359E2"/>
    <w:rsid w:val="00A40A43"/>
    <w:rsid w:val="00AC7DF4"/>
    <w:rsid w:val="00B908F4"/>
    <w:rsid w:val="00BD5151"/>
    <w:rsid w:val="00C12006"/>
    <w:rsid w:val="00C127C9"/>
    <w:rsid w:val="00C61380"/>
    <w:rsid w:val="00CE40F7"/>
    <w:rsid w:val="00D202B9"/>
    <w:rsid w:val="00D63294"/>
    <w:rsid w:val="00DC6267"/>
    <w:rsid w:val="00E00D3F"/>
    <w:rsid w:val="00E0761C"/>
    <w:rsid w:val="00E473A6"/>
    <w:rsid w:val="00EA7189"/>
    <w:rsid w:val="00EB5F9F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3E645"/>
  <w15:chartTrackingRefBased/>
  <w15:docId w15:val="{1BF89C82-33FC-4BF6-8B7F-D24BB84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F5"/>
  </w:style>
  <w:style w:type="paragraph" w:styleId="Heading1">
    <w:name w:val="heading 1"/>
    <w:basedOn w:val="Normal"/>
    <w:next w:val="Normal"/>
    <w:link w:val="Heading1Char"/>
    <w:uiPriority w:val="9"/>
    <w:qFormat/>
    <w:rsid w:val="0050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02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65"/>
  </w:style>
  <w:style w:type="paragraph" w:styleId="Footer">
    <w:name w:val="footer"/>
    <w:basedOn w:val="Normal"/>
    <w:link w:val="FooterChar"/>
    <w:unhideWhenUsed/>
    <w:rsid w:val="00600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0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Derry</dc:creator>
  <cp:keywords/>
  <dc:description/>
  <cp:lastModifiedBy>SINGH, Sera</cp:lastModifiedBy>
  <cp:revision>47</cp:revision>
  <dcterms:created xsi:type="dcterms:W3CDTF">2022-01-18T20:17:00Z</dcterms:created>
  <dcterms:modified xsi:type="dcterms:W3CDTF">2022-02-03T11:47:00Z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2022-02-03T11:47:03Z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e44b5e42-7fec-4bbe-9b2b-a9c82240e595</vt:lpwstr>
  </property>
  <property fmtid="{D5CDD505-2E9C-101B-9397-08002B2CF9AE}" pid="8" name="MSIP_Label_be5cb09a-2992-49d6-8ac9-5f63e7b1ad2f_ContentBits">
    <vt:lpwstr>0</vt:lpwstr>
  </property>
</Properties>
</file>