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153" w14:textId="6D086BF9" w:rsidR="005020F5" w:rsidRDefault="005020F5" w:rsidP="005020F5">
      <w:pPr>
        <w:pStyle w:val="Heading1"/>
      </w:pPr>
      <w:r>
        <w:t xml:space="preserve">Answer guidance </w:t>
      </w:r>
    </w:p>
    <w:p w14:paraId="1816FB8C" w14:textId="77777777" w:rsidR="009F6139" w:rsidRDefault="009F6139" w:rsidP="009F6139"/>
    <w:p w14:paraId="1AFF62B2" w14:textId="1061EEE8" w:rsidR="009F6139" w:rsidRDefault="009F6139" w:rsidP="009F6139">
      <w:pPr>
        <w:pStyle w:val="Heading2"/>
      </w:pPr>
      <w:r>
        <w:t>Question:</w:t>
      </w:r>
    </w:p>
    <w:p w14:paraId="152337EE" w14:textId="3E62A205" w:rsidR="00CD1032" w:rsidRPr="00CD1032" w:rsidRDefault="00CD1032" w:rsidP="00CD1032">
      <w:r w:rsidRPr="00CD1032">
        <w:t xml:space="preserve">Karl, a soldier, was home for the weekend.  He possessed several rifles. In an argument with his father, Leroy, as to who was the better shot with a gun, Karl was the first to load one of the rifles.  With the aim of frightening Leroy, Karl pointed the rifle at him.  At that moment, however, he sneezed violently and squeezed the trigger involuntarily.  Leroy was shot and injured.  Karl managed to call for an </w:t>
      </w:r>
      <w:r w:rsidR="00872193" w:rsidRPr="00CD1032">
        <w:t>ambulance,</w:t>
      </w:r>
      <w:r w:rsidRPr="00CD1032">
        <w:t xml:space="preserve"> but the ambulance was delayed by a freak storm.  Eventually, Leroy arrived at hospital where his injuries were treated.  After several days he developed an infection in the wound.  He was treated by Doctor Mariam with an antibiotic to which Leroy was allergic.  The next day, seeing that he was no better, Doctor Mariam administered more of the same antibiotic to Brian in extremely large doses.   That night, weak, </w:t>
      </w:r>
      <w:proofErr w:type="gramStart"/>
      <w:r w:rsidRPr="00CD1032">
        <w:t>delirious</w:t>
      </w:r>
      <w:proofErr w:type="gramEnd"/>
      <w:r w:rsidRPr="00CD1032">
        <w:t xml:space="preserve"> and close to death, Leroy jumped out of the window when he saw the doctor approaching.  He fell two storeys to the ground and was killed.</w:t>
      </w:r>
    </w:p>
    <w:p w14:paraId="4D738A7D" w14:textId="77777777" w:rsidR="00CD1032" w:rsidRDefault="00CD1032" w:rsidP="00CD1032">
      <w:r w:rsidRPr="00CD1032">
        <w:t xml:space="preserve">Discuss the criminal liability of Karl and Mariam. </w:t>
      </w:r>
    </w:p>
    <w:p w14:paraId="3A6BEB39" w14:textId="77777777" w:rsidR="00CD1032" w:rsidRDefault="00CD1032" w:rsidP="00CD1032"/>
    <w:p w14:paraId="0C883292" w14:textId="6494C58F" w:rsidR="005020F5" w:rsidRDefault="005020F5" w:rsidP="00CD1032">
      <w:pPr>
        <w:pStyle w:val="Heading2"/>
      </w:pPr>
      <w:r>
        <w:t>Key issues:</w:t>
      </w:r>
    </w:p>
    <w:p w14:paraId="2DF395C6" w14:textId="62271D74" w:rsidR="006C523E" w:rsidRDefault="001D6429" w:rsidP="001D6429">
      <w:pPr>
        <w:pStyle w:val="ListParagraph"/>
        <w:numPr>
          <w:ilvl w:val="0"/>
          <w:numId w:val="1"/>
        </w:numPr>
      </w:pPr>
      <w:r>
        <w:t xml:space="preserve">Karl’s liability for </w:t>
      </w:r>
      <w:r w:rsidR="007C6198">
        <w:t xml:space="preserve">unlawful act </w:t>
      </w:r>
      <w:r>
        <w:t xml:space="preserve">manslaughter of Leroy </w:t>
      </w:r>
    </w:p>
    <w:p w14:paraId="7EE9673B" w14:textId="384E82D5" w:rsidR="001D6429" w:rsidRDefault="00460792" w:rsidP="00DA0753">
      <w:pPr>
        <w:pStyle w:val="ListParagraph"/>
        <w:numPr>
          <w:ilvl w:val="1"/>
          <w:numId w:val="1"/>
        </w:numPr>
      </w:pPr>
      <w:r>
        <w:t xml:space="preserve">AR – </w:t>
      </w:r>
      <w:r w:rsidR="007C6198">
        <w:t xml:space="preserve">unlawful act, objectively dangerous, </w:t>
      </w:r>
      <w:r w:rsidR="001D6429">
        <w:t>causation</w:t>
      </w:r>
    </w:p>
    <w:p w14:paraId="0550B056" w14:textId="2203C810" w:rsidR="00460792" w:rsidRDefault="00460792" w:rsidP="00DA0753">
      <w:pPr>
        <w:pStyle w:val="ListParagraph"/>
        <w:numPr>
          <w:ilvl w:val="1"/>
          <w:numId w:val="1"/>
        </w:numPr>
      </w:pPr>
      <w:r>
        <w:t xml:space="preserve">MR – </w:t>
      </w:r>
      <w:r w:rsidR="007C6198">
        <w:t xml:space="preserve">for unlawful act; no need for foresight of danger </w:t>
      </w:r>
    </w:p>
    <w:p w14:paraId="77750A05" w14:textId="39F2E153" w:rsidR="007C6198" w:rsidRDefault="007C6198" w:rsidP="001D6429">
      <w:pPr>
        <w:pStyle w:val="ListParagraph"/>
        <w:numPr>
          <w:ilvl w:val="0"/>
          <w:numId w:val="1"/>
        </w:numPr>
      </w:pPr>
      <w:r>
        <w:t>Karl’s liability for gross negligence manslaughter of Leroy</w:t>
      </w:r>
    </w:p>
    <w:p w14:paraId="4161CB0E" w14:textId="77777777" w:rsidR="007C6198" w:rsidRDefault="007C6198" w:rsidP="007C6198">
      <w:pPr>
        <w:pStyle w:val="ListParagraph"/>
        <w:numPr>
          <w:ilvl w:val="1"/>
          <w:numId w:val="1"/>
        </w:numPr>
      </w:pPr>
      <w:r>
        <w:t>AR – causation</w:t>
      </w:r>
    </w:p>
    <w:p w14:paraId="5FB7C09C" w14:textId="2DF90577" w:rsidR="007C6198" w:rsidRDefault="007C6198" w:rsidP="007C6198">
      <w:pPr>
        <w:pStyle w:val="ListParagraph"/>
        <w:numPr>
          <w:ilvl w:val="1"/>
          <w:numId w:val="1"/>
        </w:numPr>
      </w:pPr>
      <w:r>
        <w:t xml:space="preserve">MR – gross negligence (civil negligence + ‘gross’) </w:t>
      </w:r>
    </w:p>
    <w:p w14:paraId="5B2A457B" w14:textId="64555025" w:rsidR="001D6429" w:rsidRDefault="001D6429" w:rsidP="001D6429">
      <w:pPr>
        <w:pStyle w:val="ListParagraph"/>
        <w:numPr>
          <w:ilvl w:val="0"/>
          <w:numId w:val="1"/>
        </w:numPr>
      </w:pPr>
      <w:r>
        <w:t xml:space="preserve">Mariam’s liability for </w:t>
      </w:r>
      <w:r w:rsidR="007C6198">
        <w:t xml:space="preserve">gross negligence </w:t>
      </w:r>
      <w:r>
        <w:t>manslaughter of Leroy</w:t>
      </w:r>
      <w:r w:rsidR="006C523E">
        <w:t xml:space="preserve"> </w:t>
      </w:r>
    </w:p>
    <w:p w14:paraId="7A1F7F11" w14:textId="572BA37A" w:rsidR="00DA0753" w:rsidRDefault="00DA0753" w:rsidP="00DA0753">
      <w:pPr>
        <w:pStyle w:val="ListParagraph"/>
        <w:numPr>
          <w:ilvl w:val="1"/>
          <w:numId w:val="1"/>
        </w:numPr>
      </w:pPr>
      <w:r>
        <w:t>AR – causation</w:t>
      </w:r>
    </w:p>
    <w:p w14:paraId="0E145187" w14:textId="2765096C" w:rsidR="00DA0753" w:rsidRDefault="00DA0753" w:rsidP="00DA0753">
      <w:pPr>
        <w:pStyle w:val="ListParagraph"/>
        <w:numPr>
          <w:ilvl w:val="1"/>
          <w:numId w:val="1"/>
        </w:numPr>
      </w:pPr>
      <w:r>
        <w:t xml:space="preserve">MR – </w:t>
      </w:r>
      <w:r w:rsidR="007C6198">
        <w:t xml:space="preserve">gross negligence </w:t>
      </w:r>
    </w:p>
    <w:p w14:paraId="7FD9692D" w14:textId="77777777" w:rsidR="005020F5" w:rsidRDefault="005020F5" w:rsidP="005020F5">
      <w:pPr>
        <w:pStyle w:val="Heading2"/>
      </w:pPr>
      <w:r>
        <w:t>Key law</w:t>
      </w:r>
    </w:p>
    <w:p w14:paraId="52A4DDDB" w14:textId="77777777" w:rsidR="005020F5" w:rsidRDefault="005020F5" w:rsidP="005020F5">
      <w:r>
        <w:t>You will find relevant legal rules in:</w:t>
      </w:r>
    </w:p>
    <w:p w14:paraId="57869416" w14:textId="77777777" w:rsidR="001F1977" w:rsidRDefault="001F1977" w:rsidP="001F1977">
      <w:pPr>
        <w:pStyle w:val="ListParagraph"/>
        <w:numPr>
          <w:ilvl w:val="0"/>
          <w:numId w:val="2"/>
        </w:numPr>
      </w:pPr>
      <w:r>
        <w:t xml:space="preserve">Causation: </w:t>
      </w:r>
      <w:r>
        <w:rPr>
          <w:i/>
          <w:iCs/>
        </w:rPr>
        <w:t>Smith, Jordan, Cheshire, Dear,</w:t>
      </w:r>
      <w:r>
        <w:t xml:space="preserve"> chapter 2</w:t>
      </w:r>
    </w:p>
    <w:p w14:paraId="60EBFF42" w14:textId="226191D6" w:rsidR="001F1977" w:rsidRDefault="001F1977" w:rsidP="001F1977">
      <w:pPr>
        <w:pStyle w:val="ListParagraph"/>
        <w:numPr>
          <w:ilvl w:val="0"/>
          <w:numId w:val="2"/>
        </w:numPr>
      </w:pPr>
      <w:r>
        <w:t xml:space="preserve">Unlawful act manslaughter: </w:t>
      </w:r>
      <w:r>
        <w:rPr>
          <w:i/>
          <w:iCs/>
        </w:rPr>
        <w:t>Church</w:t>
      </w:r>
      <w:r>
        <w:t xml:space="preserve">, </w:t>
      </w:r>
      <w:r w:rsidR="003078E9">
        <w:rPr>
          <w:i/>
          <w:iCs/>
        </w:rPr>
        <w:t>Lamb</w:t>
      </w:r>
      <w:r w:rsidR="003078E9">
        <w:t xml:space="preserve">, </w:t>
      </w:r>
      <w:r>
        <w:t xml:space="preserve">section </w:t>
      </w:r>
      <w:r w:rsidR="00ED0572">
        <w:t>5.1.4</w:t>
      </w:r>
    </w:p>
    <w:p w14:paraId="58AC7D10" w14:textId="4DF34CA1" w:rsidR="001F1977" w:rsidRDefault="001F1977" w:rsidP="001F1977">
      <w:pPr>
        <w:pStyle w:val="ListParagraph"/>
        <w:numPr>
          <w:ilvl w:val="0"/>
          <w:numId w:val="2"/>
        </w:numPr>
      </w:pPr>
      <w:r>
        <w:t xml:space="preserve">Gross negligence manslaughter: </w:t>
      </w:r>
      <w:r>
        <w:rPr>
          <w:i/>
          <w:iCs/>
        </w:rPr>
        <w:t>Adomako</w:t>
      </w:r>
      <w:r>
        <w:t xml:space="preserve">, section </w:t>
      </w:r>
      <w:r w:rsidR="00935DE0">
        <w:t>5.1.3</w:t>
      </w:r>
    </w:p>
    <w:p w14:paraId="119FA4EB" w14:textId="0D12A14B" w:rsidR="005020F5" w:rsidRDefault="005020F5" w:rsidP="005020F5">
      <w:pPr>
        <w:pStyle w:val="Heading2"/>
      </w:pPr>
      <w:r>
        <w:t>Hints:</w:t>
      </w:r>
    </w:p>
    <w:p w14:paraId="16E6A4EA" w14:textId="77777777" w:rsidR="00430821" w:rsidRDefault="00430821" w:rsidP="003078E9">
      <w:pPr>
        <w:pStyle w:val="ListParagraph"/>
        <w:numPr>
          <w:ilvl w:val="0"/>
          <w:numId w:val="4"/>
        </w:numPr>
      </w:pPr>
      <w:r>
        <w:t>Remember to consider all elements of AR and MR for each offence</w:t>
      </w:r>
    </w:p>
    <w:p w14:paraId="34869627" w14:textId="3EBA94AE" w:rsidR="005020F5" w:rsidRDefault="003078E9" w:rsidP="003078E9">
      <w:pPr>
        <w:pStyle w:val="ListParagraph"/>
        <w:numPr>
          <w:ilvl w:val="0"/>
          <w:numId w:val="4"/>
        </w:numPr>
      </w:pPr>
      <w:r>
        <w:t xml:space="preserve">Although some of the facts are very similar to those in </w:t>
      </w:r>
      <w:r>
        <w:rPr>
          <w:i/>
          <w:iCs/>
        </w:rPr>
        <w:t>Lamb</w:t>
      </w:r>
      <w:r>
        <w:t xml:space="preserve">, you cannot simply copy the reasoning and result from that case. </w:t>
      </w:r>
      <w:r w:rsidR="00296257">
        <w:t>Are alternative approaches to liability or alternative offences possible?</w:t>
      </w:r>
    </w:p>
    <w:p w14:paraId="4A810325" w14:textId="033356DF" w:rsidR="00DA0753" w:rsidRDefault="00DA0753" w:rsidP="003078E9">
      <w:pPr>
        <w:pStyle w:val="ListParagraph"/>
        <w:numPr>
          <w:ilvl w:val="0"/>
          <w:numId w:val="4"/>
        </w:numPr>
      </w:pPr>
      <w:r>
        <w:t xml:space="preserve">Again, some of the facts are very similar to </w:t>
      </w:r>
      <w:r>
        <w:rPr>
          <w:i/>
          <w:iCs/>
        </w:rPr>
        <w:t>Jordan</w:t>
      </w:r>
      <w:r>
        <w:t xml:space="preserve"> but you need to consider the problem carefully. Are there relevant factual differences? Would </w:t>
      </w:r>
      <w:r>
        <w:rPr>
          <w:i/>
          <w:iCs/>
        </w:rPr>
        <w:t>Jordan</w:t>
      </w:r>
      <w:r>
        <w:t xml:space="preserve"> be followed here in any event? </w:t>
      </w:r>
    </w:p>
    <w:p w14:paraId="32697B4F" w14:textId="562786CC" w:rsidR="000228DB" w:rsidRDefault="000228DB"/>
    <w:p w14:paraId="3C0B2BB4" w14:textId="77777777" w:rsidR="00B176D1" w:rsidRDefault="00B176D1" w:rsidP="00B176D1">
      <w:pPr>
        <w:pStyle w:val="Heading1"/>
      </w:pPr>
      <w:r>
        <w:t xml:space="preserve">Answer guidance </w:t>
      </w:r>
    </w:p>
    <w:p w14:paraId="1398742E" w14:textId="77777777" w:rsidR="00B176D1" w:rsidRPr="002E0FF1" w:rsidRDefault="00B176D1" w:rsidP="00B176D1">
      <w:pPr>
        <w:pStyle w:val="Heading2"/>
      </w:pPr>
      <w:r>
        <w:t>Essay question:</w:t>
      </w:r>
    </w:p>
    <w:p w14:paraId="5AADCFBE" w14:textId="77777777" w:rsidR="00B176D1" w:rsidRDefault="00B176D1" w:rsidP="00B176D1">
      <w:r>
        <w:t xml:space="preserve">Has the Corporate Manslaughter and Corporate Homicide Act 2007 assisted the prosecution in securing the conviction of companies who kill? </w:t>
      </w:r>
    </w:p>
    <w:p w14:paraId="59078D5B" w14:textId="77777777" w:rsidR="00B176D1" w:rsidRDefault="00B176D1" w:rsidP="00B176D1">
      <w:pPr>
        <w:pStyle w:val="Heading2"/>
      </w:pPr>
      <w:r>
        <w:t>Key issues:</w:t>
      </w:r>
    </w:p>
    <w:p w14:paraId="11C6B407" w14:textId="77777777" w:rsidR="00B176D1" w:rsidRDefault="00B176D1" w:rsidP="00B176D1">
      <w:pPr>
        <w:pStyle w:val="ListParagraph"/>
        <w:numPr>
          <w:ilvl w:val="0"/>
          <w:numId w:val="1"/>
        </w:numPr>
      </w:pPr>
      <w:r>
        <w:t>The problems of convicting companies of serious criminal offences</w:t>
      </w:r>
    </w:p>
    <w:p w14:paraId="0EF52D77" w14:textId="77777777" w:rsidR="00B176D1" w:rsidRDefault="00B176D1" w:rsidP="00B176D1">
      <w:pPr>
        <w:pStyle w:val="ListParagraph"/>
        <w:numPr>
          <w:ilvl w:val="0"/>
          <w:numId w:val="1"/>
        </w:numPr>
      </w:pPr>
      <w:r>
        <w:t>The statutory framework</w:t>
      </w:r>
    </w:p>
    <w:p w14:paraId="6EDDD531" w14:textId="77777777" w:rsidR="00B176D1" w:rsidRDefault="00B176D1" w:rsidP="00B176D1">
      <w:pPr>
        <w:pStyle w:val="ListParagraph"/>
        <w:numPr>
          <w:ilvl w:val="0"/>
          <w:numId w:val="1"/>
        </w:numPr>
      </w:pPr>
      <w:r>
        <w:t xml:space="preserve">The identification doctrine </w:t>
      </w:r>
    </w:p>
    <w:p w14:paraId="4F48A406" w14:textId="77777777" w:rsidR="00B176D1" w:rsidRDefault="00B176D1" w:rsidP="00B176D1">
      <w:pPr>
        <w:pStyle w:val="ListParagraph"/>
        <w:numPr>
          <w:ilvl w:val="0"/>
          <w:numId w:val="1"/>
        </w:numPr>
      </w:pPr>
      <w:r>
        <w:t>The ‘directing mind and will’ test</w:t>
      </w:r>
    </w:p>
    <w:p w14:paraId="30C95153" w14:textId="77777777" w:rsidR="00B176D1" w:rsidRDefault="00B176D1" w:rsidP="00B176D1">
      <w:pPr>
        <w:pStyle w:val="ListParagraph"/>
        <w:numPr>
          <w:ilvl w:val="0"/>
          <w:numId w:val="1"/>
        </w:numPr>
      </w:pPr>
      <w:r>
        <w:t>The role of organisational culture and management in the breach of duty of care</w:t>
      </w:r>
    </w:p>
    <w:p w14:paraId="36419A25" w14:textId="77777777" w:rsidR="00B176D1" w:rsidRDefault="00B176D1" w:rsidP="00B176D1">
      <w:pPr>
        <w:pStyle w:val="ListParagraph"/>
        <w:numPr>
          <w:ilvl w:val="0"/>
          <w:numId w:val="1"/>
        </w:numPr>
      </w:pPr>
      <w:r>
        <w:t>The effectiveness of the Act</w:t>
      </w:r>
    </w:p>
    <w:p w14:paraId="0DC351BD" w14:textId="77777777" w:rsidR="00B176D1" w:rsidRPr="002E0FF1" w:rsidRDefault="00B176D1" w:rsidP="00B176D1">
      <w:pPr>
        <w:pStyle w:val="Heading2"/>
      </w:pPr>
      <w:r>
        <w:t>Key law</w:t>
      </w:r>
    </w:p>
    <w:p w14:paraId="19238067" w14:textId="77777777" w:rsidR="00B176D1" w:rsidRDefault="00B176D1" w:rsidP="00B176D1">
      <w:r>
        <w:t>You will find relevant legal rules in:</w:t>
      </w:r>
    </w:p>
    <w:p w14:paraId="0201A080" w14:textId="0D7454B1" w:rsidR="00B176D1" w:rsidRDefault="00B176D1" w:rsidP="00B176D1">
      <w:pPr>
        <w:pStyle w:val="ListParagraph"/>
        <w:numPr>
          <w:ilvl w:val="0"/>
          <w:numId w:val="8"/>
        </w:numPr>
      </w:pPr>
      <w:r>
        <w:t>Corporate Homicide and Corporate Manslaughter Act 2007, ss1 (section 5.3.1)</w:t>
      </w:r>
    </w:p>
    <w:p w14:paraId="13770101" w14:textId="77777777" w:rsidR="00B176D1" w:rsidRDefault="00B176D1" w:rsidP="00B176D1">
      <w:pPr>
        <w:pStyle w:val="ListParagraph"/>
        <w:numPr>
          <w:ilvl w:val="1"/>
          <w:numId w:val="8"/>
        </w:numPr>
      </w:pPr>
      <w:r>
        <w:t>Section 1(1) scope of the offence</w:t>
      </w:r>
    </w:p>
    <w:p w14:paraId="576E472D" w14:textId="77777777" w:rsidR="00B176D1" w:rsidRDefault="00B176D1" w:rsidP="00B176D1">
      <w:pPr>
        <w:pStyle w:val="ListParagraph"/>
        <w:numPr>
          <w:ilvl w:val="1"/>
          <w:numId w:val="8"/>
        </w:numPr>
      </w:pPr>
      <w:r>
        <w:t>Section 1(4) duty of care</w:t>
      </w:r>
    </w:p>
    <w:p w14:paraId="3CAD6296" w14:textId="77777777" w:rsidR="00B176D1" w:rsidRDefault="00B176D1" w:rsidP="00B176D1">
      <w:pPr>
        <w:pStyle w:val="ListParagraph"/>
        <w:numPr>
          <w:ilvl w:val="1"/>
          <w:numId w:val="8"/>
        </w:numPr>
      </w:pPr>
      <w:r>
        <w:t xml:space="preserve">Section 2(3) policies of the company </w:t>
      </w:r>
    </w:p>
    <w:p w14:paraId="62ABFB24" w14:textId="18564F85" w:rsidR="00B176D1" w:rsidRDefault="00B176D1" w:rsidP="00B176D1">
      <w:pPr>
        <w:pStyle w:val="UL"/>
        <w:numPr>
          <w:ilvl w:val="0"/>
          <w:numId w:val="8"/>
        </w:numPr>
        <w:tabs>
          <w:tab w:val="left" w:pos="1000"/>
        </w:tabs>
        <w:spacing w:before="120" w:line="360" w:lineRule="auto"/>
        <w:rPr>
          <w:sz w:val="22"/>
          <w:szCs w:val="22"/>
        </w:rPr>
      </w:pPr>
      <w:r w:rsidRPr="002E0FF1">
        <w:rPr>
          <w:sz w:val="22"/>
          <w:szCs w:val="22"/>
        </w:rPr>
        <w:t>Tesco v Nattrass [1972] AC 153—the identification doctrine</w:t>
      </w:r>
      <w:r>
        <w:rPr>
          <w:sz w:val="22"/>
          <w:szCs w:val="22"/>
        </w:rPr>
        <w:t xml:space="preserve"> (section 5.3.3)</w:t>
      </w:r>
    </w:p>
    <w:p w14:paraId="7ACE8E6F" w14:textId="77777777" w:rsidR="00B176D1" w:rsidRDefault="00B176D1" w:rsidP="00B176D1">
      <w:pPr>
        <w:pStyle w:val="Heading2"/>
      </w:pPr>
      <w:r>
        <w:t>Key arguments</w:t>
      </w:r>
    </w:p>
    <w:p w14:paraId="202E45D1" w14:textId="77777777" w:rsidR="00BF0B4F" w:rsidRPr="002E0FF1" w:rsidRDefault="00BF0B4F" w:rsidP="00BF0B4F">
      <w:pPr>
        <w:pStyle w:val="UL"/>
        <w:numPr>
          <w:ilvl w:val="0"/>
          <w:numId w:val="8"/>
        </w:numPr>
        <w:tabs>
          <w:tab w:val="left" w:pos="1000"/>
        </w:tabs>
        <w:spacing w:before="120" w:line="360" w:lineRule="auto"/>
        <w:rPr>
          <w:sz w:val="22"/>
          <w:szCs w:val="22"/>
        </w:rPr>
      </w:pPr>
      <w:r>
        <w:rPr>
          <w:sz w:val="22"/>
          <w:szCs w:val="22"/>
        </w:rPr>
        <w:t>Discussion of the effectiveness of the Act (section 5.3.4)</w:t>
      </w:r>
    </w:p>
    <w:p w14:paraId="35C3DDEF" w14:textId="77777777" w:rsidR="00B176D1" w:rsidRDefault="00B176D1" w:rsidP="00B176D1">
      <w:r>
        <w:t xml:space="preserve">Arguments that the Act is effective: </w:t>
      </w:r>
    </w:p>
    <w:p w14:paraId="3625F131" w14:textId="51BC3CBE" w:rsidR="00B176D1" w:rsidRDefault="00B176D1" w:rsidP="00B176D1">
      <w:pPr>
        <w:pStyle w:val="ListParagraph"/>
        <w:numPr>
          <w:ilvl w:val="0"/>
          <w:numId w:val="7"/>
        </w:numPr>
      </w:pPr>
      <w:r>
        <w:t xml:space="preserve">Success in some areas of law </w:t>
      </w:r>
      <w:r w:rsidR="00872193">
        <w:t>e.g.</w:t>
      </w:r>
      <w:r>
        <w:t xml:space="preserve"> health and safety prosecutions</w:t>
      </w:r>
    </w:p>
    <w:p w14:paraId="68A2B6B2" w14:textId="77777777" w:rsidR="00B176D1" w:rsidRDefault="00B176D1" w:rsidP="00B176D1">
      <w:pPr>
        <w:pStyle w:val="ListParagraph"/>
        <w:numPr>
          <w:ilvl w:val="0"/>
          <w:numId w:val="7"/>
        </w:numPr>
      </w:pPr>
      <w:r>
        <w:t>Symbolic role – serves to denounce breaches of duty by companies</w:t>
      </w:r>
    </w:p>
    <w:p w14:paraId="4547B8F5" w14:textId="77777777" w:rsidR="00B176D1" w:rsidRDefault="00B176D1" w:rsidP="00B176D1">
      <w:pPr>
        <w:pStyle w:val="ListParagraph"/>
        <w:numPr>
          <w:ilvl w:val="0"/>
          <w:numId w:val="7"/>
        </w:numPr>
      </w:pPr>
      <w:r>
        <w:t>Major incidents such as Grenfell may pave the way for prosecutions</w:t>
      </w:r>
    </w:p>
    <w:p w14:paraId="6B8F773A" w14:textId="77777777" w:rsidR="00B176D1" w:rsidRDefault="00B176D1" w:rsidP="00B176D1">
      <w:r>
        <w:t>Arguments that the Act is still in need of improvement:</w:t>
      </w:r>
    </w:p>
    <w:p w14:paraId="79DDDF4F" w14:textId="77777777" w:rsidR="00B176D1" w:rsidRDefault="00B176D1" w:rsidP="00B176D1">
      <w:pPr>
        <w:pStyle w:val="ListParagraph"/>
        <w:numPr>
          <w:ilvl w:val="0"/>
          <w:numId w:val="6"/>
        </w:numPr>
      </w:pPr>
      <w:r>
        <w:t>Relatively small number of convictions, most of smaller companies</w:t>
      </w:r>
    </w:p>
    <w:p w14:paraId="4FCCC1A0" w14:textId="77777777" w:rsidR="00B176D1" w:rsidRDefault="00B176D1" w:rsidP="00B176D1">
      <w:pPr>
        <w:pStyle w:val="ListParagraph"/>
        <w:numPr>
          <w:ilvl w:val="0"/>
          <w:numId w:val="6"/>
        </w:numPr>
      </w:pPr>
      <w:r>
        <w:t xml:space="preserve">Too technical </w:t>
      </w:r>
    </w:p>
    <w:p w14:paraId="7D2CEE90" w14:textId="77777777" w:rsidR="00B176D1" w:rsidRPr="00C036A7" w:rsidRDefault="00B176D1" w:rsidP="00B176D1">
      <w:pPr>
        <w:pStyle w:val="ListParagraph"/>
        <w:numPr>
          <w:ilvl w:val="0"/>
          <w:numId w:val="6"/>
        </w:numPr>
      </w:pPr>
      <w:r>
        <w:t>No secondary liability under the Act</w:t>
      </w:r>
    </w:p>
    <w:p w14:paraId="3FC9098B" w14:textId="6D56657B" w:rsidR="00B176D1" w:rsidRDefault="00B176D1" w:rsidP="00B176D1">
      <w:pPr>
        <w:pStyle w:val="Heading2"/>
      </w:pPr>
      <w:r>
        <w:t>Hints:</w:t>
      </w:r>
    </w:p>
    <w:p w14:paraId="1E7FDD75" w14:textId="77777777" w:rsidR="00B176D1" w:rsidRDefault="00B176D1" w:rsidP="00B176D1">
      <w:pPr>
        <w:pStyle w:val="ListParagraph"/>
        <w:numPr>
          <w:ilvl w:val="0"/>
          <w:numId w:val="5"/>
        </w:numPr>
      </w:pPr>
      <w:r>
        <w:t>Summarise the key law before considering the arguments</w:t>
      </w:r>
    </w:p>
    <w:p w14:paraId="2A5FA1AE" w14:textId="77777777" w:rsidR="00B176D1" w:rsidRDefault="00B176D1" w:rsidP="00B176D1">
      <w:pPr>
        <w:pStyle w:val="ListParagraph"/>
        <w:numPr>
          <w:ilvl w:val="0"/>
          <w:numId w:val="5"/>
        </w:numPr>
      </w:pPr>
      <w:r>
        <w:t>Ensure that you address the arguments on both sides</w:t>
      </w:r>
    </w:p>
    <w:p w14:paraId="31CA5153" w14:textId="77777777" w:rsidR="00B176D1" w:rsidRDefault="00B176D1" w:rsidP="00B176D1">
      <w:pPr>
        <w:pStyle w:val="ListParagraph"/>
        <w:numPr>
          <w:ilvl w:val="0"/>
          <w:numId w:val="5"/>
        </w:numPr>
      </w:pPr>
      <w:r>
        <w:t>Refer to the academic literature (see further reading) as well as the legal authorities</w:t>
      </w:r>
    </w:p>
    <w:p w14:paraId="399EB113" w14:textId="065E360A" w:rsidR="00B176D1" w:rsidRDefault="00B176D1" w:rsidP="00B176D1">
      <w:pPr>
        <w:pStyle w:val="ListParagraph"/>
        <w:numPr>
          <w:ilvl w:val="0"/>
          <w:numId w:val="5"/>
        </w:numPr>
      </w:pPr>
      <w:r>
        <w:t>Make sure that you are answering the question asked (</w:t>
      </w:r>
      <w:r w:rsidR="00872193">
        <w:t>i.e.</w:t>
      </w:r>
      <w:r>
        <w:t xml:space="preserve"> the Act), not writing a general essay on corporate manslaughter</w:t>
      </w:r>
    </w:p>
    <w:p w14:paraId="456B2F87" w14:textId="77777777" w:rsidR="00B176D1" w:rsidRDefault="00B176D1"/>
    <w:p w14:paraId="28215442" w14:textId="77777777" w:rsidR="000228DB" w:rsidRDefault="000228DB"/>
    <w:sectPr w:rsidR="000228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AB82" w14:textId="77777777" w:rsidR="00872193" w:rsidRDefault="00872193" w:rsidP="00872193">
      <w:pPr>
        <w:spacing w:after="0" w:line="240" w:lineRule="auto"/>
      </w:pPr>
      <w:r>
        <w:separator/>
      </w:r>
    </w:p>
  </w:endnote>
  <w:endnote w:type="continuationSeparator" w:id="0">
    <w:p w14:paraId="341BD9BD" w14:textId="77777777" w:rsidR="00872193" w:rsidRDefault="00872193" w:rsidP="0087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C59B" w14:textId="3DFBEB6D" w:rsidR="00872193" w:rsidRDefault="00872193" w:rsidP="00872193">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15FD9A93" wp14:editId="59CD8F36">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6EC9ABD" w14:textId="77777777" w:rsidR="00872193" w:rsidRDefault="00872193" w:rsidP="00872193">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3DF8E674" w14:textId="77777777" w:rsidR="00872193" w:rsidRDefault="00872193" w:rsidP="00872193">
    <w:pPr>
      <w:pStyle w:val="Footer"/>
    </w:pPr>
  </w:p>
  <w:p w14:paraId="61608B5C" w14:textId="77777777" w:rsidR="00872193" w:rsidRDefault="0087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85C7" w14:textId="77777777" w:rsidR="00872193" w:rsidRDefault="00872193" w:rsidP="00872193">
      <w:pPr>
        <w:spacing w:after="0" w:line="240" w:lineRule="auto"/>
      </w:pPr>
      <w:r>
        <w:separator/>
      </w:r>
    </w:p>
  </w:footnote>
  <w:footnote w:type="continuationSeparator" w:id="0">
    <w:p w14:paraId="689C815B" w14:textId="77777777" w:rsidR="00872193" w:rsidRDefault="00872193" w:rsidP="00872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8A6"/>
    <w:multiLevelType w:val="hybridMultilevel"/>
    <w:tmpl w:val="D6040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45809"/>
    <w:multiLevelType w:val="hybridMultilevel"/>
    <w:tmpl w:val="4214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C06B5"/>
    <w:multiLevelType w:val="hybridMultilevel"/>
    <w:tmpl w:val="F3CE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E2BD9"/>
    <w:multiLevelType w:val="hybridMultilevel"/>
    <w:tmpl w:val="A1A4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5BC7"/>
    <w:multiLevelType w:val="hybridMultilevel"/>
    <w:tmpl w:val="35C2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228DB"/>
    <w:rsid w:val="00065FDF"/>
    <w:rsid w:val="0010694F"/>
    <w:rsid w:val="001D6429"/>
    <w:rsid w:val="001F1977"/>
    <w:rsid w:val="00296257"/>
    <w:rsid w:val="002E1304"/>
    <w:rsid w:val="003078E9"/>
    <w:rsid w:val="00430821"/>
    <w:rsid w:val="00447134"/>
    <w:rsid w:val="00460792"/>
    <w:rsid w:val="004D7276"/>
    <w:rsid w:val="005020F5"/>
    <w:rsid w:val="005518AA"/>
    <w:rsid w:val="00553619"/>
    <w:rsid w:val="00572138"/>
    <w:rsid w:val="00592357"/>
    <w:rsid w:val="005C6DB1"/>
    <w:rsid w:val="00684C74"/>
    <w:rsid w:val="006C523E"/>
    <w:rsid w:val="0070310E"/>
    <w:rsid w:val="00785BFA"/>
    <w:rsid w:val="007C6198"/>
    <w:rsid w:val="007F20A8"/>
    <w:rsid w:val="00822F92"/>
    <w:rsid w:val="00872193"/>
    <w:rsid w:val="008D79CA"/>
    <w:rsid w:val="009105D0"/>
    <w:rsid w:val="00935DE0"/>
    <w:rsid w:val="00955AE3"/>
    <w:rsid w:val="009610F8"/>
    <w:rsid w:val="009C5973"/>
    <w:rsid w:val="009F2DF9"/>
    <w:rsid w:val="009F3B8A"/>
    <w:rsid w:val="009F6139"/>
    <w:rsid w:val="00A359E2"/>
    <w:rsid w:val="00B176D1"/>
    <w:rsid w:val="00B72368"/>
    <w:rsid w:val="00B74F64"/>
    <w:rsid w:val="00BF0B4F"/>
    <w:rsid w:val="00C1652E"/>
    <w:rsid w:val="00CD1032"/>
    <w:rsid w:val="00DA0753"/>
    <w:rsid w:val="00ED0572"/>
    <w:rsid w:val="00F74B1C"/>
    <w:rsid w:val="00FD4C96"/>
    <w:rsid w:val="00FE0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character" w:styleId="CommentReference">
    <w:name w:val="annotation reference"/>
    <w:basedOn w:val="DefaultParagraphFont"/>
    <w:uiPriority w:val="99"/>
    <w:semiHidden/>
    <w:unhideWhenUsed/>
    <w:rsid w:val="009C5973"/>
    <w:rPr>
      <w:sz w:val="16"/>
      <w:szCs w:val="16"/>
    </w:rPr>
  </w:style>
  <w:style w:type="paragraph" w:styleId="CommentText">
    <w:name w:val="annotation text"/>
    <w:basedOn w:val="Normal"/>
    <w:link w:val="CommentTextChar"/>
    <w:uiPriority w:val="99"/>
    <w:semiHidden/>
    <w:unhideWhenUsed/>
    <w:rsid w:val="009C5973"/>
    <w:pPr>
      <w:spacing w:line="240" w:lineRule="auto"/>
    </w:pPr>
    <w:rPr>
      <w:sz w:val="20"/>
      <w:szCs w:val="20"/>
    </w:rPr>
  </w:style>
  <w:style w:type="character" w:customStyle="1" w:styleId="CommentTextChar">
    <w:name w:val="Comment Text Char"/>
    <w:basedOn w:val="DefaultParagraphFont"/>
    <w:link w:val="CommentText"/>
    <w:uiPriority w:val="99"/>
    <w:semiHidden/>
    <w:rsid w:val="009C5973"/>
    <w:rPr>
      <w:sz w:val="20"/>
      <w:szCs w:val="20"/>
    </w:rPr>
  </w:style>
  <w:style w:type="paragraph" w:styleId="CommentSubject">
    <w:name w:val="annotation subject"/>
    <w:basedOn w:val="CommentText"/>
    <w:next w:val="CommentText"/>
    <w:link w:val="CommentSubjectChar"/>
    <w:uiPriority w:val="99"/>
    <w:semiHidden/>
    <w:unhideWhenUsed/>
    <w:rsid w:val="009C5973"/>
    <w:rPr>
      <w:b/>
      <w:bCs/>
    </w:rPr>
  </w:style>
  <w:style w:type="character" w:customStyle="1" w:styleId="CommentSubjectChar">
    <w:name w:val="Comment Subject Char"/>
    <w:basedOn w:val="CommentTextChar"/>
    <w:link w:val="CommentSubject"/>
    <w:uiPriority w:val="99"/>
    <w:semiHidden/>
    <w:rsid w:val="009C5973"/>
    <w:rPr>
      <w:b/>
      <w:bCs/>
      <w:sz w:val="20"/>
      <w:szCs w:val="20"/>
    </w:rPr>
  </w:style>
  <w:style w:type="paragraph" w:customStyle="1" w:styleId="UL">
    <w:name w:val="UL"/>
    <w:basedOn w:val="Normal"/>
    <w:rsid w:val="00B176D1"/>
    <w:pPr>
      <w:spacing w:before="60" w:after="60" w:line="480" w:lineRule="auto"/>
      <w:ind w:left="480"/>
    </w:pPr>
    <w:rPr>
      <w:sz w:val="24"/>
      <w:szCs w:val="20"/>
    </w:rPr>
  </w:style>
  <w:style w:type="paragraph" w:styleId="Header">
    <w:name w:val="header"/>
    <w:basedOn w:val="Normal"/>
    <w:link w:val="HeaderChar"/>
    <w:uiPriority w:val="99"/>
    <w:unhideWhenUsed/>
    <w:rsid w:val="0087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93"/>
  </w:style>
  <w:style w:type="paragraph" w:styleId="Footer">
    <w:name w:val="footer"/>
    <w:basedOn w:val="Normal"/>
    <w:link w:val="FooterChar"/>
    <w:unhideWhenUsed/>
    <w:rsid w:val="00872193"/>
    <w:pPr>
      <w:tabs>
        <w:tab w:val="center" w:pos="4680"/>
        <w:tab w:val="right" w:pos="9360"/>
      </w:tabs>
      <w:spacing w:after="0" w:line="240" w:lineRule="auto"/>
    </w:pPr>
  </w:style>
  <w:style w:type="character" w:customStyle="1" w:styleId="FooterChar">
    <w:name w:val="Footer Char"/>
    <w:basedOn w:val="DefaultParagraphFont"/>
    <w:link w:val="Footer"/>
    <w:rsid w:val="0087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6FFE-6C1A-4965-8B76-B846A6C4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2022-01-28T11:53:00Z</dcterms:created>
  <dcterms:modified xsi:type="dcterms:W3CDTF">2022-02-03T11:46:00Z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2022-02-03T11:41:34Z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e476037c-3ba6-450c-b79e-1dd24993d4e6</vt:lpwstr>
  </property>
  <property fmtid="{D5CDD505-2E9C-101B-9397-08002B2CF9AE}" pid="8" name="MSIP_Label_be5cb09a-2992-49d6-8ac9-5f63e7b1ad2f_ContentBits">
    <vt:lpwstr>0</vt:lpwstr>
  </property>
</Properties>
</file>