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33153" w14:textId="6D086BF9" w:rsidR="005020F5" w:rsidRDefault="005020F5" w:rsidP="005020F5">
      <w:pPr>
        <w:pStyle w:val="Heading1"/>
      </w:pPr>
      <w:r>
        <w:t xml:space="preserve">Answer guidance </w:t>
      </w:r>
    </w:p>
    <w:p w14:paraId="1816FB8C" w14:textId="77777777" w:rsidR="009F6139" w:rsidRDefault="009F6139" w:rsidP="009F6139"/>
    <w:p w14:paraId="1AFF62B2" w14:textId="75F89C63" w:rsidR="009F6139" w:rsidRDefault="003019AE" w:rsidP="009F6139">
      <w:pPr>
        <w:pStyle w:val="Heading2"/>
      </w:pPr>
      <w:r>
        <w:t>Essay q</w:t>
      </w:r>
      <w:r w:rsidR="009F6139">
        <w:t>uestion:</w:t>
      </w:r>
    </w:p>
    <w:p w14:paraId="2FACB9D5" w14:textId="6EED01A5" w:rsidR="009F6139" w:rsidRPr="009F6139" w:rsidRDefault="00B61708" w:rsidP="009F6139">
      <w:r>
        <w:t>Can offences of strict liability</w:t>
      </w:r>
      <w:r w:rsidR="005932B6">
        <w:t xml:space="preserve"> be justified? </w:t>
      </w:r>
    </w:p>
    <w:p w14:paraId="0C883292" w14:textId="77777777" w:rsidR="005020F5" w:rsidRDefault="005020F5" w:rsidP="005020F5">
      <w:pPr>
        <w:pStyle w:val="Heading2"/>
      </w:pPr>
      <w:r>
        <w:t>Key issues:</w:t>
      </w:r>
    </w:p>
    <w:p w14:paraId="48625811" w14:textId="76CD8386" w:rsidR="005020F5" w:rsidRDefault="005932B6" w:rsidP="005020F5">
      <w:pPr>
        <w:pStyle w:val="ListParagraph"/>
        <w:numPr>
          <w:ilvl w:val="0"/>
          <w:numId w:val="1"/>
        </w:numPr>
      </w:pPr>
      <w:r>
        <w:t>What does strict liability mean?</w:t>
      </w:r>
    </w:p>
    <w:p w14:paraId="1B46C568" w14:textId="087CCE06" w:rsidR="005932B6" w:rsidRDefault="005932B6" w:rsidP="005020F5">
      <w:pPr>
        <w:pStyle w:val="ListParagraph"/>
        <w:numPr>
          <w:ilvl w:val="0"/>
          <w:numId w:val="1"/>
        </w:numPr>
      </w:pPr>
      <w:r>
        <w:t xml:space="preserve">What are its justifications? </w:t>
      </w:r>
    </w:p>
    <w:p w14:paraId="74369C33" w14:textId="72A1CAFF" w:rsidR="005932B6" w:rsidRDefault="00675060" w:rsidP="005020F5">
      <w:pPr>
        <w:pStyle w:val="ListParagraph"/>
        <w:numPr>
          <w:ilvl w:val="0"/>
          <w:numId w:val="1"/>
        </w:numPr>
      </w:pPr>
      <w:r>
        <w:t>What are the counter-arguments?</w:t>
      </w:r>
    </w:p>
    <w:p w14:paraId="3F8526D2" w14:textId="0E973CBA" w:rsidR="00675060" w:rsidRDefault="00675060" w:rsidP="005020F5">
      <w:pPr>
        <w:pStyle w:val="ListParagraph"/>
        <w:numPr>
          <w:ilvl w:val="0"/>
          <w:numId w:val="1"/>
        </w:numPr>
      </w:pPr>
      <w:r>
        <w:t>What is your view?</w:t>
      </w:r>
    </w:p>
    <w:p w14:paraId="7FD9692D" w14:textId="77777777" w:rsidR="005020F5" w:rsidRDefault="005020F5" w:rsidP="005020F5">
      <w:pPr>
        <w:pStyle w:val="Heading2"/>
      </w:pPr>
      <w:r>
        <w:t>Key law</w:t>
      </w:r>
    </w:p>
    <w:p w14:paraId="52A4DDDB" w14:textId="77777777" w:rsidR="005020F5" w:rsidRDefault="005020F5" w:rsidP="005020F5">
      <w:r>
        <w:t>You will find relevant legal rules in:</w:t>
      </w:r>
    </w:p>
    <w:p w14:paraId="1B741F3A" w14:textId="77777777" w:rsidR="00C14A76" w:rsidRPr="00C14A76" w:rsidRDefault="00C14A76" w:rsidP="005020F5">
      <w:pPr>
        <w:pStyle w:val="ListParagraph"/>
        <w:numPr>
          <w:ilvl w:val="0"/>
          <w:numId w:val="2"/>
        </w:numPr>
        <w:rPr>
          <w:i/>
          <w:iCs/>
        </w:rPr>
      </w:pPr>
      <w:r>
        <w:t>Section 3.4</w:t>
      </w:r>
    </w:p>
    <w:p w14:paraId="19DFF3CD" w14:textId="31A4D45F" w:rsidR="005020F5" w:rsidRPr="0068551F" w:rsidRDefault="0068551F" w:rsidP="005020F5">
      <w:pPr>
        <w:pStyle w:val="ListParagraph"/>
        <w:numPr>
          <w:ilvl w:val="0"/>
          <w:numId w:val="2"/>
        </w:numPr>
        <w:rPr>
          <w:i/>
          <w:iCs/>
        </w:rPr>
      </w:pPr>
      <w:r>
        <w:rPr>
          <w:i/>
          <w:iCs/>
        </w:rPr>
        <w:t>Sweet v Parsley</w:t>
      </w:r>
      <w:r w:rsidR="00763BA4">
        <w:t xml:space="preserve">, </w:t>
      </w:r>
      <w:r w:rsidR="00763BA4">
        <w:rPr>
          <w:i/>
          <w:iCs/>
        </w:rPr>
        <w:t>B v DPP</w:t>
      </w:r>
      <w:r w:rsidR="00763BA4">
        <w:t xml:space="preserve">, </w:t>
      </w:r>
      <w:r w:rsidR="00763BA4">
        <w:rPr>
          <w:i/>
          <w:iCs/>
        </w:rPr>
        <w:t>R v K</w:t>
      </w:r>
      <w:r w:rsidR="006E2D7F">
        <w:t xml:space="preserve"> (leading judgments)</w:t>
      </w:r>
    </w:p>
    <w:p w14:paraId="1FFA8D6C" w14:textId="25484E9A" w:rsidR="00C14A76" w:rsidRDefault="00C14A76" w:rsidP="005020F5">
      <w:pPr>
        <w:pStyle w:val="ListParagraph"/>
        <w:numPr>
          <w:ilvl w:val="0"/>
          <w:numId w:val="2"/>
        </w:numPr>
      </w:pPr>
      <w:r>
        <w:t>Justifications</w:t>
      </w:r>
      <w:r w:rsidR="006F7E86">
        <w:t xml:space="preserve">: </w:t>
      </w:r>
    </w:p>
    <w:p w14:paraId="3F98BFC3" w14:textId="323A1743" w:rsidR="005020F5" w:rsidRDefault="00C14A76" w:rsidP="00C14A76">
      <w:pPr>
        <w:pStyle w:val="ListParagraph"/>
        <w:numPr>
          <w:ilvl w:val="1"/>
          <w:numId w:val="2"/>
        </w:numPr>
      </w:pPr>
      <w:r>
        <w:t>S</w:t>
      </w:r>
      <w:r w:rsidR="006F7E86">
        <w:t xml:space="preserve">ocial concern (there are </w:t>
      </w:r>
      <w:proofErr w:type="gramStart"/>
      <w:r w:rsidR="006F7E86">
        <w:t>a number of</w:t>
      </w:r>
      <w:proofErr w:type="gramEnd"/>
      <w:r w:rsidR="006F7E86">
        <w:t xml:space="preserve"> examples, </w:t>
      </w:r>
      <w:r w:rsidR="00D35E67">
        <w:t>e.g.</w:t>
      </w:r>
      <w:r w:rsidR="006F7E86">
        <w:t xml:space="preserve"> </w:t>
      </w:r>
      <w:r w:rsidR="00074C52">
        <w:rPr>
          <w:i/>
          <w:iCs/>
        </w:rPr>
        <w:t>Storkwain</w:t>
      </w:r>
      <w:r w:rsidR="00963CC0">
        <w:t xml:space="preserve">, </w:t>
      </w:r>
      <w:r w:rsidR="00963CC0">
        <w:rPr>
          <w:i/>
          <w:iCs/>
        </w:rPr>
        <w:t>Highbury Poultry</w:t>
      </w:r>
      <w:r w:rsidR="00963CC0">
        <w:t xml:space="preserve">, </w:t>
      </w:r>
      <w:r w:rsidR="00963CC0">
        <w:rPr>
          <w:i/>
          <w:iCs/>
        </w:rPr>
        <w:t>Alphacell v Woodward</w:t>
      </w:r>
      <w:r w:rsidR="00963CC0">
        <w:t>)</w:t>
      </w:r>
    </w:p>
    <w:p w14:paraId="581DF418" w14:textId="23B01301" w:rsidR="006F7E86" w:rsidRDefault="006F7E86" w:rsidP="00C14A76">
      <w:pPr>
        <w:pStyle w:val="ListParagraph"/>
        <w:numPr>
          <w:ilvl w:val="1"/>
          <w:numId w:val="2"/>
        </w:numPr>
      </w:pPr>
      <w:r>
        <w:t>Public safety and law enforcement (eg</w:t>
      </w:r>
      <w:r w:rsidR="00963CC0">
        <w:t xml:space="preserve"> </w:t>
      </w:r>
      <w:r w:rsidR="00963CC0">
        <w:rPr>
          <w:i/>
          <w:iCs/>
        </w:rPr>
        <w:t>Gammon</w:t>
      </w:r>
      <w:r w:rsidR="00E35B47">
        <w:rPr>
          <w:i/>
          <w:iCs/>
        </w:rPr>
        <w:t>, Nasir Zahid, Lim Chin Aik</w:t>
      </w:r>
      <w:r w:rsidR="00E35B47">
        <w:t>)</w:t>
      </w:r>
    </w:p>
    <w:p w14:paraId="4A242097" w14:textId="73870C0A" w:rsidR="006F7E86" w:rsidRDefault="00C76F5C" w:rsidP="00C14A76">
      <w:pPr>
        <w:pStyle w:val="ListParagraph"/>
        <w:numPr>
          <w:ilvl w:val="1"/>
          <w:numId w:val="2"/>
        </w:numPr>
      </w:pPr>
      <w:r>
        <w:t xml:space="preserve">Offences not ‘truly’ criminal (eg </w:t>
      </w:r>
      <w:r w:rsidR="004B183C">
        <w:rPr>
          <w:i/>
          <w:iCs/>
        </w:rPr>
        <w:t>LB Harrow v Shah</w:t>
      </w:r>
      <w:r w:rsidR="004B183C">
        <w:t>)</w:t>
      </w:r>
    </w:p>
    <w:p w14:paraId="6C2C2FF8" w14:textId="77777777" w:rsidR="005020F5" w:rsidRDefault="005020F5" w:rsidP="005020F5">
      <w:pPr>
        <w:pStyle w:val="Heading2"/>
      </w:pPr>
      <w:r>
        <w:t>Key arguments</w:t>
      </w:r>
    </w:p>
    <w:p w14:paraId="67C27F36" w14:textId="77777777" w:rsidR="00A979F1" w:rsidRDefault="00A979F1" w:rsidP="005020F5">
      <w:pPr>
        <w:pStyle w:val="ListParagraph"/>
        <w:numPr>
          <w:ilvl w:val="0"/>
          <w:numId w:val="3"/>
        </w:numPr>
      </w:pPr>
      <w:r>
        <w:t xml:space="preserve">That strict liability is justified: </w:t>
      </w:r>
    </w:p>
    <w:p w14:paraId="76392504" w14:textId="39F0D906" w:rsidR="005020F5" w:rsidRDefault="00C8259C" w:rsidP="004D66F9">
      <w:pPr>
        <w:pStyle w:val="ListParagraph"/>
        <w:numPr>
          <w:ilvl w:val="1"/>
          <w:numId w:val="3"/>
        </w:numPr>
      </w:pPr>
      <w:r>
        <w:t>Social protection</w:t>
      </w:r>
    </w:p>
    <w:p w14:paraId="017CCAD3" w14:textId="20AA15D4" w:rsidR="00C8259C" w:rsidRDefault="00C8259C" w:rsidP="004D66F9">
      <w:pPr>
        <w:pStyle w:val="ListParagraph"/>
        <w:numPr>
          <w:ilvl w:val="1"/>
          <w:numId w:val="4"/>
        </w:numPr>
        <w:ind w:left="1440" w:hanging="360"/>
      </w:pPr>
      <w:r>
        <w:t>Efficiency</w:t>
      </w:r>
    </w:p>
    <w:p w14:paraId="79A0C039" w14:textId="0C378EC8" w:rsidR="00C8259C" w:rsidRDefault="00C8259C" w:rsidP="004D66F9">
      <w:pPr>
        <w:pStyle w:val="ListParagraph"/>
        <w:numPr>
          <w:ilvl w:val="1"/>
          <w:numId w:val="4"/>
        </w:numPr>
        <w:ind w:left="1440" w:hanging="360"/>
      </w:pPr>
      <w:r>
        <w:t>Difficulty of proving MR</w:t>
      </w:r>
    </w:p>
    <w:p w14:paraId="094E0843" w14:textId="6B363ECE" w:rsidR="005020F5" w:rsidRDefault="00C416AD" w:rsidP="004D66F9">
      <w:pPr>
        <w:pStyle w:val="ListParagraph"/>
        <w:numPr>
          <w:ilvl w:val="1"/>
          <w:numId w:val="4"/>
        </w:numPr>
        <w:ind w:left="1440" w:hanging="360"/>
      </w:pPr>
      <w:r>
        <w:t>Not ‘real’ crimes</w:t>
      </w:r>
    </w:p>
    <w:p w14:paraId="6350E09D" w14:textId="60663FAE" w:rsidR="00A979F1" w:rsidRDefault="00A979F1" w:rsidP="004D66F9">
      <w:pPr>
        <w:pStyle w:val="ListParagraph"/>
        <w:numPr>
          <w:ilvl w:val="0"/>
          <w:numId w:val="3"/>
        </w:numPr>
      </w:pPr>
      <w:r>
        <w:t>That strict liability is not justified:</w:t>
      </w:r>
    </w:p>
    <w:p w14:paraId="6F3C480F" w14:textId="53BE253A" w:rsidR="00A979F1" w:rsidRDefault="00521C6A" w:rsidP="004D66F9">
      <w:pPr>
        <w:pStyle w:val="ListParagraph"/>
        <w:numPr>
          <w:ilvl w:val="1"/>
          <w:numId w:val="5"/>
        </w:numPr>
        <w:ind w:left="1440" w:hanging="360"/>
      </w:pPr>
      <w:r>
        <w:t>Unfairness: it is w</w:t>
      </w:r>
      <w:r w:rsidR="00C416AD">
        <w:t>rong to convict those who are not morally blameworthy</w:t>
      </w:r>
    </w:p>
    <w:p w14:paraId="69F4F8A9" w14:textId="77777777" w:rsidR="00563316" w:rsidRDefault="00563316" w:rsidP="004D66F9">
      <w:pPr>
        <w:pStyle w:val="ListParagraph"/>
        <w:numPr>
          <w:ilvl w:val="1"/>
          <w:numId w:val="5"/>
        </w:numPr>
        <w:ind w:left="1440" w:hanging="360"/>
      </w:pPr>
      <w:r>
        <w:t>Liability is imposed even where D had done everything reasonable to avoid it</w:t>
      </w:r>
    </w:p>
    <w:p w14:paraId="279062A5" w14:textId="4F521FF9" w:rsidR="00C416AD" w:rsidRDefault="000D6BE7" w:rsidP="004D66F9">
      <w:pPr>
        <w:pStyle w:val="ListParagraph"/>
        <w:numPr>
          <w:ilvl w:val="1"/>
          <w:numId w:val="5"/>
        </w:numPr>
        <w:ind w:left="1440" w:hanging="360"/>
      </w:pPr>
      <w:r>
        <w:t>Some strict liability offences are serious and carry real stigma</w:t>
      </w:r>
      <w:r w:rsidR="00563316">
        <w:t xml:space="preserve"> </w:t>
      </w:r>
    </w:p>
    <w:p w14:paraId="08A698DD" w14:textId="1AAD9E5C" w:rsidR="00A919DD" w:rsidRDefault="00A919DD" w:rsidP="004D66F9">
      <w:pPr>
        <w:pStyle w:val="ListParagraph"/>
        <w:numPr>
          <w:ilvl w:val="1"/>
          <w:numId w:val="5"/>
        </w:numPr>
        <w:ind w:left="1440" w:hanging="360"/>
      </w:pPr>
      <w:r>
        <w:t xml:space="preserve">Objectives could be met through imposing civil, not criminal, liability </w:t>
      </w:r>
    </w:p>
    <w:p w14:paraId="119FA4EB" w14:textId="77777777" w:rsidR="005020F5" w:rsidRDefault="005020F5" w:rsidP="005020F5">
      <w:pPr>
        <w:pStyle w:val="Heading2"/>
      </w:pPr>
      <w:r>
        <w:t>Hint(s):</w:t>
      </w:r>
    </w:p>
    <w:p w14:paraId="2912E452" w14:textId="0EF5C2C4" w:rsidR="004D66F9" w:rsidRDefault="00A719FB" w:rsidP="004D66F9">
      <w:pPr>
        <w:pStyle w:val="ListParagraph"/>
        <w:numPr>
          <w:ilvl w:val="0"/>
          <w:numId w:val="6"/>
        </w:numPr>
      </w:pPr>
      <w:r>
        <w:t>Summarise</w:t>
      </w:r>
      <w:r w:rsidR="00F833D9">
        <w:t xml:space="preserve"> the key law before considering the arguments</w:t>
      </w:r>
    </w:p>
    <w:p w14:paraId="34869627" w14:textId="7C3219C0" w:rsidR="005020F5" w:rsidRDefault="004D66F9" w:rsidP="004D66F9">
      <w:pPr>
        <w:pStyle w:val="ListParagraph"/>
        <w:numPr>
          <w:ilvl w:val="0"/>
          <w:numId w:val="6"/>
        </w:numPr>
      </w:pPr>
      <w:r>
        <w:t>Ensure that you address the arguments on both sides</w:t>
      </w:r>
    </w:p>
    <w:p w14:paraId="111ABCC9" w14:textId="723CB8F7" w:rsidR="00FE6AED" w:rsidRDefault="00FE6AED" w:rsidP="004D66F9">
      <w:pPr>
        <w:pStyle w:val="ListParagraph"/>
        <w:numPr>
          <w:ilvl w:val="0"/>
          <w:numId w:val="6"/>
        </w:numPr>
      </w:pPr>
      <w:r>
        <w:t>Refer to the academic literature as well as the legal authorities</w:t>
      </w:r>
    </w:p>
    <w:p w14:paraId="4FD36763" w14:textId="18CFE735" w:rsidR="004D66F9" w:rsidRDefault="00F833D9" w:rsidP="004D66F9">
      <w:pPr>
        <w:pStyle w:val="ListParagraph"/>
        <w:numPr>
          <w:ilvl w:val="0"/>
          <w:numId w:val="6"/>
        </w:numPr>
      </w:pPr>
      <w:r>
        <w:t xml:space="preserve">Make sure that you are answering the question asked, not writing a general essay on strict liability. </w:t>
      </w:r>
    </w:p>
    <w:p w14:paraId="3D230354" w14:textId="77777777" w:rsidR="005020F5" w:rsidRDefault="005020F5"/>
    <w:p w14:paraId="26BA76E4" w14:textId="77777777" w:rsidR="003019AE" w:rsidRDefault="003019AE"/>
    <w:sectPr w:rsidR="003019A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8C486" w14:textId="77777777" w:rsidR="006612FD" w:rsidRDefault="006612FD" w:rsidP="006612FD">
      <w:pPr>
        <w:spacing w:after="0" w:line="240" w:lineRule="auto"/>
      </w:pPr>
      <w:r>
        <w:separator/>
      </w:r>
    </w:p>
  </w:endnote>
  <w:endnote w:type="continuationSeparator" w:id="0">
    <w:p w14:paraId="291DDD1A" w14:textId="77777777" w:rsidR="006612FD" w:rsidRDefault="006612FD" w:rsidP="0066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UP Swift">
    <w:altName w:val="Calibri"/>
    <w:panose1 w:val="02000503080000020004"/>
    <w:charset w:val="00"/>
    <w:family w:val="auto"/>
    <w:pitch w:val="variable"/>
    <w:sig w:usb0="8000002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3276F" w14:textId="77777777" w:rsidR="00D35E67" w:rsidRDefault="00D35E67" w:rsidP="00D35E67">
    <w:pPr>
      <w:pStyle w:val="Footer"/>
      <w:pBdr>
        <w:top w:val="single" w:sz="4" w:space="1" w:color="808080"/>
      </w:pBdr>
      <w:jc w:val="right"/>
      <w:rPr>
        <w:rFonts w:ascii="OUP Swift" w:hAnsi="OUP Swift"/>
        <w:color w:val="808080"/>
      </w:rPr>
    </w:pPr>
    <w:bookmarkStart w:id="0" w:name="_Hlk94603672"/>
    <w:bookmarkStart w:id="1" w:name="_Hlk94603673"/>
    <w:r>
      <w:rPr>
        <w:rFonts w:ascii="OUP Swift" w:hAnsi="OUP Swift"/>
        <w:noProof/>
        <w:color w:val="808080"/>
      </w:rPr>
      <w:drawing>
        <wp:inline distT="0" distB="0" distL="0" distR="0" wp14:anchorId="462DE069" wp14:editId="6907075D">
          <wp:extent cx="1219200" cy="457200"/>
          <wp:effectExtent l="0" t="0" r="0" b="0"/>
          <wp:docPr id="1" name="Picture 1" descr="Company nam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ompany nam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DC8692" w14:textId="77777777" w:rsidR="00D35E67" w:rsidRDefault="00D35E67" w:rsidP="00D35E67">
    <w:pPr>
      <w:pStyle w:val="Footer"/>
      <w:rPr>
        <w:rFonts w:ascii="Arial" w:hAnsi="Arial"/>
        <w:color w:val="808080"/>
        <w:sz w:val="20"/>
        <w:szCs w:val="20"/>
      </w:rPr>
    </w:pPr>
    <w:r>
      <w:rPr>
        <w:rFonts w:ascii="Arial" w:hAnsi="Arial"/>
        <w:color w:val="808080"/>
        <w:sz w:val="20"/>
        <w:szCs w:val="20"/>
      </w:rPr>
      <w:t>© Oxford University Press, 2022. All rights reserved.</w:t>
    </w:r>
    <w:bookmarkEnd w:id="0"/>
    <w:bookmarkEnd w:id="1"/>
  </w:p>
  <w:p w14:paraId="7623602F" w14:textId="77777777" w:rsidR="00D35E67" w:rsidRDefault="00D35E67" w:rsidP="00D35E67">
    <w:pPr>
      <w:pStyle w:val="Footer"/>
    </w:pPr>
  </w:p>
  <w:p w14:paraId="3E358BD2" w14:textId="77777777" w:rsidR="00D35E67" w:rsidRDefault="00D35E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FDB6B" w14:textId="77777777" w:rsidR="006612FD" w:rsidRDefault="006612FD" w:rsidP="006612FD">
      <w:pPr>
        <w:spacing w:after="0" w:line="240" w:lineRule="auto"/>
      </w:pPr>
      <w:r>
        <w:separator/>
      </w:r>
    </w:p>
  </w:footnote>
  <w:footnote w:type="continuationSeparator" w:id="0">
    <w:p w14:paraId="09185DF3" w14:textId="77777777" w:rsidR="006612FD" w:rsidRDefault="006612FD" w:rsidP="00661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A0CF2"/>
    <w:multiLevelType w:val="hybridMultilevel"/>
    <w:tmpl w:val="8FB48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70449"/>
    <w:multiLevelType w:val="hybridMultilevel"/>
    <w:tmpl w:val="2D128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E5BC7"/>
    <w:multiLevelType w:val="hybridMultilevel"/>
    <w:tmpl w:val="35C2D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17C86"/>
    <w:multiLevelType w:val="hybridMultilevel"/>
    <w:tmpl w:val="F0D60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93D35"/>
    <w:multiLevelType w:val="hybridMultilevel"/>
    <w:tmpl w:val="B6B0F0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A3C12"/>
    <w:multiLevelType w:val="hybridMultilevel"/>
    <w:tmpl w:val="6104733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F5"/>
    <w:rsid w:val="00074C52"/>
    <w:rsid w:val="000D6BE7"/>
    <w:rsid w:val="003019AE"/>
    <w:rsid w:val="004B183C"/>
    <w:rsid w:val="004D66F9"/>
    <w:rsid w:val="004E6242"/>
    <w:rsid w:val="005020F5"/>
    <w:rsid w:val="00521C6A"/>
    <w:rsid w:val="00563316"/>
    <w:rsid w:val="005932B6"/>
    <w:rsid w:val="006612FD"/>
    <w:rsid w:val="00675060"/>
    <w:rsid w:val="0068551F"/>
    <w:rsid w:val="006E2D7F"/>
    <w:rsid w:val="006F7E86"/>
    <w:rsid w:val="00763BA4"/>
    <w:rsid w:val="00963CC0"/>
    <w:rsid w:val="009F6139"/>
    <w:rsid w:val="00A359E2"/>
    <w:rsid w:val="00A719FB"/>
    <w:rsid w:val="00A919DD"/>
    <w:rsid w:val="00A979F1"/>
    <w:rsid w:val="00B61708"/>
    <w:rsid w:val="00BC6622"/>
    <w:rsid w:val="00C14A76"/>
    <w:rsid w:val="00C416AD"/>
    <w:rsid w:val="00C76F5C"/>
    <w:rsid w:val="00C8259C"/>
    <w:rsid w:val="00D35E67"/>
    <w:rsid w:val="00E35B47"/>
    <w:rsid w:val="00F833D9"/>
    <w:rsid w:val="00FE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53E645"/>
  <w15:chartTrackingRefBased/>
  <w15:docId w15:val="{1BF89C82-33FC-4BF6-8B7F-D24BB8485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0F5"/>
  </w:style>
  <w:style w:type="paragraph" w:styleId="Heading1">
    <w:name w:val="heading 1"/>
    <w:basedOn w:val="Normal"/>
    <w:next w:val="Normal"/>
    <w:link w:val="Heading1Char"/>
    <w:uiPriority w:val="9"/>
    <w:qFormat/>
    <w:rsid w:val="005020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20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20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020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5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E67"/>
  </w:style>
  <w:style w:type="paragraph" w:styleId="Footer">
    <w:name w:val="footer"/>
    <w:basedOn w:val="Normal"/>
    <w:link w:val="FooterChar"/>
    <w:unhideWhenUsed/>
    <w:rsid w:val="00D35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35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Derry</dc:creator>
  <cp:keywords/>
  <dc:description/>
  <cp:lastModifiedBy>SINGH, Sera</cp:lastModifiedBy>
  <cp:revision>23</cp:revision>
  <dcterms:created xsi:type="dcterms:W3CDTF">2022-01-18T19:42:00Z</dcterms:created>
  <dcterms:modified xsi:type="dcterms:W3CDTF">2022-02-03T11:52:00Z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2022-02-03T11:40:15Z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9aacfeb8-73dd-4fee-9abd-9ebe547f453d</vt:lpwstr>
  </property>
  <property fmtid="{D5CDD505-2E9C-101B-9397-08002B2CF9AE}" pid="8" name="MSIP_Label_be5cb09a-2992-49d6-8ac9-5f63e7b1ad2f_ContentBits">
    <vt:lpwstr>0</vt:lpwstr>
  </property>
</Properties>
</file>