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679" w:rsidRPr="00CF3F03" w:rsidRDefault="00C164A6" w:rsidP="00BB29A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84928143"/>
      <w:r w:rsidRPr="00CF3F03">
        <w:rPr>
          <w:rFonts w:ascii="Times New Roman" w:hAnsi="Times New Roman" w:cs="Times New Roman"/>
          <w:b/>
          <w:sz w:val="24"/>
          <w:szCs w:val="24"/>
          <w:lang w:val="en-US"/>
        </w:rPr>
        <w:t>Chapter 28: Child Abduction</w:t>
      </w:r>
    </w:p>
    <w:bookmarkEnd w:id="0"/>
    <w:p w:rsidR="00BB29AB" w:rsidRPr="00BB29AB" w:rsidRDefault="00BB29AB" w:rsidP="00BB29AB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29AB">
        <w:rPr>
          <w:rFonts w:ascii="Times New Roman" w:hAnsi="Times New Roman" w:cs="Times New Roman"/>
          <w:color w:val="000000"/>
          <w:sz w:val="24"/>
          <w:szCs w:val="24"/>
        </w:rPr>
        <w:t>Chapter 28 confirms that the</w:t>
      </w:r>
      <w:r w:rsidRPr="00BB29AB">
        <w:rPr>
          <w:rStyle w:val="Hyperlink"/>
          <w:rFonts w:ascii="Times New Roman" w:eastAsia="Times New Roman" w:hAnsi="Times New Roman" w:cs="Times New Roman"/>
          <w:color w:val="0077CC"/>
          <w:sz w:val="24"/>
          <w:szCs w:val="24"/>
          <w:bdr w:val="none" w:sz="0" w:space="0" w:color="auto" w:frame="1"/>
        </w:rPr>
        <w:t xml:space="preserve"> </w:t>
      </w:r>
      <w:hyperlink r:id="rId7" w:tgtFrame="_parent" w:history="1">
        <w:r w:rsidRPr="00BB29AB">
          <w:rPr>
            <w:rStyle w:val="Hyperlink"/>
            <w:rFonts w:ascii="Times New Roman" w:eastAsia="Times New Roman" w:hAnsi="Times New Roman" w:cs="Times New Roman"/>
            <w:color w:val="0077CC"/>
            <w:sz w:val="24"/>
            <w:szCs w:val="24"/>
            <w:bdr w:val="none" w:sz="0" w:space="0" w:color="auto" w:frame="1"/>
          </w:rPr>
          <w:t>Council Regulation (EC) No 2201/2003</w:t>
        </w:r>
      </w:hyperlink>
      <w:r w:rsidRPr="00BB2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of 27 November 2003 (Brussels II bis, also known as Brussels </w:t>
      </w:r>
      <w:proofErr w:type="spellStart"/>
      <w:r w:rsidRPr="00BB29AB">
        <w:rPr>
          <w:rFonts w:ascii="Times New Roman" w:eastAsia="Times New Roman" w:hAnsi="Times New Roman" w:cs="Times New Roman"/>
          <w:color w:val="000000"/>
          <w:sz w:val="24"/>
          <w:szCs w:val="24"/>
        </w:rPr>
        <w:t>IIa</w:t>
      </w:r>
      <w:proofErr w:type="spellEnd"/>
      <w:r w:rsidRPr="00BB29AB">
        <w:rPr>
          <w:rFonts w:ascii="Times New Roman" w:eastAsia="Times New Roman" w:hAnsi="Times New Roman" w:cs="Times New Roman"/>
          <w:color w:val="000000"/>
          <w:sz w:val="24"/>
          <w:szCs w:val="24"/>
        </w:rPr>
        <w:t>) ceases to have effect in UK law after IP completion day, su</w:t>
      </w:r>
      <w:bookmarkStart w:id="1" w:name="_GoBack"/>
      <w:bookmarkEnd w:id="1"/>
      <w:r w:rsidRPr="00BB29AB">
        <w:rPr>
          <w:rFonts w:ascii="Times New Roman" w:eastAsia="Times New Roman" w:hAnsi="Times New Roman" w:cs="Times New Roman"/>
          <w:color w:val="000000"/>
          <w:sz w:val="24"/>
          <w:szCs w:val="24"/>
        </w:rPr>
        <w:t>bject to certain specific exemptions and rules for proceedings issued prior to IP completion day. </w:t>
      </w:r>
    </w:p>
    <w:p w:rsidR="00C164A6" w:rsidRPr="00CF3F03" w:rsidRDefault="00C164A6" w:rsidP="00CF3F03">
      <w:pPr>
        <w:pStyle w:val="H2"/>
        <w:jc w:val="both"/>
        <w:rPr>
          <w:sz w:val="24"/>
          <w:szCs w:val="24"/>
          <w:lang w:val="en-GB"/>
        </w:rPr>
      </w:pPr>
      <w:r w:rsidRPr="00CF3F03">
        <w:rPr>
          <w:b/>
          <w:sz w:val="24"/>
          <w:szCs w:val="24"/>
          <w:lang w:val="en-GB"/>
        </w:rPr>
        <w:t>28.5.1 Applicable Law</w:t>
      </w:r>
    </w:p>
    <w:p w:rsidR="00C164A6" w:rsidRPr="00CF3F03" w:rsidRDefault="00C164A6" w:rsidP="00CF3F03">
      <w:pPr>
        <w:pStyle w:val="P"/>
        <w:spacing w:after="120"/>
        <w:rPr>
          <w:szCs w:val="24"/>
          <w:lang w:val="en-GB"/>
        </w:rPr>
      </w:pPr>
      <w:r w:rsidRPr="00CF3F03">
        <w:rPr>
          <w:szCs w:val="24"/>
          <w:lang w:val="en-GB"/>
        </w:rPr>
        <w:t>There are two main pieces of legislation:</w:t>
      </w:r>
    </w:p>
    <w:p w:rsidR="00C164A6" w:rsidRPr="00CF3F03" w:rsidRDefault="00C164A6" w:rsidP="00CF3F03">
      <w:pPr>
        <w:pStyle w:val="BL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3F03">
        <w:rPr>
          <w:rFonts w:ascii="Times New Roman" w:hAnsi="Times New Roman" w:cs="Times New Roman"/>
          <w:sz w:val="24"/>
          <w:szCs w:val="24"/>
        </w:rPr>
        <w:t>the Hague Convention on the Civil Aspects of International Child Abduction;</w:t>
      </w:r>
    </w:p>
    <w:p w:rsidR="00C164A6" w:rsidRPr="00CF3F03" w:rsidRDefault="00C164A6" w:rsidP="00CF3F03">
      <w:pPr>
        <w:pStyle w:val="BL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3F03">
        <w:rPr>
          <w:rFonts w:ascii="Times New Roman" w:hAnsi="Times New Roman" w:cs="Times New Roman"/>
          <w:sz w:val="24"/>
          <w:szCs w:val="24"/>
        </w:rPr>
        <w:t xml:space="preserve">Council Regulation (EC) No. 2201/2003 of 27 November 2003 was an important piece of legislation. However, </w:t>
      </w:r>
      <w:r w:rsidRPr="00CF3F0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this ceased to have effect in UK law after Brexit Implementation Period (IP) completion day, subject to certain exemptions and rules for proceedings issued prior to IP completion day.</w:t>
      </w:r>
    </w:p>
    <w:p w:rsidR="00C164A6" w:rsidRPr="00CF3F03" w:rsidRDefault="00C164A6" w:rsidP="00CF3F03">
      <w:pPr>
        <w:pStyle w:val="H3"/>
        <w:spacing w:line="480" w:lineRule="auto"/>
        <w:rPr>
          <w:sz w:val="24"/>
          <w:szCs w:val="24"/>
        </w:rPr>
      </w:pPr>
      <w:r w:rsidRPr="00CF3F03">
        <w:rPr>
          <w:sz w:val="24"/>
          <w:szCs w:val="24"/>
        </w:rPr>
        <w:t>28.5.1.1 The Hague Convention</w:t>
      </w:r>
    </w:p>
    <w:p w:rsidR="00C164A6" w:rsidRPr="00CF3F03" w:rsidRDefault="00C164A6" w:rsidP="00CF3F03">
      <w:pPr>
        <w:pStyle w:val="P"/>
        <w:spacing w:after="120"/>
        <w:rPr>
          <w:szCs w:val="24"/>
          <w:lang w:val="en-GB"/>
        </w:rPr>
      </w:pPr>
      <w:r w:rsidRPr="00CF3F03">
        <w:rPr>
          <w:szCs w:val="24"/>
          <w:lang w:val="en-GB"/>
        </w:rPr>
        <w:t xml:space="preserve">The principle at the heart of the Hague Convention is that disputes over children should be resolved in the country where the child is habitually resident. </w:t>
      </w:r>
      <w:r w:rsidRPr="00CF3F03">
        <w:rPr>
          <w:color w:val="000000"/>
          <w:szCs w:val="24"/>
          <w:lang w:eastAsia="en-GB"/>
        </w:rPr>
        <w:t xml:space="preserve">Since the IP completion day, certain Hague Conventions will take on an increased importance in family law. </w:t>
      </w:r>
    </w:p>
    <w:p w:rsidR="00C164A6" w:rsidRPr="00CF3F03" w:rsidRDefault="00C164A6" w:rsidP="00CF3F03">
      <w:pPr>
        <w:pStyle w:val="H3"/>
        <w:spacing w:line="480" w:lineRule="auto"/>
        <w:rPr>
          <w:sz w:val="24"/>
          <w:szCs w:val="24"/>
        </w:rPr>
      </w:pPr>
      <w:r w:rsidRPr="00CF3F03">
        <w:rPr>
          <w:sz w:val="24"/>
          <w:szCs w:val="24"/>
        </w:rPr>
        <w:t>28.5.1.3 The Council Regulation</w:t>
      </w:r>
    </w:p>
    <w:p w:rsidR="00C164A6" w:rsidRPr="00CF3F03" w:rsidRDefault="00C164A6" w:rsidP="00CF3F03">
      <w:pPr>
        <w:pStyle w:val="PI"/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CF3F03">
        <w:rPr>
          <w:rFonts w:ascii="Times New Roman" w:hAnsi="Times New Roman" w:cs="Times New Roman"/>
          <w:sz w:val="24"/>
          <w:szCs w:val="24"/>
        </w:rPr>
        <w:t>This has ceased to have effect, due to the UK leaving the European Union.</w:t>
      </w:r>
    </w:p>
    <w:p w:rsidR="00C164A6" w:rsidRPr="00CF3F03" w:rsidRDefault="00C164A6" w:rsidP="00CF3F0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164A6" w:rsidRPr="00CF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4A6" w:rsidRDefault="00C164A6" w:rsidP="00C164A6">
      <w:pPr>
        <w:spacing w:after="0" w:line="240" w:lineRule="auto"/>
      </w:pPr>
      <w:r>
        <w:separator/>
      </w:r>
    </w:p>
  </w:endnote>
  <w:endnote w:type="continuationSeparator" w:id="0">
    <w:p w:rsidR="00C164A6" w:rsidRDefault="00C164A6" w:rsidP="00C1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F03" w:rsidRDefault="00CF3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F03" w:rsidRPr="00934EE1" w:rsidRDefault="00CF3F03" w:rsidP="00CF3F03">
    <w:pPr>
      <w:pStyle w:val="Footer"/>
      <w:rPr>
        <w:rFonts w:ascii="Times New Roman" w:hAnsi="Times New Roman" w:cs="Times New Roman"/>
        <w:sz w:val="20"/>
        <w:lang w:val="en-US"/>
      </w:rPr>
    </w:pPr>
    <w:bookmarkStart w:id="2" w:name="_Hlk84927753"/>
    <w:bookmarkStart w:id="3" w:name="_Hlk84927754"/>
    <w:r w:rsidRPr="00934EE1">
      <w:rPr>
        <w:rFonts w:ascii="Times New Roman" w:hAnsi="Times New Roman" w:cs="Times New Roman"/>
        <w:sz w:val="20"/>
        <w:lang w:val="en-US"/>
      </w:rPr>
      <w:t xml:space="preserve">Hodgson, </w:t>
    </w:r>
    <w:r w:rsidRPr="00934EE1">
      <w:rPr>
        <w:rFonts w:ascii="Times New Roman" w:hAnsi="Times New Roman" w:cs="Times New Roman"/>
        <w:i/>
        <w:sz w:val="20"/>
        <w:lang w:val="en-US"/>
      </w:rPr>
      <w:t>Family Law</w:t>
    </w:r>
    <w:r w:rsidRPr="00934EE1">
      <w:rPr>
        <w:rFonts w:ascii="Times New Roman" w:hAnsi="Times New Roman" w:cs="Times New Roman"/>
        <w:sz w:val="20"/>
        <w:lang w:val="en-US"/>
      </w:rPr>
      <w:t xml:space="preserve"> 12e updates</w:t>
    </w:r>
    <w:bookmarkEnd w:id="2"/>
    <w:bookmarkEnd w:id="3"/>
  </w:p>
  <w:p w:rsidR="00CF3F03" w:rsidRDefault="00CF3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F03" w:rsidRDefault="00CF3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4A6" w:rsidRDefault="00C164A6" w:rsidP="00C164A6">
      <w:pPr>
        <w:spacing w:after="0" w:line="240" w:lineRule="auto"/>
      </w:pPr>
      <w:r>
        <w:separator/>
      </w:r>
    </w:p>
  </w:footnote>
  <w:footnote w:type="continuationSeparator" w:id="0">
    <w:p w:rsidR="00C164A6" w:rsidRDefault="00C164A6" w:rsidP="00C16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F03" w:rsidRDefault="00CF3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F03" w:rsidRPr="0081262C" w:rsidRDefault="00CF3F03" w:rsidP="00CF3F03">
    <w:pPr>
      <w:pStyle w:val="Header"/>
      <w:jc w:val="center"/>
      <w:rPr>
        <w:rFonts w:ascii="Times New Roman" w:hAnsi="Times New Roman" w:cs="Times New Roman"/>
        <w:sz w:val="20"/>
        <w:lang w:val="en-US"/>
      </w:rPr>
    </w:pPr>
    <w:r w:rsidRPr="0081262C">
      <w:rPr>
        <w:rFonts w:ascii="Times New Roman" w:hAnsi="Times New Roman" w:cs="Times New Roman"/>
        <w:sz w:val="20"/>
        <w:lang w:val="en-US"/>
      </w:rPr>
      <w:t>© Oxford University Press 2021</w:t>
    </w:r>
  </w:p>
  <w:p w:rsidR="00CF3F03" w:rsidRDefault="00CF3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F03" w:rsidRDefault="00CF3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ECB"/>
    <w:multiLevelType w:val="singleLevel"/>
    <w:tmpl w:val="AF74918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color w:val="000000"/>
        <w:sz w:val="24"/>
      </w:rPr>
    </w:lvl>
  </w:abstractNum>
  <w:abstractNum w:abstractNumId="1" w15:restartNumberingAfterBreak="0">
    <w:nsid w:val="54BB5224"/>
    <w:multiLevelType w:val="multilevel"/>
    <w:tmpl w:val="D3C6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A6"/>
    <w:rsid w:val="00A71679"/>
    <w:rsid w:val="00BB29AB"/>
    <w:rsid w:val="00C164A6"/>
    <w:rsid w:val="00C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62D5F"/>
  <w15:chartTrackingRefBased/>
  <w15:docId w15:val="{220836CC-C466-4C5D-A130-FE8BAA7E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64A6"/>
    <w:rPr>
      <w:color w:val="0000FF"/>
      <w:u w:val="single"/>
    </w:rPr>
  </w:style>
  <w:style w:type="paragraph" w:customStyle="1" w:styleId="H2">
    <w:name w:val="H2"/>
    <w:next w:val="Normal"/>
    <w:rsid w:val="00C164A6"/>
    <w:pPr>
      <w:spacing w:before="400" w:after="120" w:line="480" w:lineRule="auto"/>
      <w:ind w:left="432" w:hanging="432"/>
      <w:outlineLvl w:val="1"/>
    </w:pPr>
    <w:rPr>
      <w:rFonts w:ascii="Times New Roman" w:eastAsia="Times New Roman" w:hAnsi="Times New Roman" w:cs="Times New Roman"/>
      <w:bCs/>
      <w:iCs/>
      <w:sz w:val="32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C164A6"/>
    <w:pPr>
      <w:spacing w:line="256" w:lineRule="auto"/>
      <w:ind w:left="720"/>
      <w:contextualSpacing/>
    </w:pPr>
  </w:style>
  <w:style w:type="paragraph" w:customStyle="1" w:styleId="BL">
    <w:name w:val="BL"/>
    <w:basedOn w:val="Normal"/>
    <w:rsid w:val="00C164A6"/>
    <w:pPr>
      <w:tabs>
        <w:tab w:val="left" w:pos="720"/>
        <w:tab w:val="left" w:pos="1440"/>
      </w:tabs>
      <w:spacing w:before="60" w:after="60" w:line="480" w:lineRule="auto"/>
    </w:pPr>
    <w:rPr>
      <w:szCs w:val="20"/>
    </w:rPr>
  </w:style>
  <w:style w:type="character" w:customStyle="1" w:styleId="PChar">
    <w:name w:val="P Char"/>
    <w:link w:val="P"/>
    <w:locked/>
    <w:rsid w:val="00C164A6"/>
    <w:rPr>
      <w:rFonts w:ascii="Times New Roman" w:eastAsia="Times New Roman" w:hAnsi="Times New Roman" w:cs="Times New Roman"/>
      <w:sz w:val="24"/>
      <w:szCs w:val="20"/>
      <w:lang w:val="en-IN" w:eastAsia="en-IN"/>
    </w:rPr>
  </w:style>
  <w:style w:type="paragraph" w:customStyle="1" w:styleId="P">
    <w:name w:val="P"/>
    <w:next w:val="Normal"/>
    <w:link w:val="PChar"/>
    <w:qFormat/>
    <w:rsid w:val="00C164A6"/>
    <w:pPr>
      <w:spacing w:before="120" w:after="0" w:line="480" w:lineRule="auto"/>
    </w:pPr>
    <w:rPr>
      <w:rFonts w:ascii="Times New Roman" w:eastAsia="Times New Roman" w:hAnsi="Times New Roman" w:cs="Times New Roman"/>
      <w:sz w:val="24"/>
      <w:szCs w:val="20"/>
      <w:lang w:val="en-IN" w:eastAsia="en-IN"/>
    </w:rPr>
  </w:style>
  <w:style w:type="paragraph" w:customStyle="1" w:styleId="H3">
    <w:name w:val="H3"/>
    <w:next w:val="Normal"/>
    <w:autoRedefine/>
    <w:rsid w:val="00C164A6"/>
    <w:pPr>
      <w:spacing w:before="300" w:after="120" w:line="360" w:lineRule="auto"/>
      <w:ind w:left="576" w:hanging="576"/>
      <w:jc w:val="both"/>
      <w:outlineLvl w:val="2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PI">
    <w:name w:val="PI"/>
    <w:basedOn w:val="Normal"/>
    <w:rsid w:val="00C164A6"/>
    <w:pPr>
      <w:spacing w:line="480" w:lineRule="auto"/>
      <w:ind w:firstLine="432"/>
    </w:pPr>
  </w:style>
  <w:style w:type="paragraph" w:styleId="Header">
    <w:name w:val="header"/>
    <w:basedOn w:val="Normal"/>
    <w:link w:val="HeaderChar"/>
    <w:uiPriority w:val="99"/>
    <w:unhideWhenUsed/>
    <w:rsid w:val="00CF3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F03"/>
  </w:style>
  <w:style w:type="paragraph" w:styleId="Footer">
    <w:name w:val="footer"/>
    <w:basedOn w:val="Normal"/>
    <w:link w:val="FooterChar"/>
    <w:uiPriority w:val="99"/>
    <w:unhideWhenUsed/>
    <w:rsid w:val="00CF3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exisnexis.com/uk/lexispsl/family/document/412012/61KD-BPK3-GXFD-84JJ-00000-00/linkHandler.faces?psldocinfo=Family_monthly_highlights_December_2020&amp;linkInfo=F%23GB%23UK_EULEG%23num%2532003R2201_title%25&amp;A=0.27510533770679924&amp;bct=A&amp;risb=&amp;service=citation&amp;langcountry=G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MERRICK, Hayden</dc:creator>
  <cp:keywords/>
  <dc:description/>
  <cp:lastModifiedBy>MERRICK, Hayden</cp:lastModifiedBy>
  <cp:revision>3</cp:revision>
  <dcterms:created xsi:type="dcterms:W3CDTF">2021-10-11T15:23:00Z</dcterms:created>
  <dcterms:modified xsi:type="dcterms:W3CDTF">2021-10-12T10:32:00Z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2021-10-11T15:26:07Z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8310e0ad-2cb0-40a1-b64b-0000d20a5a6f</vt:lpwstr>
  </property>
  <property fmtid="{D5CDD505-2E9C-101B-9397-08002B2CF9AE}" pid="8" name="MSIP_Label_be5cb09a-2992-49d6-8ac9-5f63e7b1ad2f_ContentBits">
    <vt:lpwstr>0</vt:lpwstr>
  </property>
</Properties>
</file>