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9E8" w:rsidRPr="000C2D61" w:rsidRDefault="00054D49" w:rsidP="000C2D61">
      <w:pPr>
        <w:spacing w:line="480" w:lineRule="auto"/>
        <w:rPr>
          <w:rFonts w:ascii="Times New Roman" w:hAnsi="Times New Roman" w:cs="Times New Roman"/>
          <w:b/>
          <w:sz w:val="24"/>
          <w:szCs w:val="24"/>
          <w:lang w:val="en-US"/>
        </w:rPr>
      </w:pPr>
      <w:r w:rsidRPr="000C2D61">
        <w:rPr>
          <w:rFonts w:ascii="Times New Roman" w:hAnsi="Times New Roman" w:cs="Times New Roman"/>
          <w:b/>
          <w:sz w:val="24"/>
          <w:szCs w:val="24"/>
          <w:lang w:val="en-US"/>
        </w:rPr>
        <w:t>Chapter 2: Funding</w:t>
      </w:r>
      <w:bookmarkStart w:id="0" w:name="_GoBack"/>
      <w:bookmarkEnd w:id="0"/>
    </w:p>
    <w:p w:rsidR="00054D49" w:rsidRPr="000C2D61" w:rsidRDefault="00054D49" w:rsidP="000C2D61">
      <w:pPr>
        <w:spacing w:line="480" w:lineRule="auto"/>
        <w:rPr>
          <w:rFonts w:ascii="Times New Roman" w:hAnsi="Times New Roman" w:cs="Times New Roman"/>
          <w:sz w:val="24"/>
          <w:szCs w:val="24"/>
          <w:lang w:val="en-US"/>
        </w:rPr>
      </w:pPr>
      <w:r w:rsidRPr="000C2D61">
        <w:rPr>
          <w:rFonts w:ascii="Times New Roman" w:hAnsi="Times New Roman" w:cs="Times New Roman"/>
          <w:sz w:val="24"/>
          <w:szCs w:val="24"/>
          <w:lang w:val="en-US"/>
        </w:rPr>
        <w:t>Chapter 2 has seen updates to key card amounts and removal of mortgage/charge limit of £100,000 when assessing eligibility for legal aid.</w:t>
      </w:r>
    </w:p>
    <w:p w:rsidR="00E76C12" w:rsidRPr="000C2D61" w:rsidRDefault="00E76C12" w:rsidP="000C2D61">
      <w:pPr>
        <w:pStyle w:val="H3"/>
        <w:spacing w:line="480" w:lineRule="auto"/>
        <w:rPr>
          <w:sz w:val="24"/>
          <w:szCs w:val="24"/>
        </w:rPr>
      </w:pPr>
      <w:r w:rsidRPr="000C2D61">
        <w:rPr>
          <w:sz w:val="24"/>
          <w:szCs w:val="24"/>
        </w:rPr>
        <w:t>2.4.1.4 Income</w:t>
      </w:r>
    </w:p>
    <w:p w:rsidR="00054D49" w:rsidRPr="000C2D61" w:rsidRDefault="00054D49" w:rsidP="000C2D61">
      <w:pPr>
        <w:pStyle w:val="TT"/>
        <w:spacing w:after="120"/>
        <w:jc w:val="both"/>
        <w:rPr>
          <w:sz w:val="24"/>
          <w:szCs w:val="24"/>
          <w:lang w:val="en-GB"/>
        </w:rPr>
      </w:pPr>
      <w:r w:rsidRPr="000C2D61">
        <w:rPr>
          <w:rStyle w:val="TN"/>
          <w:szCs w:val="24"/>
          <w:lang w:val="en-GB"/>
        </w:rPr>
        <w:t xml:space="preserve">Table 2.1 Changes to </w:t>
      </w:r>
      <w:r w:rsidRPr="000C2D61">
        <w:rPr>
          <w:sz w:val="24"/>
          <w:szCs w:val="24"/>
          <w:lang w:val="en-GB"/>
        </w:rPr>
        <w:t>Dependants’ Allowances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801"/>
        <w:gridCol w:w="890"/>
      </w:tblGrid>
      <w:tr w:rsidR="00054D49" w:rsidRPr="000C2D61" w:rsidTr="00054D49">
        <w:tc>
          <w:tcPr>
            <w:tcW w:w="580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rsidR="00054D49" w:rsidRPr="000C2D61" w:rsidRDefault="00054D49">
            <w:pPr>
              <w:pStyle w:val="TB"/>
              <w:spacing w:after="120" w:line="360" w:lineRule="auto"/>
              <w:jc w:val="both"/>
              <w:rPr>
                <w:szCs w:val="24"/>
                <w:lang w:val="en-GB"/>
              </w:rPr>
            </w:pPr>
            <w:r w:rsidRPr="000C2D61">
              <w:rPr>
                <w:szCs w:val="24"/>
                <w:lang w:val="en-GB"/>
              </w:rPr>
              <w:t>Work-related expenses for those receiving a wage or salary</w:t>
            </w:r>
          </w:p>
        </w:tc>
        <w:tc>
          <w:tcPr>
            <w:tcW w:w="89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rsidR="00054D49" w:rsidRPr="000C2D61" w:rsidRDefault="00054D49">
            <w:pPr>
              <w:pStyle w:val="TB"/>
              <w:spacing w:after="120" w:line="360" w:lineRule="auto"/>
              <w:jc w:val="both"/>
              <w:rPr>
                <w:szCs w:val="24"/>
                <w:lang w:val="en-GB"/>
              </w:rPr>
            </w:pPr>
            <w:r w:rsidRPr="000C2D61">
              <w:rPr>
                <w:szCs w:val="24"/>
                <w:lang w:val="en-GB"/>
              </w:rPr>
              <w:t>£45</w:t>
            </w:r>
          </w:p>
        </w:tc>
      </w:tr>
      <w:tr w:rsidR="00054D49" w:rsidRPr="000C2D61" w:rsidTr="00054D49">
        <w:tc>
          <w:tcPr>
            <w:tcW w:w="580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rsidR="00054D49" w:rsidRPr="000C2D61" w:rsidRDefault="00054D49">
            <w:pPr>
              <w:pStyle w:val="TB"/>
              <w:spacing w:after="120" w:line="360" w:lineRule="auto"/>
              <w:jc w:val="both"/>
              <w:rPr>
                <w:szCs w:val="24"/>
                <w:lang w:val="en-GB"/>
              </w:rPr>
            </w:pPr>
            <w:r w:rsidRPr="000C2D61">
              <w:rPr>
                <w:szCs w:val="24"/>
                <w:lang w:val="en-GB"/>
              </w:rPr>
              <w:t>Partner</w:t>
            </w:r>
          </w:p>
        </w:tc>
        <w:tc>
          <w:tcPr>
            <w:tcW w:w="89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rsidR="00054D49" w:rsidRPr="000C2D61" w:rsidRDefault="00054D49">
            <w:pPr>
              <w:pStyle w:val="TB"/>
              <w:spacing w:after="120" w:line="360" w:lineRule="auto"/>
              <w:jc w:val="both"/>
              <w:rPr>
                <w:szCs w:val="24"/>
                <w:lang w:val="en-GB"/>
              </w:rPr>
            </w:pPr>
            <w:r w:rsidRPr="000C2D61">
              <w:rPr>
                <w:szCs w:val="24"/>
                <w:lang w:val="en-GB"/>
              </w:rPr>
              <w:t>£185.54</w:t>
            </w:r>
          </w:p>
        </w:tc>
      </w:tr>
      <w:tr w:rsidR="00054D49" w:rsidRPr="000C2D61" w:rsidTr="00054D49">
        <w:tc>
          <w:tcPr>
            <w:tcW w:w="580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rsidR="00054D49" w:rsidRPr="000C2D61" w:rsidRDefault="00054D49">
            <w:pPr>
              <w:pStyle w:val="TB"/>
              <w:spacing w:after="120" w:line="360" w:lineRule="auto"/>
              <w:jc w:val="both"/>
              <w:rPr>
                <w:szCs w:val="24"/>
                <w:lang w:val="en-GB"/>
              </w:rPr>
            </w:pPr>
            <w:r w:rsidRPr="000C2D61">
              <w:rPr>
                <w:szCs w:val="24"/>
                <w:lang w:val="en-GB"/>
              </w:rPr>
              <w:t>Child aged 15 or under</w:t>
            </w:r>
          </w:p>
        </w:tc>
        <w:tc>
          <w:tcPr>
            <w:tcW w:w="89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rsidR="00054D49" w:rsidRPr="000C2D61" w:rsidRDefault="00054D49">
            <w:pPr>
              <w:pStyle w:val="TB"/>
              <w:spacing w:after="120" w:line="360" w:lineRule="auto"/>
              <w:jc w:val="both"/>
              <w:rPr>
                <w:szCs w:val="24"/>
                <w:lang w:val="en-GB"/>
              </w:rPr>
            </w:pPr>
            <w:r w:rsidRPr="000C2D61">
              <w:rPr>
                <w:szCs w:val="24"/>
                <w:lang w:val="en-GB"/>
              </w:rPr>
              <w:t>£298.08</w:t>
            </w:r>
          </w:p>
        </w:tc>
      </w:tr>
      <w:tr w:rsidR="00054D49" w:rsidRPr="000C2D61" w:rsidTr="00054D49">
        <w:tc>
          <w:tcPr>
            <w:tcW w:w="580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rsidR="00054D49" w:rsidRPr="000C2D61" w:rsidRDefault="00054D49">
            <w:pPr>
              <w:pStyle w:val="TB"/>
              <w:spacing w:after="120" w:line="360" w:lineRule="auto"/>
              <w:jc w:val="both"/>
              <w:rPr>
                <w:szCs w:val="24"/>
                <w:lang w:val="en-GB"/>
              </w:rPr>
            </w:pPr>
            <w:r w:rsidRPr="000C2D61">
              <w:rPr>
                <w:szCs w:val="24"/>
                <w:lang w:val="en-GB"/>
              </w:rPr>
              <w:t>Child aged 16 or over</w:t>
            </w:r>
          </w:p>
        </w:tc>
        <w:tc>
          <w:tcPr>
            <w:tcW w:w="89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rsidR="00054D49" w:rsidRPr="000C2D61" w:rsidRDefault="00054D49">
            <w:pPr>
              <w:pStyle w:val="TB"/>
              <w:spacing w:after="120" w:line="360" w:lineRule="auto"/>
              <w:jc w:val="both"/>
              <w:rPr>
                <w:szCs w:val="24"/>
                <w:lang w:val="en-GB"/>
              </w:rPr>
            </w:pPr>
            <w:r w:rsidRPr="000C2D61">
              <w:rPr>
                <w:szCs w:val="24"/>
                <w:lang w:val="en-GB"/>
              </w:rPr>
              <w:t>£298.08</w:t>
            </w:r>
          </w:p>
        </w:tc>
      </w:tr>
      <w:tr w:rsidR="00054D49" w:rsidRPr="000C2D61" w:rsidTr="00054D49">
        <w:tc>
          <w:tcPr>
            <w:tcW w:w="580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rsidR="00054D49" w:rsidRPr="000C2D61" w:rsidRDefault="00054D49">
            <w:pPr>
              <w:pStyle w:val="TB"/>
              <w:spacing w:after="120" w:line="360" w:lineRule="auto"/>
              <w:jc w:val="both"/>
              <w:rPr>
                <w:szCs w:val="24"/>
                <w:lang w:val="en-GB"/>
              </w:rPr>
            </w:pPr>
            <w:r w:rsidRPr="000C2D61">
              <w:rPr>
                <w:szCs w:val="24"/>
                <w:lang w:val="en-GB"/>
              </w:rPr>
              <w:t>Housing cap (for those without dependants)</w:t>
            </w:r>
          </w:p>
        </w:tc>
        <w:tc>
          <w:tcPr>
            <w:tcW w:w="89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rsidR="00054D49" w:rsidRPr="000C2D61" w:rsidRDefault="00054D49">
            <w:pPr>
              <w:pStyle w:val="TB"/>
              <w:spacing w:after="120" w:line="360" w:lineRule="auto"/>
              <w:jc w:val="both"/>
              <w:rPr>
                <w:szCs w:val="24"/>
                <w:lang w:val="en-GB"/>
              </w:rPr>
            </w:pPr>
            <w:r w:rsidRPr="000C2D61">
              <w:rPr>
                <w:szCs w:val="24"/>
                <w:lang w:val="en-GB"/>
              </w:rPr>
              <w:t>£545.00</w:t>
            </w:r>
          </w:p>
        </w:tc>
      </w:tr>
    </w:tbl>
    <w:p w:rsidR="00054D49" w:rsidRPr="000C2D61" w:rsidRDefault="00054D49">
      <w:pPr>
        <w:rPr>
          <w:rFonts w:ascii="Times New Roman" w:hAnsi="Times New Roman" w:cs="Times New Roman"/>
          <w:sz w:val="24"/>
          <w:szCs w:val="24"/>
          <w:lang w:val="en-US"/>
        </w:rPr>
      </w:pPr>
    </w:p>
    <w:p w:rsidR="00054D49" w:rsidRPr="000C2D61" w:rsidRDefault="00054D49" w:rsidP="000C2D61">
      <w:pPr>
        <w:pStyle w:val="FET"/>
        <w:shd w:val="clear" w:color="auto" w:fill="FFFFFF" w:themeFill="background1"/>
        <w:spacing w:after="120" w:line="480" w:lineRule="auto"/>
        <w:rPr>
          <w:rFonts w:ascii="Times New Roman" w:hAnsi="Times New Roman" w:cs="Times New Roman"/>
          <w:sz w:val="24"/>
          <w:szCs w:val="24"/>
        </w:rPr>
      </w:pPr>
      <w:r w:rsidRPr="000C2D61">
        <w:rPr>
          <w:rFonts w:ascii="Times New Roman" w:hAnsi="Times New Roman" w:cs="Times New Roman"/>
          <w:sz w:val="24"/>
          <w:szCs w:val="24"/>
        </w:rPr>
        <w:t>Example</w:t>
      </w:r>
      <w:r w:rsidR="000C2D61">
        <w:rPr>
          <w:rFonts w:ascii="Times New Roman" w:hAnsi="Times New Roman" w:cs="Times New Roman"/>
          <w:sz w:val="24"/>
          <w:szCs w:val="24"/>
        </w:rPr>
        <w:t>:</w:t>
      </w:r>
    </w:p>
    <w:p w:rsidR="00054D49" w:rsidRPr="000C2D61" w:rsidRDefault="00054D49" w:rsidP="000C2D61">
      <w:pPr>
        <w:pStyle w:val="P"/>
        <w:shd w:val="clear" w:color="auto" w:fill="E7E6E6" w:themeFill="background2"/>
        <w:spacing w:after="120"/>
        <w:rPr>
          <w:szCs w:val="24"/>
          <w:lang w:val="en-GB"/>
        </w:rPr>
      </w:pPr>
      <w:r w:rsidRPr="000C2D61">
        <w:rPr>
          <w:szCs w:val="24"/>
          <w:lang w:val="en-GB"/>
        </w:rPr>
        <w:t>Mary is a single parent with a total gross income of £1,800 per month. She pays £750 in tax, NI, and housing costs. Mary has two children aged less than 15 years old and so will have 2 × £298.08 dependants’ allowances.</w:t>
      </w:r>
    </w:p>
    <w:p w:rsidR="00054D49" w:rsidRPr="000C2D61" w:rsidRDefault="00054D49" w:rsidP="000C2D61">
      <w:pPr>
        <w:pStyle w:val="EQ"/>
        <w:shd w:val="clear" w:color="auto" w:fill="E7E6E6" w:themeFill="background2"/>
        <w:spacing w:before="400" w:after="120"/>
        <w:ind w:left="0"/>
        <w:jc w:val="both"/>
        <w:rPr>
          <w:rFonts w:ascii="Times New Roman" w:hAnsi="Times New Roman" w:cs="Times New Roman"/>
          <w:sz w:val="24"/>
          <w:szCs w:val="24"/>
          <w:lang w:val="en-GB"/>
        </w:rPr>
      </w:pPr>
      <m:oMathPara>
        <m:oMath>
          <m:r>
            <w:rPr>
              <w:rFonts w:ascii="Cambria Math" w:hAnsi="Cambria Math" w:cs="Times New Roman"/>
              <w:sz w:val="24"/>
              <w:szCs w:val="24"/>
              <w:lang w:val="en-GB"/>
            </w:rPr>
            <m:t>£1800-750-(2 × £298.08) = £453.84 </m:t>
          </m:r>
          <m:r>
            <m:rPr>
              <m:nor/>
            </m:rPr>
            <w:rPr>
              <w:rFonts w:ascii="Times New Roman" w:hAnsi="Times New Roman" w:cs="Times New Roman"/>
              <w:sz w:val="24"/>
              <w:szCs w:val="24"/>
              <w:lang w:val="en-GB"/>
            </w:rPr>
            <m:t>disposable income</m:t>
          </m:r>
          <m:r>
            <m:rPr>
              <m:sty m:val="p"/>
            </m:rPr>
            <w:rPr>
              <w:rFonts w:ascii="Cambria Math" w:hAnsi="Cambria Math" w:cs="Times New Roman"/>
              <w:sz w:val="24"/>
              <w:szCs w:val="24"/>
              <w:lang w:val="en-GB"/>
            </w:rPr>
            <m:t>.</m:t>
          </m:r>
        </m:oMath>
      </m:oMathPara>
    </w:p>
    <w:p w:rsidR="00054D49" w:rsidRPr="000C2D61" w:rsidRDefault="00054D49" w:rsidP="000C2D61">
      <w:pPr>
        <w:pStyle w:val="P"/>
        <w:shd w:val="clear" w:color="auto" w:fill="E7E6E6" w:themeFill="background2"/>
        <w:spacing w:after="120"/>
        <w:rPr>
          <w:szCs w:val="24"/>
          <w:lang w:val="en-GB"/>
        </w:rPr>
      </w:pPr>
      <w:r w:rsidRPr="000C2D61">
        <w:rPr>
          <w:szCs w:val="24"/>
          <w:lang w:val="en-GB"/>
        </w:rPr>
        <w:t>Mary has less than £733 disposable income per month and so will be financially eligible for legal help. A higher gross income gap applies with more than four child dependants.</w:t>
      </w:r>
    </w:p>
    <w:p w:rsidR="00E76C12" w:rsidRDefault="00E76C12" w:rsidP="000C2D61">
      <w:pPr>
        <w:spacing w:line="480" w:lineRule="auto"/>
        <w:rPr>
          <w:rFonts w:ascii="Times New Roman" w:hAnsi="Times New Roman" w:cs="Times New Roman"/>
          <w:color w:val="FF0000"/>
          <w:sz w:val="24"/>
          <w:szCs w:val="24"/>
          <w:lang w:val="en-US"/>
        </w:rPr>
      </w:pPr>
    </w:p>
    <w:p w:rsidR="0099210A" w:rsidRDefault="0099210A" w:rsidP="000C2D61">
      <w:pPr>
        <w:spacing w:line="480" w:lineRule="auto"/>
        <w:rPr>
          <w:rFonts w:ascii="Times New Roman" w:hAnsi="Times New Roman" w:cs="Times New Roman"/>
          <w:color w:val="FF0000"/>
          <w:sz w:val="24"/>
          <w:szCs w:val="24"/>
          <w:lang w:val="en-US"/>
        </w:rPr>
      </w:pPr>
    </w:p>
    <w:p w:rsidR="0099210A" w:rsidRPr="000C2D61" w:rsidRDefault="0099210A" w:rsidP="000C2D61">
      <w:pPr>
        <w:spacing w:line="480" w:lineRule="auto"/>
        <w:rPr>
          <w:rFonts w:ascii="Times New Roman" w:hAnsi="Times New Roman" w:cs="Times New Roman"/>
          <w:color w:val="FF0000"/>
          <w:sz w:val="24"/>
          <w:szCs w:val="24"/>
          <w:lang w:val="en-US"/>
        </w:rPr>
      </w:pPr>
    </w:p>
    <w:p w:rsidR="00E76C12" w:rsidRPr="000C2D61" w:rsidRDefault="00E76C12" w:rsidP="000C2D61">
      <w:pPr>
        <w:pStyle w:val="H3"/>
        <w:spacing w:line="480" w:lineRule="auto"/>
        <w:ind w:left="0" w:firstLine="0"/>
        <w:rPr>
          <w:sz w:val="24"/>
          <w:szCs w:val="24"/>
        </w:rPr>
      </w:pPr>
      <w:r w:rsidRPr="000C2D61">
        <w:rPr>
          <w:sz w:val="24"/>
          <w:szCs w:val="24"/>
        </w:rPr>
        <w:lastRenderedPageBreak/>
        <w:t>2.4.1.5 Capital</w:t>
      </w:r>
    </w:p>
    <w:p w:rsidR="00E76C12" w:rsidRPr="000C2D61" w:rsidRDefault="00E76C12" w:rsidP="000C2D61">
      <w:pPr>
        <w:pStyle w:val="P"/>
        <w:spacing w:after="120"/>
        <w:rPr>
          <w:szCs w:val="24"/>
          <w:lang w:val="en-GB"/>
        </w:rPr>
      </w:pPr>
      <w:r w:rsidRPr="000C2D61">
        <w:rPr>
          <w:szCs w:val="24"/>
          <w:lang w:val="en-GB"/>
        </w:rPr>
        <w:t xml:space="preserve">Under the regulations the value of the subject matter of any claim in respect of which a person is seeking funding is required to be left out of account in computing the capital of that person. This situation only applies to capital assets. It is a very important rule in the context of family/matrimonial cases, as often disputed assets are the only assets that the client owns. It means that assets that are being fought over in relation to the dispute for which funding is required, the client’s interest in those assets must not be taken into account when assessing capital. </w:t>
      </w:r>
    </w:p>
    <w:p w:rsidR="00E76C12" w:rsidRPr="000C2D61" w:rsidRDefault="00E76C12" w:rsidP="000C2D61">
      <w:pPr>
        <w:pStyle w:val="P"/>
        <w:spacing w:after="120"/>
        <w:ind w:firstLine="432"/>
        <w:rPr>
          <w:szCs w:val="24"/>
          <w:lang w:val="en-GB"/>
        </w:rPr>
      </w:pPr>
      <w:r w:rsidRPr="000C2D61">
        <w:rPr>
          <w:szCs w:val="24"/>
          <w:lang w:val="en-GB"/>
        </w:rPr>
        <w:t>There used to be a limit of £100,000, however The Civil Legal Aid (Financial Resources and Payment for Services) (Amendment) Regulations 2020, SI 2020/1584 amend the Civil Legal Aid (Financial Resources and Payment for Services) Regulations 2013, SI 2013/480. SI 2020/1584, reg 2(4) amends SI 2013/480, reg 37 to omit the limit of £100,000. The explanatory memorandum to SI 2020/1584 states (at para 2.4) that ‘This will mean that all debt secured on the property will be deducted from the total value of the land when assessing a person’s capital, so that only the equity in the land (main dwelling and other properties) will be assessed as capital in the means test. The purpose of this amendment is to provide a more accurate assessment of a person’s means when assessing eligibility for civil legal aid’.</w:t>
      </w:r>
    </w:p>
    <w:p w:rsidR="00E76C12" w:rsidRPr="000C2D61" w:rsidRDefault="00E76C12" w:rsidP="000C2D61">
      <w:pPr>
        <w:pStyle w:val="PI"/>
        <w:spacing w:after="120"/>
        <w:rPr>
          <w:rFonts w:ascii="Times New Roman" w:hAnsi="Times New Roman" w:cs="Times New Roman"/>
          <w:sz w:val="24"/>
          <w:szCs w:val="24"/>
        </w:rPr>
      </w:pPr>
      <w:r w:rsidRPr="000C2D61">
        <w:rPr>
          <w:rFonts w:ascii="Times New Roman" w:hAnsi="Times New Roman" w:cs="Times New Roman"/>
          <w:sz w:val="24"/>
          <w:szCs w:val="24"/>
        </w:rPr>
        <w:t>Where a client’s main or only dwelling in which he resides is the subject matter of dispute:</w:t>
      </w:r>
    </w:p>
    <w:p w:rsidR="00E76C12" w:rsidRPr="000C2D61" w:rsidRDefault="00E76C12" w:rsidP="000C2D61">
      <w:pPr>
        <w:pStyle w:val="NL"/>
        <w:numPr>
          <w:ilvl w:val="0"/>
          <w:numId w:val="1"/>
        </w:numPr>
        <w:spacing w:after="120"/>
        <w:jc w:val="both"/>
        <w:rPr>
          <w:rFonts w:ascii="Times New Roman" w:hAnsi="Times New Roman" w:cs="Times New Roman"/>
          <w:sz w:val="24"/>
          <w:szCs w:val="24"/>
        </w:rPr>
      </w:pPr>
      <w:r w:rsidRPr="000C2D61">
        <w:rPr>
          <w:rFonts w:ascii="Times New Roman" w:hAnsi="Times New Roman" w:cs="Times New Roman"/>
          <w:sz w:val="24"/>
          <w:szCs w:val="24"/>
        </w:rPr>
        <w:t>the property should be valued at the amount for which it could be sold on the open market;</w:t>
      </w:r>
    </w:p>
    <w:p w:rsidR="00E76C12" w:rsidRPr="000C2D61" w:rsidRDefault="00E76C12" w:rsidP="000C2D61">
      <w:pPr>
        <w:pStyle w:val="NL"/>
        <w:numPr>
          <w:ilvl w:val="0"/>
          <w:numId w:val="1"/>
        </w:numPr>
        <w:spacing w:after="120"/>
        <w:jc w:val="both"/>
        <w:rPr>
          <w:rFonts w:ascii="Times New Roman" w:hAnsi="Times New Roman" w:cs="Times New Roman"/>
          <w:sz w:val="24"/>
          <w:szCs w:val="24"/>
        </w:rPr>
      </w:pPr>
      <w:r w:rsidRPr="000C2D61">
        <w:rPr>
          <w:rFonts w:ascii="Times New Roman" w:hAnsi="Times New Roman" w:cs="Times New Roman"/>
          <w:sz w:val="24"/>
          <w:szCs w:val="24"/>
        </w:rPr>
        <w:t>the amount of any mortgage or charge registered on the property must be deducted and there is no maximum amount that can be deducted for such a mortgage or charge; and</w:t>
      </w:r>
    </w:p>
    <w:p w:rsidR="00E76C12" w:rsidRPr="000C2D61" w:rsidRDefault="00E76C12" w:rsidP="000C2D61">
      <w:pPr>
        <w:pStyle w:val="NL"/>
        <w:numPr>
          <w:ilvl w:val="0"/>
          <w:numId w:val="1"/>
        </w:numPr>
        <w:spacing w:after="120"/>
        <w:jc w:val="both"/>
        <w:rPr>
          <w:rFonts w:ascii="Times New Roman" w:hAnsi="Times New Roman" w:cs="Times New Roman"/>
          <w:sz w:val="24"/>
          <w:szCs w:val="24"/>
        </w:rPr>
      </w:pPr>
      <w:r w:rsidRPr="000C2D61">
        <w:rPr>
          <w:rFonts w:ascii="Times New Roman" w:hAnsi="Times New Roman" w:cs="Times New Roman"/>
          <w:sz w:val="24"/>
          <w:szCs w:val="24"/>
        </w:rPr>
        <w:lastRenderedPageBreak/>
        <w:t>the first £100,000 of the value of the client’s interest after making the above mortgage deduction must be disregarded (known as the ‘equity disregard’).</w:t>
      </w:r>
    </w:p>
    <w:p w:rsidR="00E76C12" w:rsidRPr="000C2D61" w:rsidRDefault="00E76C12" w:rsidP="000C2D61">
      <w:pPr>
        <w:pStyle w:val="FET"/>
        <w:shd w:val="clear" w:color="auto" w:fill="FFFFFF" w:themeFill="background1"/>
        <w:spacing w:after="120" w:line="480" w:lineRule="auto"/>
        <w:rPr>
          <w:rFonts w:ascii="Times New Roman" w:hAnsi="Times New Roman" w:cs="Times New Roman"/>
          <w:sz w:val="24"/>
          <w:szCs w:val="24"/>
        </w:rPr>
      </w:pPr>
      <w:r w:rsidRPr="000C2D61">
        <w:rPr>
          <w:rFonts w:ascii="Times New Roman" w:hAnsi="Times New Roman" w:cs="Times New Roman"/>
          <w:sz w:val="24"/>
          <w:szCs w:val="24"/>
        </w:rPr>
        <w:t>Example:</w:t>
      </w:r>
    </w:p>
    <w:p w:rsidR="00E76C12" w:rsidRPr="000C2D61" w:rsidRDefault="00E76C12" w:rsidP="000C2D61">
      <w:pPr>
        <w:pStyle w:val="P"/>
        <w:shd w:val="clear" w:color="auto" w:fill="E7E6E6" w:themeFill="background2"/>
        <w:spacing w:after="120"/>
        <w:rPr>
          <w:szCs w:val="24"/>
          <w:lang w:val="en-GB"/>
        </w:rPr>
      </w:pPr>
      <w:r w:rsidRPr="000C2D61">
        <w:rPr>
          <w:szCs w:val="24"/>
          <w:lang w:val="en-GB"/>
        </w:rPr>
        <w:t>The applicant has a home worth £305,000 and the mortgage is £200,000.</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410"/>
        <w:gridCol w:w="1010"/>
      </w:tblGrid>
      <w:tr w:rsidR="00E76C12" w:rsidRPr="000C2D61" w:rsidTr="00D716B3">
        <w:tc>
          <w:tcPr>
            <w:tcW w:w="6410" w:type="dxa"/>
            <w:tcMar>
              <w:top w:w="40" w:type="dxa"/>
              <w:left w:w="40" w:type="dxa"/>
              <w:bottom w:w="40" w:type="dxa"/>
              <w:right w:w="40" w:type="dxa"/>
            </w:tcMar>
          </w:tcPr>
          <w:p w:rsidR="00E76C12" w:rsidRPr="000C2D61" w:rsidRDefault="00E76C12" w:rsidP="000C2D61">
            <w:pPr>
              <w:pStyle w:val="TB"/>
              <w:shd w:val="clear" w:color="auto" w:fill="E7E6E6" w:themeFill="background2"/>
              <w:spacing w:after="120" w:line="360" w:lineRule="auto"/>
              <w:jc w:val="both"/>
              <w:rPr>
                <w:szCs w:val="24"/>
                <w:lang w:val="en-GB"/>
              </w:rPr>
            </w:pPr>
            <w:r w:rsidRPr="000C2D61">
              <w:rPr>
                <w:szCs w:val="24"/>
                <w:lang w:val="en-GB"/>
              </w:rPr>
              <w:t>Value of home:</w:t>
            </w:r>
          </w:p>
        </w:tc>
        <w:tc>
          <w:tcPr>
            <w:tcW w:w="1010" w:type="dxa"/>
            <w:tcMar>
              <w:top w:w="40" w:type="dxa"/>
              <w:left w:w="40" w:type="dxa"/>
              <w:bottom w:w="40" w:type="dxa"/>
              <w:right w:w="40" w:type="dxa"/>
            </w:tcMar>
          </w:tcPr>
          <w:p w:rsidR="00E76C12" w:rsidRPr="000C2D61" w:rsidRDefault="00E76C12" w:rsidP="000C2D61">
            <w:pPr>
              <w:pStyle w:val="TB"/>
              <w:shd w:val="clear" w:color="auto" w:fill="E7E6E6" w:themeFill="background2"/>
              <w:spacing w:after="120" w:line="360" w:lineRule="auto"/>
              <w:jc w:val="both"/>
              <w:rPr>
                <w:szCs w:val="24"/>
                <w:lang w:val="en-GB"/>
              </w:rPr>
            </w:pPr>
            <w:r w:rsidRPr="000C2D61">
              <w:rPr>
                <w:szCs w:val="24"/>
                <w:lang w:val="en-GB"/>
              </w:rPr>
              <w:t>£305,000</w:t>
            </w:r>
          </w:p>
        </w:tc>
      </w:tr>
      <w:tr w:rsidR="00E76C12" w:rsidRPr="000C2D61" w:rsidTr="00D716B3">
        <w:tc>
          <w:tcPr>
            <w:tcW w:w="6410" w:type="dxa"/>
            <w:tcMar>
              <w:top w:w="40" w:type="dxa"/>
              <w:left w:w="40" w:type="dxa"/>
              <w:bottom w:w="40" w:type="dxa"/>
              <w:right w:w="40" w:type="dxa"/>
            </w:tcMar>
          </w:tcPr>
          <w:p w:rsidR="00E76C12" w:rsidRPr="000C2D61" w:rsidRDefault="00E76C12" w:rsidP="000C2D61">
            <w:pPr>
              <w:pStyle w:val="TB"/>
              <w:shd w:val="clear" w:color="auto" w:fill="E7E6E6" w:themeFill="background2"/>
              <w:spacing w:after="120" w:line="360" w:lineRule="auto"/>
              <w:jc w:val="both"/>
              <w:rPr>
                <w:szCs w:val="24"/>
                <w:lang w:val="en-GB"/>
              </w:rPr>
            </w:pPr>
            <w:r w:rsidRPr="000C2D61">
              <w:rPr>
                <w:szCs w:val="24"/>
                <w:lang w:val="en-GB"/>
              </w:rPr>
              <w:t>Deduct mortgage:</w:t>
            </w:r>
          </w:p>
        </w:tc>
        <w:tc>
          <w:tcPr>
            <w:tcW w:w="1010" w:type="dxa"/>
            <w:tcMar>
              <w:top w:w="40" w:type="dxa"/>
              <w:left w:w="40" w:type="dxa"/>
              <w:bottom w:w="40" w:type="dxa"/>
              <w:right w:w="40" w:type="dxa"/>
            </w:tcMar>
          </w:tcPr>
          <w:p w:rsidR="00E76C12" w:rsidRPr="000C2D61" w:rsidRDefault="00E76C12" w:rsidP="000C2D61">
            <w:pPr>
              <w:pStyle w:val="TB"/>
              <w:shd w:val="clear" w:color="auto" w:fill="E7E6E6" w:themeFill="background2"/>
              <w:spacing w:after="120" w:line="360" w:lineRule="auto"/>
              <w:jc w:val="both"/>
              <w:rPr>
                <w:szCs w:val="24"/>
                <w:lang w:val="en-GB"/>
              </w:rPr>
            </w:pPr>
            <w:r w:rsidRPr="000C2D61">
              <w:rPr>
                <w:szCs w:val="24"/>
                <w:lang w:val="en-GB"/>
              </w:rPr>
              <w:t>£200,000</w:t>
            </w:r>
          </w:p>
        </w:tc>
      </w:tr>
      <w:tr w:rsidR="00E76C12" w:rsidRPr="000C2D61" w:rsidTr="00D716B3">
        <w:tc>
          <w:tcPr>
            <w:tcW w:w="6410" w:type="dxa"/>
            <w:tcMar>
              <w:top w:w="40" w:type="dxa"/>
              <w:left w:w="40" w:type="dxa"/>
              <w:bottom w:w="40" w:type="dxa"/>
              <w:right w:w="40" w:type="dxa"/>
            </w:tcMar>
          </w:tcPr>
          <w:p w:rsidR="00E76C12" w:rsidRPr="000C2D61" w:rsidRDefault="00E76C12" w:rsidP="000C2D61">
            <w:pPr>
              <w:pStyle w:val="TB"/>
              <w:shd w:val="clear" w:color="auto" w:fill="E7E6E6" w:themeFill="background2"/>
              <w:spacing w:after="120" w:line="360" w:lineRule="auto"/>
              <w:jc w:val="both"/>
              <w:rPr>
                <w:szCs w:val="24"/>
                <w:lang w:val="en-GB"/>
              </w:rPr>
            </w:pPr>
            <w:r w:rsidRPr="000C2D61">
              <w:rPr>
                <w:szCs w:val="24"/>
                <w:lang w:val="en-GB"/>
              </w:rPr>
              <w:t>Deduct equity disregard:</w:t>
            </w:r>
          </w:p>
        </w:tc>
        <w:tc>
          <w:tcPr>
            <w:tcW w:w="1010" w:type="dxa"/>
            <w:tcMar>
              <w:top w:w="40" w:type="dxa"/>
              <w:left w:w="40" w:type="dxa"/>
              <w:bottom w:w="40" w:type="dxa"/>
              <w:right w:w="40" w:type="dxa"/>
            </w:tcMar>
          </w:tcPr>
          <w:p w:rsidR="00E76C12" w:rsidRPr="000C2D61" w:rsidRDefault="00E76C12" w:rsidP="000C2D61">
            <w:pPr>
              <w:pStyle w:val="TB"/>
              <w:shd w:val="clear" w:color="auto" w:fill="E7E6E6" w:themeFill="background2"/>
              <w:spacing w:after="120" w:line="360" w:lineRule="auto"/>
              <w:jc w:val="both"/>
              <w:rPr>
                <w:szCs w:val="24"/>
                <w:lang w:val="en-GB"/>
              </w:rPr>
            </w:pPr>
            <w:r w:rsidRPr="000C2D61">
              <w:rPr>
                <w:szCs w:val="24"/>
                <w:lang w:val="en-GB"/>
              </w:rPr>
              <w:t>£100,000</w:t>
            </w:r>
          </w:p>
        </w:tc>
      </w:tr>
      <w:tr w:rsidR="00E76C12" w:rsidRPr="000C2D61" w:rsidTr="00D716B3">
        <w:tc>
          <w:tcPr>
            <w:tcW w:w="6410" w:type="dxa"/>
            <w:tcMar>
              <w:top w:w="40" w:type="dxa"/>
              <w:left w:w="40" w:type="dxa"/>
              <w:bottom w:w="40" w:type="dxa"/>
              <w:right w:w="40" w:type="dxa"/>
            </w:tcMar>
          </w:tcPr>
          <w:p w:rsidR="00E76C12" w:rsidRPr="000C2D61" w:rsidRDefault="00E76C12" w:rsidP="000C2D61">
            <w:pPr>
              <w:pStyle w:val="TB"/>
              <w:shd w:val="clear" w:color="auto" w:fill="E7E6E6" w:themeFill="background2"/>
              <w:spacing w:after="120" w:line="360" w:lineRule="auto"/>
              <w:jc w:val="both"/>
              <w:rPr>
                <w:szCs w:val="24"/>
                <w:lang w:val="en-GB"/>
              </w:rPr>
            </w:pPr>
            <w:r w:rsidRPr="000C2D61">
              <w:rPr>
                <w:szCs w:val="24"/>
                <w:lang w:val="en-GB"/>
              </w:rPr>
              <w:t>Amount to be taken into account in assessing financial eligibility:</w:t>
            </w:r>
          </w:p>
        </w:tc>
        <w:tc>
          <w:tcPr>
            <w:tcW w:w="1010" w:type="dxa"/>
            <w:tcMar>
              <w:top w:w="40" w:type="dxa"/>
              <w:left w:w="40" w:type="dxa"/>
              <w:bottom w:w="40" w:type="dxa"/>
              <w:right w:w="40" w:type="dxa"/>
            </w:tcMar>
          </w:tcPr>
          <w:p w:rsidR="00E76C12" w:rsidRPr="000C2D61" w:rsidRDefault="00E76C12" w:rsidP="000C2D61">
            <w:pPr>
              <w:pStyle w:val="TB"/>
              <w:shd w:val="clear" w:color="auto" w:fill="E7E6E6" w:themeFill="background2"/>
              <w:spacing w:after="120" w:line="360" w:lineRule="auto"/>
              <w:jc w:val="both"/>
              <w:rPr>
                <w:szCs w:val="24"/>
                <w:lang w:val="en-GB"/>
              </w:rPr>
            </w:pPr>
            <w:r w:rsidRPr="000C2D61">
              <w:rPr>
                <w:szCs w:val="24"/>
                <w:lang w:val="en-GB"/>
              </w:rPr>
              <w:t>£5,000</w:t>
            </w:r>
          </w:p>
        </w:tc>
      </w:tr>
      <w:tr w:rsidR="00E76C12" w:rsidRPr="000C2D61" w:rsidTr="00D716B3">
        <w:tc>
          <w:tcPr>
            <w:tcW w:w="6410" w:type="dxa"/>
            <w:tcMar>
              <w:top w:w="40" w:type="dxa"/>
              <w:left w:w="40" w:type="dxa"/>
              <w:bottom w:w="40" w:type="dxa"/>
              <w:right w:w="40" w:type="dxa"/>
            </w:tcMar>
          </w:tcPr>
          <w:p w:rsidR="00E76C12" w:rsidRPr="000C2D61" w:rsidRDefault="00E76C12" w:rsidP="000C2D61">
            <w:pPr>
              <w:pStyle w:val="TB"/>
              <w:shd w:val="clear" w:color="auto" w:fill="E7E6E6" w:themeFill="background2"/>
              <w:spacing w:after="120" w:line="360" w:lineRule="auto"/>
              <w:jc w:val="both"/>
              <w:rPr>
                <w:szCs w:val="24"/>
                <w:lang w:val="en-GB"/>
              </w:rPr>
            </w:pPr>
            <w:r w:rsidRPr="000C2D61">
              <w:rPr>
                <w:szCs w:val="24"/>
                <w:lang w:val="en-GB"/>
              </w:rPr>
              <w:t>In this example the client is eligible.</w:t>
            </w:r>
          </w:p>
        </w:tc>
        <w:tc>
          <w:tcPr>
            <w:tcW w:w="1010" w:type="dxa"/>
            <w:tcMar>
              <w:top w:w="40" w:type="dxa"/>
              <w:left w:w="40" w:type="dxa"/>
              <w:bottom w:w="40" w:type="dxa"/>
              <w:right w:w="40" w:type="dxa"/>
            </w:tcMar>
          </w:tcPr>
          <w:p w:rsidR="00E76C12" w:rsidRPr="000C2D61" w:rsidRDefault="00E76C12" w:rsidP="000C2D61">
            <w:pPr>
              <w:shd w:val="clear" w:color="auto" w:fill="E7E6E6" w:themeFill="background2"/>
              <w:spacing w:after="120" w:line="360" w:lineRule="auto"/>
              <w:rPr>
                <w:rFonts w:ascii="Times New Roman" w:hAnsi="Times New Roman" w:cs="Times New Roman"/>
                <w:sz w:val="24"/>
                <w:szCs w:val="24"/>
              </w:rPr>
            </w:pPr>
          </w:p>
        </w:tc>
      </w:tr>
    </w:tbl>
    <w:p w:rsidR="00E76C12" w:rsidRPr="000C2D61" w:rsidRDefault="00E76C12" w:rsidP="000C2D61">
      <w:pPr>
        <w:pStyle w:val="P"/>
        <w:shd w:val="clear" w:color="auto" w:fill="E7E6E6" w:themeFill="background2"/>
        <w:spacing w:after="120" w:line="360" w:lineRule="auto"/>
        <w:rPr>
          <w:szCs w:val="24"/>
          <w:lang w:val="en-GB"/>
        </w:rPr>
      </w:pPr>
      <w:r w:rsidRPr="000C2D61">
        <w:rPr>
          <w:szCs w:val="24"/>
          <w:lang w:val="en-GB"/>
        </w:rPr>
        <w:t>(Example based on the Funding Code)</w:t>
      </w:r>
    </w:p>
    <w:sectPr w:rsidR="00E76C12" w:rsidRPr="000C2D6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D49" w:rsidRDefault="00054D49" w:rsidP="00054D49">
      <w:pPr>
        <w:spacing w:after="0" w:line="240" w:lineRule="auto"/>
      </w:pPr>
      <w:r>
        <w:separator/>
      </w:r>
    </w:p>
  </w:endnote>
  <w:endnote w:type="continuationSeparator" w:id="0">
    <w:p w:rsidR="00054D49" w:rsidRDefault="00054D49" w:rsidP="0005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10A" w:rsidRDefault="00992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10A" w:rsidRPr="00934EE1" w:rsidRDefault="0099210A" w:rsidP="0099210A">
    <w:pPr>
      <w:pStyle w:val="Footer"/>
      <w:rPr>
        <w:rFonts w:ascii="Times New Roman" w:hAnsi="Times New Roman" w:cs="Times New Roman"/>
        <w:sz w:val="20"/>
        <w:lang w:val="en-US"/>
      </w:rPr>
    </w:pPr>
    <w:bookmarkStart w:id="1" w:name="_Hlk84927753"/>
    <w:bookmarkStart w:id="2" w:name="_Hlk84927754"/>
    <w:r w:rsidRPr="00934EE1">
      <w:rPr>
        <w:rFonts w:ascii="Times New Roman" w:hAnsi="Times New Roman" w:cs="Times New Roman"/>
        <w:sz w:val="20"/>
        <w:lang w:val="en-US"/>
      </w:rPr>
      <w:t xml:space="preserve">Hodgson, </w:t>
    </w:r>
    <w:r w:rsidRPr="00934EE1">
      <w:rPr>
        <w:rFonts w:ascii="Times New Roman" w:hAnsi="Times New Roman" w:cs="Times New Roman"/>
        <w:i/>
        <w:sz w:val="20"/>
        <w:lang w:val="en-US"/>
      </w:rPr>
      <w:t>Family Law</w:t>
    </w:r>
    <w:r w:rsidRPr="00934EE1">
      <w:rPr>
        <w:rFonts w:ascii="Times New Roman" w:hAnsi="Times New Roman" w:cs="Times New Roman"/>
        <w:sz w:val="20"/>
        <w:lang w:val="en-US"/>
      </w:rPr>
      <w:t xml:space="preserve"> 12e updates</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10A" w:rsidRDefault="00992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D49" w:rsidRDefault="00054D49" w:rsidP="00054D49">
      <w:pPr>
        <w:spacing w:after="0" w:line="240" w:lineRule="auto"/>
      </w:pPr>
      <w:r>
        <w:separator/>
      </w:r>
    </w:p>
  </w:footnote>
  <w:footnote w:type="continuationSeparator" w:id="0">
    <w:p w:rsidR="00054D49" w:rsidRDefault="00054D49" w:rsidP="00054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10A" w:rsidRDefault="00992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10A" w:rsidRPr="0081262C" w:rsidRDefault="0099210A" w:rsidP="0099210A">
    <w:pPr>
      <w:pStyle w:val="Header"/>
      <w:jc w:val="center"/>
      <w:rPr>
        <w:rFonts w:ascii="Times New Roman" w:hAnsi="Times New Roman" w:cs="Times New Roman"/>
        <w:sz w:val="20"/>
        <w:lang w:val="en-US"/>
      </w:rPr>
    </w:pPr>
    <w:r w:rsidRPr="0081262C">
      <w:rPr>
        <w:rFonts w:ascii="Times New Roman" w:hAnsi="Times New Roman" w:cs="Times New Roman"/>
        <w:sz w:val="20"/>
        <w:lang w:val="en-US"/>
      </w:rPr>
      <w:t>© Oxford University Press 2021</w:t>
    </w:r>
  </w:p>
  <w:p w:rsidR="0099210A" w:rsidRDefault="00992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10A" w:rsidRDefault="00992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E4"/>
    <w:multiLevelType w:val="singleLevel"/>
    <w:tmpl w:val="3EBABEE4"/>
    <w:lvl w:ilvl="0">
      <w:start w:val="1"/>
      <w:numFmt w:val="decimal"/>
      <w:lvlText w:val="%1."/>
      <w:lvlJc w:val="left"/>
      <w:rPr>
        <w:rFonts w:ascii="Times New Roman" w:eastAsiaTheme="minorHAnsi" w:hAnsi="Times New Roman" w:cs="Times New Roman"/>
        <w:color w:val="00000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49"/>
    <w:rsid w:val="00054D49"/>
    <w:rsid w:val="000C2D61"/>
    <w:rsid w:val="007E49E8"/>
    <w:rsid w:val="0099210A"/>
    <w:rsid w:val="00E76C12"/>
    <w:rsid w:val="00E87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2495CB"/>
  <w15:chartTrackingRefBased/>
  <w15:docId w15:val="{341C8F49-6886-4B86-B4FF-0CDC87FB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
    <w:name w:val="TB"/>
    <w:next w:val="Normal"/>
    <w:rsid w:val="00054D49"/>
    <w:pPr>
      <w:spacing w:after="0" w:line="480" w:lineRule="auto"/>
    </w:pPr>
    <w:rPr>
      <w:rFonts w:ascii="Times New Roman" w:eastAsia="Times New Roman" w:hAnsi="Times New Roman" w:cs="Times New Roman"/>
      <w:sz w:val="24"/>
      <w:szCs w:val="20"/>
      <w:lang w:val="en-US"/>
    </w:rPr>
  </w:style>
  <w:style w:type="paragraph" w:customStyle="1" w:styleId="TT">
    <w:name w:val="TT"/>
    <w:next w:val="Normal"/>
    <w:autoRedefine/>
    <w:rsid w:val="00054D49"/>
    <w:pPr>
      <w:spacing w:before="120" w:after="60" w:line="480" w:lineRule="auto"/>
    </w:pPr>
    <w:rPr>
      <w:rFonts w:ascii="Times New Roman" w:eastAsia="Times New Roman" w:hAnsi="Times New Roman" w:cs="Times New Roman"/>
      <w:sz w:val="26"/>
      <w:szCs w:val="26"/>
      <w:lang w:val="en-US"/>
    </w:rPr>
  </w:style>
  <w:style w:type="character" w:customStyle="1" w:styleId="TN">
    <w:name w:val="TN"/>
    <w:qFormat/>
    <w:rsid w:val="00054D49"/>
    <w:rPr>
      <w:rFonts w:ascii="Times New Roman" w:hAnsi="Times New Roman" w:cs="Times New Roman" w:hint="default"/>
      <w:b w:val="0"/>
      <w:bCs w:val="0"/>
      <w:i w:val="0"/>
      <w:iCs w:val="0"/>
      <w:smallCaps w:val="0"/>
      <w:strike w:val="0"/>
      <w:dstrike w:val="0"/>
      <w:color w:val="000000"/>
      <w:sz w:val="24"/>
      <w:u w:val="none"/>
      <w:effect w:val="none"/>
      <w:vertAlign w:val="baseline"/>
    </w:rPr>
  </w:style>
  <w:style w:type="paragraph" w:customStyle="1" w:styleId="EQ">
    <w:name w:val="EQ"/>
    <w:basedOn w:val="Normal"/>
    <w:link w:val="EQChar"/>
    <w:rsid w:val="00054D49"/>
    <w:pPr>
      <w:spacing w:line="480" w:lineRule="auto"/>
      <w:ind w:left="360"/>
    </w:pPr>
    <w:rPr>
      <w:lang w:val="x-none" w:eastAsia="x-none"/>
    </w:rPr>
  </w:style>
  <w:style w:type="paragraph" w:customStyle="1" w:styleId="FET">
    <w:name w:val="FET"/>
    <w:basedOn w:val="Normal"/>
    <w:rsid w:val="00054D49"/>
  </w:style>
  <w:style w:type="paragraph" w:customStyle="1" w:styleId="P">
    <w:name w:val="P"/>
    <w:next w:val="Normal"/>
    <w:link w:val="PChar"/>
    <w:qFormat/>
    <w:rsid w:val="00054D49"/>
    <w:pPr>
      <w:spacing w:before="120" w:after="0" w:line="480" w:lineRule="auto"/>
    </w:pPr>
    <w:rPr>
      <w:rFonts w:ascii="Times New Roman" w:eastAsia="Times New Roman" w:hAnsi="Times New Roman" w:cs="Times New Roman"/>
      <w:sz w:val="24"/>
      <w:szCs w:val="20"/>
      <w:lang w:val="en-IN" w:eastAsia="en-IN"/>
    </w:rPr>
  </w:style>
  <w:style w:type="character" w:customStyle="1" w:styleId="PChar">
    <w:name w:val="P Char"/>
    <w:link w:val="P"/>
    <w:rsid w:val="00054D49"/>
    <w:rPr>
      <w:rFonts w:ascii="Times New Roman" w:eastAsia="Times New Roman" w:hAnsi="Times New Roman" w:cs="Times New Roman"/>
      <w:sz w:val="24"/>
      <w:szCs w:val="20"/>
      <w:lang w:val="en-IN" w:eastAsia="en-IN"/>
    </w:rPr>
  </w:style>
  <w:style w:type="character" w:customStyle="1" w:styleId="EQChar">
    <w:name w:val="EQ Char"/>
    <w:link w:val="EQ"/>
    <w:rsid w:val="00054D49"/>
    <w:rPr>
      <w:lang w:val="x-none" w:eastAsia="x-none"/>
    </w:rPr>
  </w:style>
  <w:style w:type="paragraph" w:customStyle="1" w:styleId="FT5Close">
    <w:name w:val="FT5 Close"/>
    <w:rsid w:val="00E76C12"/>
    <w:pPr>
      <w:pBdr>
        <w:bottom w:val="single" w:sz="24" w:space="1" w:color="FF00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FT5Open">
    <w:name w:val="FT5 Open"/>
    <w:rsid w:val="00E76C12"/>
    <w:pPr>
      <w:pBdr>
        <w:top w:val="single" w:sz="24" w:space="1" w:color="FF00FF"/>
      </w:pBdr>
      <w:shd w:val="clear" w:color="auto" w:fill="E6E6E6"/>
      <w:spacing w:after="0" w:line="240" w:lineRule="auto"/>
    </w:pPr>
    <w:rPr>
      <w:rFonts w:ascii="Times New Roman" w:eastAsia="Times New Roman" w:hAnsi="Times New Roman" w:cs="Times New Roman"/>
      <w:sz w:val="24"/>
      <w:szCs w:val="24"/>
      <w:lang w:val="en-US"/>
    </w:rPr>
  </w:style>
  <w:style w:type="paragraph" w:customStyle="1" w:styleId="NL">
    <w:name w:val="NL"/>
    <w:basedOn w:val="Normal"/>
    <w:rsid w:val="00E76C12"/>
    <w:pPr>
      <w:tabs>
        <w:tab w:val="left" w:pos="720"/>
        <w:tab w:val="left" w:pos="1440"/>
      </w:tabs>
      <w:spacing w:before="60" w:after="60" w:line="480" w:lineRule="auto"/>
    </w:pPr>
    <w:rPr>
      <w:szCs w:val="20"/>
    </w:rPr>
  </w:style>
  <w:style w:type="paragraph" w:customStyle="1" w:styleId="PI">
    <w:name w:val="PI"/>
    <w:basedOn w:val="Normal"/>
    <w:rsid w:val="00E76C12"/>
    <w:pPr>
      <w:spacing w:line="480" w:lineRule="auto"/>
      <w:ind w:firstLine="432"/>
    </w:pPr>
  </w:style>
  <w:style w:type="paragraph" w:customStyle="1" w:styleId="H3">
    <w:name w:val="H3"/>
    <w:next w:val="P"/>
    <w:autoRedefine/>
    <w:rsid w:val="00E76C12"/>
    <w:pPr>
      <w:spacing w:before="300" w:after="120" w:line="360" w:lineRule="auto"/>
      <w:ind w:left="576" w:hanging="576"/>
      <w:jc w:val="both"/>
      <w:outlineLvl w:val="2"/>
    </w:pPr>
    <w:rPr>
      <w:rFonts w:ascii="Times New Roman" w:eastAsia="Times New Roman" w:hAnsi="Times New Roman" w:cs="Times New Roman"/>
      <w:b/>
      <w:sz w:val="36"/>
      <w:szCs w:val="36"/>
    </w:rPr>
  </w:style>
  <w:style w:type="paragraph" w:styleId="Header">
    <w:name w:val="header"/>
    <w:basedOn w:val="Normal"/>
    <w:link w:val="HeaderChar"/>
    <w:uiPriority w:val="99"/>
    <w:unhideWhenUsed/>
    <w:rsid w:val="00992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10A"/>
  </w:style>
  <w:style w:type="paragraph" w:styleId="Footer">
    <w:name w:val="footer"/>
    <w:basedOn w:val="Normal"/>
    <w:link w:val="FooterChar"/>
    <w:uiPriority w:val="99"/>
    <w:unhideWhenUsed/>
    <w:rsid w:val="00992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40477">
      <w:bodyDiv w:val="1"/>
      <w:marLeft w:val="0"/>
      <w:marRight w:val="0"/>
      <w:marTop w:val="0"/>
      <w:marBottom w:val="0"/>
      <w:divBdr>
        <w:top w:val="none" w:sz="0" w:space="0" w:color="auto"/>
        <w:left w:val="none" w:sz="0" w:space="0" w:color="auto"/>
        <w:bottom w:val="none" w:sz="0" w:space="0" w:color="auto"/>
        <w:right w:val="none" w:sz="0" w:space="0" w:color="auto"/>
      </w:divBdr>
    </w:div>
    <w:div w:id="27906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MERRICK, Hayden</dc:creator>
  <cp:keywords/>
  <dc:description/>
  <cp:lastModifiedBy>MERRICK, Hayden</cp:lastModifiedBy>
  <cp:revision>5</cp:revision>
  <dcterms:created xsi:type="dcterms:W3CDTF">2021-10-11T13:44:00Z</dcterms:created>
  <dcterms:modified xsi:type="dcterms:W3CDTF">2021-10-12T10:19:00Z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2021-10-11T13:47:39Z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f9c4f310-dd20-416b-b671-0000f8dfb1e3</vt:lpwstr>
  </property>
  <property fmtid="{D5CDD505-2E9C-101B-9397-08002B2CF9AE}" pid="8" name="MSIP_Label_be5cb09a-2992-49d6-8ac9-5f63e7b1ad2f_ContentBits">
    <vt:lpwstr>0</vt:lpwstr>
  </property>
</Properties>
</file>