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0F" w:rsidRDefault="00BA070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A070F" w:rsidRDefault="00BA070F">
      <w:pPr>
        <w:pStyle w:val="BodyText"/>
        <w:rPr>
          <w:rFonts w:ascii="Times New Roman"/>
          <w:sz w:val="20"/>
        </w:rPr>
      </w:pPr>
    </w:p>
    <w:p w:rsidR="00BA070F" w:rsidRDefault="00BA070F">
      <w:pPr>
        <w:pStyle w:val="BodyText"/>
        <w:rPr>
          <w:rFonts w:ascii="Times New Roman"/>
          <w:sz w:val="20"/>
        </w:rPr>
      </w:pPr>
    </w:p>
    <w:p w:rsidR="00BA070F" w:rsidRDefault="00BA070F">
      <w:pPr>
        <w:pStyle w:val="BodyText"/>
        <w:rPr>
          <w:rFonts w:ascii="Times New Roman"/>
          <w:sz w:val="20"/>
        </w:rPr>
      </w:pPr>
    </w:p>
    <w:p w:rsidR="00BA070F" w:rsidRDefault="00BA070F">
      <w:pPr>
        <w:pStyle w:val="BodyText"/>
        <w:rPr>
          <w:rFonts w:ascii="Times New Roman"/>
          <w:sz w:val="20"/>
        </w:rPr>
      </w:pPr>
    </w:p>
    <w:p w:rsidR="00BA070F" w:rsidRDefault="00BA070F">
      <w:pPr>
        <w:pStyle w:val="BodyText"/>
        <w:rPr>
          <w:rFonts w:ascii="Times New Roman"/>
          <w:sz w:val="20"/>
        </w:rPr>
      </w:pPr>
    </w:p>
    <w:p w:rsidR="00BA070F" w:rsidRDefault="00BA070F">
      <w:pPr>
        <w:pStyle w:val="BodyText"/>
        <w:rPr>
          <w:rFonts w:ascii="Times New Roman"/>
          <w:sz w:val="20"/>
        </w:rPr>
      </w:pPr>
    </w:p>
    <w:p w:rsidR="00BA070F" w:rsidRDefault="00BA070F">
      <w:pPr>
        <w:pStyle w:val="BodyText"/>
        <w:spacing w:before="4"/>
        <w:rPr>
          <w:rFonts w:ascii="Times New Roman"/>
          <w:sz w:val="20"/>
        </w:rPr>
      </w:pPr>
    </w:p>
    <w:p w:rsidR="00BA070F" w:rsidRDefault="00CB07DC">
      <w:pPr>
        <w:pStyle w:val="Title"/>
        <w:spacing w:line="256" w:lineRule="auto"/>
      </w:pPr>
      <w:r>
        <w:rPr>
          <w:color w:val="77568C"/>
          <w:w w:val="105"/>
        </w:rPr>
        <w:t>Introduction to the</w:t>
      </w:r>
      <w:r>
        <w:rPr>
          <w:color w:val="77568C"/>
          <w:spacing w:val="-179"/>
          <w:w w:val="105"/>
        </w:rPr>
        <w:t xml:space="preserve"> </w:t>
      </w:r>
      <w:r>
        <w:rPr>
          <w:color w:val="77568C"/>
          <w:w w:val="105"/>
        </w:rPr>
        <w:t>tort of negligence:</w:t>
      </w:r>
      <w:r>
        <w:rPr>
          <w:color w:val="77568C"/>
          <w:spacing w:val="-178"/>
          <w:w w:val="105"/>
        </w:rPr>
        <w:t xml:space="preserve"> </w:t>
      </w:r>
      <w:r>
        <w:rPr>
          <w:color w:val="77568C"/>
          <w:w w:val="105"/>
        </w:rPr>
        <w:t>putting</w:t>
      </w:r>
      <w:r>
        <w:rPr>
          <w:color w:val="77568C"/>
          <w:spacing w:val="-7"/>
          <w:w w:val="105"/>
        </w:rPr>
        <w:t xml:space="preserve"> </w:t>
      </w:r>
      <w:r>
        <w:rPr>
          <w:color w:val="77568C"/>
          <w:w w:val="105"/>
        </w:rPr>
        <w:t>it</w:t>
      </w:r>
      <w:r>
        <w:rPr>
          <w:color w:val="77568C"/>
          <w:spacing w:val="-7"/>
          <w:w w:val="105"/>
        </w:rPr>
        <w:t xml:space="preserve"> </w:t>
      </w:r>
      <w:r>
        <w:rPr>
          <w:color w:val="77568C"/>
          <w:w w:val="105"/>
        </w:rPr>
        <w:t>together</w:t>
      </w:r>
    </w:p>
    <w:p w:rsidR="00BA070F" w:rsidRDefault="00CB07DC">
      <w:pPr>
        <w:spacing w:before="412" w:line="300" w:lineRule="auto"/>
        <w:ind w:left="180" w:right="572"/>
        <w:jc w:val="both"/>
        <w:rPr>
          <w:rFonts w:ascii="Cambria" w:hAnsi="Cambria"/>
          <w:sz w:val="17"/>
        </w:rPr>
      </w:pPr>
      <w:r>
        <w:rPr>
          <w:rFonts w:ascii="Cambria" w:hAnsi="Cambria"/>
          <w:color w:val="231F20"/>
          <w:w w:val="105"/>
          <w:sz w:val="17"/>
        </w:rPr>
        <w:t>As</w:t>
      </w:r>
      <w:r>
        <w:rPr>
          <w:rFonts w:ascii="Cambria" w:hAnsi="Cambria"/>
          <w:color w:val="231F20"/>
          <w:spacing w:val="22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we</w:t>
      </w:r>
      <w:r>
        <w:rPr>
          <w:rFonts w:ascii="Cambria" w:hAnsi="Cambria"/>
          <w:color w:val="231F20"/>
          <w:spacing w:val="22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noted</w:t>
      </w:r>
      <w:r>
        <w:rPr>
          <w:rFonts w:ascii="Cambria" w:hAnsi="Cambria"/>
          <w:color w:val="231F20"/>
          <w:spacing w:val="23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in</w:t>
      </w:r>
      <w:r>
        <w:rPr>
          <w:rFonts w:ascii="Cambria" w:hAnsi="Cambria"/>
          <w:color w:val="231F20"/>
          <w:spacing w:val="22"/>
          <w:w w:val="105"/>
          <w:sz w:val="17"/>
        </w:rPr>
        <w:t xml:space="preserve"> </w:t>
      </w:r>
      <w:r>
        <w:rPr>
          <w:rFonts w:ascii="Bookman Old Style" w:hAnsi="Bookman Old Style"/>
          <w:b/>
          <w:color w:val="231F20"/>
          <w:w w:val="105"/>
          <w:sz w:val="17"/>
        </w:rPr>
        <w:t>Chapter</w:t>
      </w:r>
      <w:r>
        <w:rPr>
          <w:rFonts w:ascii="Bookman Old Style" w:hAnsi="Bookman Old Style"/>
          <w:b/>
          <w:color w:val="231F20"/>
          <w:spacing w:val="3"/>
          <w:w w:val="105"/>
          <w:sz w:val="17"/>
        </w:rPr>
        <w:t xml:space="preserve"> </w:t>
      </w:r>
      <w:r>
        <w:rPr>
          <w:rFonts w:ascii="Bookman Old Style" w:hAnsi="Bookman Old Style"/>
          <w:b/>
          <w:color w:val="231F20"/>
          <w:w w:val="105"/>
          <w:sz w:val="17"/>
        </w:rPr>
        <w:t>2</w:t>
      </w:r>
      <w:r>
        <w:rPr>
          <w:rFonts w:ascii="Cambria" w:hAnsi="Cambria"/>
          <w:color w:val="231F20"/>
          <w:w w:val="105"/>
          <w:sz w:val="17"/>
        </w:rPr>
        <w:t>,</w:t>
      </w:r>
      <w:r>
        <w:rPr>
          <w:rFonts w:ascii="Cambria" w:hAnsi="Cambria"/>
          <w:color w:val="231F20"/>
          <w:spacing w:val="23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sometimes</w:t>
      </w:r>
      <w:r>
        <w:rPr>
          <w:rFonts w:ascii="Cambria" w:hAnsi="Cambria"/>
          <w:color w:val="231F20"/>
          <w:spacing w:val="22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it</w:t>
      </w:r>
      <w:r>
        <w:rPr>
          <w:rFonts w:ascii="Cambria" w:hAnsi="Cambria"/>
          <w:color w:val="231F20"/>
          <w:spacing w:val="23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can</w:t>
      </w:r>
      <w:r>
        <w:rPr>
          <w:rFonts w:ascii="Cambria" w:hAnsi="Cambria"/>
          <w:color w:val="231F20"/>
          <w:spacing w:val="22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help</w:t>
      </w:r>
      <w:r>
        <w:rPr>
          <w:rFonts w:ascii="Cambria" w:hAnsi="Cambria"/>
          <w:color w:val="231F20"/>
          <w:spacing w:val="22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to</w:t>
      </w:r>
      <w:r>
        <w:rPr>
          <w:rFonts w:ascii="Cambria" w:hAnsi="Cambria"/>
          <w:color w:val="231F20"/>
          <w:spacing w:val="23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‘</w:t>
      </w:r>
      <w:proofErr w:type="spellStart"/>
      <w:r>
        <w:rPr>
          <w:rFonts w:ascii="Cambria" w:hAnsi="Cambria"/>
          <w:color w:val="231F20"/>
          <w:w w:val="105"/>
          <w:sz w:val="17"/>
        </w:rPr>
        <w:t>visualise</w:t>
      </w:r>
      <w:proofErr w:type="spellEnd"/>
      <w:r>
        <w:rPr>
          <w:rFonts w:ascii="Cambria" w:hAnsi="Cambria"/>
          <w:color w:val="231F20"/>
          <w:w w:val="105"/>
          <w:sz w:val="17"/>
        </w:rPr>
        <w:t>’</w:t>
      </w:r>
      <w:r>
        <w:rPr>
          <w:rFonts w:ascii="Cambria" w:hAnsi="Cambria"/>
          <w:color w:val="231F20"/>
          <w:spacing w:val="22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the</w:t>
      </w:r>
      <w:r>
        <w:rPr>
          <w:rFonts w:ascii="Cambria" w:hAnsi="Cambria"/>
          <w:color w:val="231F20"/>
          <w:spacing w:val="23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elements</w:t>
      </w:r>
      <w:r>
        <w:rPr>
          <w:rFonts w:ascii="Cambria" w:hAnsi="Cambria"/>
          <w:color w:val="231F20"/>
          <w:spacing w:val="22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of</w:t>
      </w:r>
      <w:r>
        <w:rPr>
          <w:rFonts w:ascii="Cambria" w:hAnsi="Cambria"/>
          <w:color w:val="231F20"/>
          <w:spacing w:val="23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a</w:t>
      </w:r>
      <w:r>
        <w:rPr>
          <w:rFonts w:ascii="Cambria" w:hAnsi="Cambria"/>
          <w:color w:val="231F20"/>
          <w:spacing w:val="22"/>
          <w:w w:val="105"/>
          <w:sz w:val="17"/>
        </w:rPr>
        <w:t xml:space="preserve"> </w:t>
      </w:r>
      <w:r>
        <w:rPr>
          <w:rFonts w:ascii="Cambria" w:hAnsi="Cambria"/>
          <w:color w:val="231F20"/>
          <w:w w:val="105"/>
          <w:sz w:val="17"/>
        </w:rPr>
        <w:t>claim</w:t>
      </w:r>
      <w:r>
        <w:rPr>
          <w:rFonts w:ascii="Cambria" w:hAnsi="Cambria"/>
          <w:color w:val="231F20"/>
          <w:spacing w:val="1"/>
          <w:w w:val="105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in the tort of negligence. Some further examples follow. The purpose of these very simple diagrams is simply to illustrate the varying importance of, or difficulty in establishing,</w:t>
      </w:r>
      <w:r>
        <w:rPr>
          <w:rFonts w:ascii="Cambria" w:hAnsi="Cambria"/>
          <w:color w:val="231F20"/>
          <w:spacing w:val="1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each</w:t>
      </w:r>
      <w:r>
        <w:rPr>
          <w:rFonts w:ascii="Cambria" w:hAnsi="Cambria"/>
          <w:color w:val="231F20"/>
          <w:spacing w:val="1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element</w:t>
      </w:r>
      <w:r>
        <w:rPr>
          <w:rFonts w:ascii="Cambria" w:hAnsi="Cambria"/>
          <w:color w:val="231F20"/>
          <w:spacing w:val="1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of</w:t>
      </w:r>
      <w:r>
        <w:rPr>
          <w:rFonts w:ascii="Cambria" w:hAnsi="Cambria"/>
          <w:color w:val="231F20"/>
          <w:spacing w:val="2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the</w:t>
      </w:r>
      <w:r>
        <w:rPr>
          <w:rFonts w:ascii="Cambria" w:hAnsi="Cambria"/>
          <w:color w:val="231F20"/>
          <w:spacing w:val="1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tort</w:t>
      </w:r>
      <w:r>
        <w:rPr>
          <w:rFonts w:ascii="Cambria" w:hAnsi="Cambria"/>
          <w:color w:val="231F20"/>
          <w:spacing w:val="1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of</w:t>
      </w:r>
      <w:r>
        <w:rPr>
          <w:rFonts w:ascii="Cambria" w:hAnsi="Cambria"/>
          <w:color w:val="231F20"/>
          <w:spacing w:val="1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negligence.</w:t>
      </w:r>
      <w:r>
        <w:rPr>
          <w:rFonts w:ascii="Cambria" w:hAnsi="Cambria"/>
          <w:color w:val="231F20"/>
          <w:spacing w:val="2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Of</w:t>
      </w:r>
      <w:r>
        <w:rPr>
          <w:rFonts w:ascii="Cambria" w:hAnsi="Cambria"/>
          <w:color w:val="231F20"/>
          <w:spacing w:val="1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course,</w:t>
      </w:r>
      <w:r>
        <w:rPr>
          <w:rFonts w:ascii="Cambria" w:hAnsi="Cambria"/>
          <w:color w:val="231F20"/>
          <w:spacing w:val="1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they</w:t>
      </w:r>
      <w:r>
        <w:rPr>
          <w:rFonts w:ascii="Cambria" w:hAnsi="Cambria"/>
          <w:color w:val="231F20"/>
          <w:spacing w:val="2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cannot</w:t>
      </w:r>
      <w:r>
        <w:rPr>
          <w:rFonts w:ascii="Cambria" w:hAnsi="Cambria"/>
          <w:color w:val="231F20"/>
          <w:spacing w:val="1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convey</w:t>
      </w:r>
      <w:r>
        <w:rPr>
          <w:rFonts w:ascii="Cambria" w:hAnsi="Cambria"/>
          <w:color w:val="231F20"/>
          <w:spacing w:val="1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the</w:t>
      </w:r>
      <w:r>
        <w:rPr>
          <w:rFonts w:ascii="Cambria" w:hAnsi="Cambria"/>
          <w:color w:val="231F20"/>
          <w:spacing w:val="1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details</w:t>
      </w:r>
      <w:r>
        <w:rPr>
          <w:rFonts w:ascii="Cambria" w:hAnsi="Cambria"/>
          <w:color w:val="231F20"/>
          <w:spacing w:val="1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of</w:t>
      </w:r>
      <w:r>
        <w:rPr>
          <w:rFonts w:ascii="Cambria" w:hAnsi="Cambria"/>
          <w:color w:val="231F20"/>
          <w:spacing w:val="2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the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case.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It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is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not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intended</w:t>
      </w:r>
      <w:r>
        <w:rPr>
          <w:rFonts w:ascii="Cambria" w:hAnsi="Cambria"/>
          <w:color w:val="231F20"/>
          <w:spacing w:val="2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to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or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to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be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in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any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way</w:t>
      </w:r>
      <w:r>
        <w:rPr>
          <w:rFonts w:ascii="Cambria" w:hAnsi="Cambria"/>
          <w:color w:val="231F20"/>
          <w:spacing w:val="29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mathematical—it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is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purely</w:t>
      </w:r>
      <w:r>
        <w:rPr>
          <w:rFonts w:ascii="Cambria" w:hAnsi="Cambria"/>
          <w:color w:val="231F20"/>
          <w:spacing w:val="3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to</w:t>
      </w:r>
      <w:r>
        <w:rPr>
          <w:rFonts w:ascii="Cambria" w:hAnsi="Cambria"/>
          <w:color w:val="231F20"/>
          <w:spacing w:val="1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give</w:t>
      </w:r>
      <w:r>
        <w:rPr>
          <w:rFonts w:ascii="Cambria" w:hAnsi="Cambria"/>
          <w:color w:val="231F20"/>
          <w:spacing w:val="1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the</w:t>
      </w:r>
      <w:r>
        <w:rPr>
          <w:rFonts w:ascii="Cambria" w:hAnsi="Cambria"/>
          <w:color w:val="231F20"/>
          <w:spacing w:val="1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reader</w:t>
      </w:r>
      <w:r>
        <w:rPr>
          <w:rFonts w:ascii="Cambria" w:hAnsi="Cambria"/>
          <w:color w:val="231F20"/>
          <w:spacing w:val="1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a</w:t>
      </w:r>
      <w:r>
        <w:rPr>
          <w:rFonts w:ascii="Cambria" w:hAnsi="Cambria"/>
          <w:color w:val="231F20"/>
          <w:spacing w:val="1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general</w:t>
      </w:r>
      <w:r>
        <w:rPr>
          <w:rFonts w:ascii="Cambria" w:hAnsi="Cambria"/>
          <w:color w:val="231F20"/>
          <w:spacing w:val="1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impression</w:t>
      </w:r>
      <w:r>
        <w:rPr>
          <w:rFonts w:ascii="Cambria" w:hAnsi="Cambria"/>
          <w:color w:val="231F20"/>
          <w:spacing w:val="1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of</w:t>
      </w:r>
      <w:r>
        <w:rPr>
          <w:rFonts w:ascii="Cambria" w:hAnsi="Cambria"/>
          <w:color w:val="231F20"/>
          <w:spacing w:val="1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the</w:t>
      </w:r>
      <w:r>
        <w:rPr>
          <w:rFonts w:ascii="Cambria" w:hAnsi="Cambria"/>
          <w:color w:val="231F20"/>
          <w:spacing w:val="1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relative</w:t>
      </w:r>
      <w:r>
        <w:rPr>
          <w:rFonts w:ascii="Cambria" w:hAnsi="Cambria"/>
          <w:color w:val="231F20"/>
          <w:spacing w:val="1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importance</w:t>
      </w:r>
      <w:r>
        <w:rPr>
          <w:rFonts w:ascii="Cambria" w:hAnsi="Cambria"/>
          <w:color w:val="231F20"/>
          <w:spacing w:val="1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of</w:t>
      </w:r>
      <w:r>
        <w:rPr>
          <w:rFonts w:ascii="Cambria" w:hAnsi="Cambria"/>
          <w:color w:val="231F20"/>
          <w:spacing w:val="1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each</w:t>
      </w:r>
      <w:r>
        <w:rPr>
          <w:rFonts w:ascii="Cambria" w:hAnsi="Cambria"/>
          <w:color w:val="231F20"/>
          <w:spacing w:val="1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‘hurdle’.</w:t>
      </w:r>
      <w:r>
        <w:rPr>
          <w:rFonts w:ascii="Cambria" w:hAnsi="Cambria"/>
          <w:color w:val="231F20"/>
          <w:spacing w:val="10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What</w:t>
      </w:r>
      <w:r>
        <w:rPr>
          <w:rFonts w:ascii="Cambria" w:hAnsi="Cambria"/>
          <w:color w:val="231F20"/>
          <w:spacing w:val="1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 xml:space="preserve">it does show, however, is that though in </w:t>
      </w:r>
      <w:r>
        <w:rPr>
          <w:rFonts w:ascii="Book Antiqua" w:hAnsi="Book Antiqua"/>
          <w:i/>
          <w:color w:val="231F20"/>
          <w:w w:val="110"/>
          <w:sz w:val="17"/>
        </w:rPr>
        <w:t xml:space="preserve">every </w:t>
      </w:r>
      <w:r>
        <w:rPr>
          <w:rFonts w:ascii="Cambria" w:hAnsi="Cambria"/>
          <w:color w:val="231F20"/>
          <w:w w:val="110"/>
          <w:sz w:val="17"/>
        </w:rPr>
        <w:t>case each element of the tort must be</w:t>
      </w:r>
      <w:r>
        <w:rPr>
          <w:rFonts w:ascii="Cambria" w:hAnsi="Cambria"/>
          <w:color w:val="231F20"/>
          <w:spacing w:val="1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present for the claim to succeed, typically only one or two are likely to be at issue. The</w:t>
      </w:r>
      <w:r>
        <w:rPr>
          <w:rFonts w:ascii="Cambria" w:hAnsi="Cambria"/>
          <w:color w:val="231F20"/>
          <w:spacing w:val="1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uncontroversial</w:t>
      </w:r>
      <w:r>
        <w:rPr>
          <w:rFonts w:ascii="Cambria" w:hAnsi="Cambria"/>
          <w:color w:val="231F20"/>
          <w:spacing w:val="3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aspects</w:t>
      </w:r>
      <w:r>
        <w:rPr>
          <w:rFonts w:ascii="Cambria" w:hAnsi="Cambria"/>
          <w:color w:val="231F20"/>
          <w:spacing w:val="3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of</w:t>
      </w:r>
      <w:r>
        <w:rPr>
          <w:rFonts w:ascii="Cambria" w:hAnsi="Cambria"/>
          <w:color w:val="231F20"/>
          <w:spacing w:val="4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the</w:t>
      </w:r>
      <w:r>
        <w:rPr>
          <w:rFonts w:ascii="Cambria" w:hAnsi="Cambria"/>
          <w:color w:val="231F20"/>
          <w:spacing w:val="3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case</w:t>
      </w:r>
      <w:r>
        <w:rPr>
          <w:rFonts w:ascii="Cambria" w:hAnsi="Cambria"/>
          <w:color w:val="231F20"/>
          <w:spacing w:val="3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will</w:t>
      </w:r>
      <w:r>
        <w:rPr>
          <w:rFonts w:ascii="Cambria" w:hAnsi="Cambria"/>
          <w:color w:val="231F20"/>
          <w:spacing w:val="4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be</w:t>
      </w:r>
      <w:r>
        <w:rPr>
          <w:rFonts w:ascii="Cambria" w:hAnsi="Cambria"/>
          <w:color w:val="231F20"/>
          <w:spacing w:val="3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glossed</w:t>
      </w:r>
      <w:r>
        <w:rPr>
          <w:rFonts w:ascii="Cambria" w:hAnsi="Cambria"/>
          <w:color w:val="231F20"/>
          <w:spacing w:val="4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over</w:t>
      </w:r>
      <w:r>
        <w:rPr>
          <w:rFonts w:ascii="Cambria" w:hAnsi="Cambria"/>
          <w:color w:val="231F20"/>
          <w:spacing w:val="3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relatively</w:t>
      </w:r>
      <w:r>
        <w:rPr>
          <w:rFonts w:ascii="Cambria" w:hAnsi="Cambria"/>
          <w:color w:val="231F20"/>
          <w:spacing w:val="3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quickly.</w:t>
      </w:r>
    </w:p>
    <w:p w:rsidR="00BA070F" w:rsidRDefault="00CB07DC">
      <w:pPr>
        <w:spacing w:line="300" w:lineRule="auto"/>
        <w:ind w:left="180" w:right="572" w:firstLine="174"/>
        <w:jc w:val="both"/>
        <w:rPr>
          <w:rFonts w:ascii="Cambria" w:hAnsi="Cambria"/>
          <w:sz w:val="17"/>
        </w:rPr>
      </w:pPr>
      <w:r>
        <w:rPr>
          <w:rFonts w:ascii="Cambria" w:hAnsi="Cambria"/>
          <w:color w:val="231F20"/>
          <w:w w:val="110"/>
          <w:sz w:val="17"/>
        </w:rPr>
        <w:t>You might like to consider where the ‘hurdle’ or ‘hurdles’ arise in the cases you come</w:t>
      </w:r>
      <w:r>
        <w:rPr>
          <w:rFonts w:ascii="Cambria" w:hAnsi="Cambria"/>
          <w:color w:val="231F20"/>
          <w:spacing w:val="1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across in your studies and what a similarly constructed diagram of these cases would</w:t>
      </w:r>
      <w:r>
        <w:rPr>
          <w:rFonts w:ascii="Cambria" w:hAnsi="Cambria"/>
          <w:color w:val="231F20"/>
          <w:spacing w:val="1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look</w:t>
      </w:r>
      <w:r>
        <w:rPr>
          <w:rFonts w:ascii="Cambria" w:hAnsi="Cambria"/>
          <w:color w:val="231F20"/>
          <w:spacing w:val="3"/>
          <w:w w:val="110"/>
          <w:sz w:val="17"/>
        </w:rPr>
        <w:t xml:space="preserve"> </w:t>
      </w:r>
      <w:r>
        <w:rPr>
          <w:rFonts w:ascii="Cambria" w:hAnsi="Cambria"/>
          <w:color w:val="231F20"/>
          <w:w w:val="110"/>
          <w:sz w:val="17"/>
        </w:rPr>
        <w:t>like.</w:t>
      </w:r>
    </w:p>
    <w:p w:rsidR="00BA070F" w:rsidRDefault="002464F1">
      <w:pPr>
        <w:pStyle w:val="BodyText"/>
        <w:spacing w:before="2"/>
        <w:rPr>
          <w:rFonts w:ascii="Cambria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57" type="#_x0000_t202" style="position:absolute;margin-left:85.15pt;margin-top:15.4pt;width:345.75pt;height:164.5pt;z-index:-15728640;mso-wrap-distance-left:0;mso-wrap-distance-right:0;mso-position-horizontal-relative:page" filled="f" stroked="f">
            <v:textbox inset="0,0,0,0">
              <w:txbxContent>
                <w:p w:rsidR="00BA070F" w:rsidRDefault="00CB07DC">
                  <w:pPr>
                    <w:spacing w:before="133"/>
                    <w:ind w:left="157"/>
                    <w:jc w:val="both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i/>
                      <w:color w:val="177BAC"/>
                      <w:sz w:val="20"/>
                    </w:rPr>
                    <w:t>Alcock</w:t>
                  </w:r>
                  <w:proofErr w:type="spellEnd"/>
                  <w:r>
                    <w:rPr>
                      <w:b/>
                      <w:i/>
                      <w:color w:val="177BAC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color w:val="177BAC"/>
                      <w:sz w:val="20"/>
                    </w:rPr>
                    <w:t>v</w:t>
                  </w:r>
                  <w:r>
                    <w:rPr>
                      <w:b/>
                      <w:color w:val="177BAC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77BAC"/>
                      <w:sz w:val="20"/>
                    </w:rPr>
                    <w:t>Chief</w:t>
                  </w:r>
                  <w:r>
                    <w:rPr>
                      <w:b/>
                      <w:i/>
                      <w:color w:val="177BAC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77BAC"/>
                      <w:sz w:val="20"/>
                    </w:rPr>
                    <w:t>Constable</w:t>
                  </w:r>
                  <w:r>
                    <w:rPr>
                      <w:b/>
                      <w:i/>
                      <w:color w:val="177BAC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77BAC"/>
                      <w:sz w:val="20"/>
                    </w:rPr>
                    <w:t>of</w:t>
                  </w:r>
                  <w:r>
                    <w:rPr>
                      <w:b/>
                      <w:i/>
                      <w:color w:val="177BAC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77BAC"/>
                      <w:sz w:val="20"/>
                    </w:rPr>
                    <w:t>South</w:t>
                  </w:r>
                  <w:r>
                    <w:rPr>
                      <w:b/>
                      <w:i/>
                      <w:color w:val="177BAC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77BAC"/>
                      <w:sz w:val="20"/>
                    </w:rPr>
                    <w:t>Yorkshire</w:t>
                  </w:r>
                  <w:r>
                    <w:rPr>
                      <w:b/>
                      <w:i/>
                      <w:color w:val="177BAC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77BAC"/>
                      <w:sz w:val="20"/>
                    </w:rPr>
                    <w:t>Police</w:t>
                  </w:r>
                  <w:r>
                    <w:rPr>
                      <w:b/>
                      <w:i/>
                      <w:color w:val="177BAC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177BAC"/>
                      <w:sz w:val="20"/>
                    </w:rPr>
                    <w:t>[1992]</w:t>
                  </w:r>
                  <w:r>
                    <w:rPr>
                      <w:b/>
                      <w:color w:val="177BAC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color w:val="177BAC"/>
                      <w:sz w:val="20"/>
                    </w:rPr>
                    <w:t>HL</w:t>
                  </w:r>
                </w:p>
                <w:p w:rsidR="00BA070F" w:rsidRDefault="00BA070F">
                  <w:pPr>
                    <w:pStyle w:val="BodyText"/>
                    <w:spacing w:before="3"/>
                    <w:rPr>
                      <w:b/>
                      <w:sz w:val="23"/>
                    </w:rPr>
                  </w:pPr>
                </w:p>
                <w:p w:rsidR="00BA070F" w:rsidRDefault="00CB07DC">
                  <w:pPr>
                    <w:pStyle w:val="BodyText"/>
                    <w:spacing w:line="326" w:lineRule="auto"/>
                    <w:ind w:left="157" w:right="154"/>
                    <w:jc w:val="both"/>
                  </w:pPr>
                  <w:proofErr w:type="spellStart"/>
                  <w:r>
                    <w:rPr>
                      <w:b/>
                      <w:i/>
                      <w:color w:val="231F20"/>
                    </w:rPr>
                    <w:t>Alcock</w:t>
                  </w:r>
                  <w:proofErr w:type="spellEnd"/>
                  <w:r>
                    <w:rPr>
                      <w:b/>
                      <w:i/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is one of </w:t>
                  </w:r>
                  <w:proofErr w:type="gramStart"/>
                  <w:r>
                    <w:rPr>
                      <w:color w:val="231F20"/>
                    </w:rPr>
                    <w:t>a number of</w:t>
                  </w:r>
                  <w:proofErr w:type="gramEnd"/>
                  <w:r>
                    <w:rPr>
                      <w:color w:val="231F20"/>
                    </w:rPr>
                    <w:t xml:space="preserve"> cases arising out of the Hillsborough Stadium disaster. The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claimants were friends and family of people who had died in the disaster and who suffered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psychiatric injury. The question for the court was whether the police owed them a duty of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care. Although the House of Lords held that the police did not owe the claimants a duty of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care in relation to the psychiatric injury they suffered, had they decided otherwise, the issues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of breach and causation would have been relatively straightforward. In other words, it was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clear that the defendants had failed to show reasonable care and that their carelessness had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caused the claimants’ loss. What was at stake was whether the law did indeed regard the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defendants as under an obligation to take reasonable care, see Figure 1.</w:t>
                  </w:r>
                </w:p>
              </w:txbxContent>
            </v:textbox>
            <w10:wrap type="topAndBottom" anchorx="page"/>
          </v:shape>
        </w:pict>
      </w:r>
    </w:p>
    <w:p w:rsidR="00BA070F" w:rsidRDefault="00BA070F">
      <w:pPr>
        <w:rPr>
          <w:rFonts w:ascii="Cambria"/>
          <w:sz w:val="24"/>
        </w:rPr>
        <w:sectPr w:rsidR="00BA070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0720" w:h="13950"/>
          <w:pgMar w:top="1300" w:right="1500" w:bottom="280" w:left="1500" w:header="720" w:footer="720" w:gutter="0"/>
          <w:cols w:space="720"/>
        </w:sectPr>
      </w:pPr>
    </w:p>
    <w:p w:rsidR="00BA070F" w:rsidRDefault="00BA070F">
      <w:pPr>
        <w:pStyle w:val="BodyText"/>
        <w:spacing w:before="3"/>
        <w:rPr>
          <w:sz w:val="21"/>
        </w:rPr>
      </w:pPr>
    </w:p>
    <w:p w:rsidR="00BA070F" w:rsidRDefault="00CB07DC">
      <w:pPr>
        <w:spacing w:before="105"/>
        <w:ind w:left="574"/>
        <w:rPr>
          <w:sz w:val="14"/>
        </w:rPr>
      </w:pPr>
      <w:r>
        <w:rPr>
          <w:b/>
          <w:color w:val="006991"/>
          <w:sz w:val="14"/>
        </w:rPr>
        <w:t>FIGURE</w:t>
      </w:r>
      <w:r>
        <w:rPr>
          <w:b/>
          <w:color w:val="006991"/>
          <w:spacing w:val="12"/>
          <w:sz w:val="14"/>
        </w:rPr>
        <w:t xml:space="preserve"> </w:t>
      </w:r>
      <w:r>
        <w:rPr>
          <w:b/>
          <w:color w:val="006991"/>
          <w:sz w:val="14"/>
        </w:rPr>
        <w:t>1</w:t>
      </w:r>
      <w:r>
        <w:rPr>
          <w:b/>
          <w:color w:val="006991"/>
          <w:spacing w:val="4"/>
          <w:sz w:val="14"/>
        </w:rPr>
        <w:t xml:space="preserve"> </w:t>
      </w:r>
      <w:r>
        <w:rPr>
          <w:color w:val="231F20"/>
          <w:sz w:val="14"/>
        </w:rPr>
        <w:t>case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example:</w:t>
      </w:r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i/>
          <w:color w:val="231F20"/>
          <w:sz w:val="14"/>
        </w:rPr>
        <w:t>Alcock</w:t>
      </w:r>
      <w:proofErr w:type="spellEnd"/>
      <w:r>
        <w:rPr>
          <w:i/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v</w:t>
      </w:r>
      <w:r>
        <w:rPr>
          <w:color w:val="231F20"/>
          <w:spacing w:val="-1"/>
          <w:sz w:val="14"/>
        </w:rPr>
        <w:t xml:space="preserve"> </w:t>
      </w:r>
      <w:r>
        <w:rPr>
          <w:i/>
          <w:color w:val="231F20"/>
          <w:sz w:val="14"/>
        </w:rPr>
        <w:t>Chief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Constable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of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South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Yorkshire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Police</w:t>
      </w:r>
      <w:r>
        <w:rPr>
          <w:i/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[1992]</w:t>
      </w:r>
    </w:p>
    <w:p w:rsidR="00BA070F" w:rsidRDefault="00BA070F">
      <w:pPr>
        <w:pStyle w:val="BodyText"/>
        <w:spacing w:before="1"/>
        <w:rPr>
          <w:sz w:val="12"/>
        </w:rPr>
      </w:pPr>
    </w:p>
    <w:p w:rsidR="00BA070F" w:rsidRDefault="002464F1">
      <w:pPr>
        <w:ind w:left="1088"/>
        <w:rPr>
          <w:sz w:val="20"/>
        </w:rPr>
      </w:pPr>
      <w:r>
        <w:rPr>
          <w:position w:val="4"/>
          <w:sz w:val="20"/>
        </w:rPr>
      </w:r>
      <w:r>
        <w:rPr>
          <w:position w:val="4"/>
          <w:sz w:val="20"/>
        </w:rPr>
        <w:pict>
          <v:group id="docshapegroup11" o:spid="_x0000_s1055" style="width:12.3pt;height:25.3pt;mso-position-horizontal-relative:char;mso-position-vertical-relative:line" coordsize="246,506">
            <v:shape id="docshape12" o:spid="_x0000_s1056" style="position:absolute;width:246;height:506" coordsize="246,506" path="m135,l105,,75,20,65,50r5,20l80,85,90,95r15,10l85,105,30,155,,295r35,21l70,225r,281l175,506r,-276l210,316r35,-21l215,155,205,125,190,115,170,105r-35,l165,85r5,-15l175,50,165,20,135,xe" fillcolor="black" stroked="f">
              <v:path arrowok="t"/>
            </v:shape>
            <w10:anchorlock/>
          </v:group>
        </w:pict>
      </w:r>
      <w:r w:rsidR="00CB07DC">
        <w:rPr>
          <w:rFonts w:ascii="Times New Roman"/>
          <w:spacing w:val="30"/>
          <w:position w:val="4"/>
          <w:sz w:val="20"/>
        </w:rPr>
        <w:t xml:space="preserve"> </w:t>
      </w:r>
      <w:r>
        <w:rPr>
          <w:spacing w:val="30"/>
          <w:sz w:val="20"/>
        </w:rPr>
      </w:r>
      <w:r>
        <w:rPr>
          <w:spacing w:val="30"/>
          <w:sz w:val="20"/>
        </w:rPr>
        <w:pict>
          <v:group id="docshapegroup13" o:spid="_x0000_s1051" style="width:279.35pt;height:122.5pt;mso-position-horizontal-relative:char;mso-position-vertical-relative:line" coordsize="5587,2450">
            <v:shape id="docshape14" o:spid="_x0000_s1054" style="position:absolute;left:420;width:4735;height:2390" coordorigin="421" coordsize="4735,2390" o:spt="100" adj="0,,0" path="m976,l421,r,2390l976,2390,976,xm2378,1724r-561,l1817,2390r561,l2378,1724xm3775,1721r-556,l3219,2390r556,l3775,1721xm5155,1721r-556,l4599,2390r556,l5155,1721xe" fillcolor="#6bc8e1" stroked="f">
              <v:stroke joinstyle="round"/>
              <v:formulas/>
              <v:path arrowok="t" o:connecttype="segments"/>
            </v:shape>
            <v:shape id="docshape15" o:spid="_x0000_s1053" style="position:absolute;left:5;top:2389;width:5575;height:61" coordorigin="5,2390" coordsize="5575,61" o:spt="100" adj="0,,0" path="m4190,2450r,-60m2798,2450r,-60m1397,2450r,-60m5,2450r,-60m5,2390r5575,e" filled="f" strokeweight=".17675mm">
              <v:stroke joinstyle="round"/>
              <v:formulas/>
              <v:path arrowok="t" o:connecttype="segments"/>
            </v:shape>
            <v:line id="_x0000_s1052" style="position:absolute" from="5582,2450" to="5582,2390" strokeweight=".17675mm"/>
            <w10:anchorlock/>
          </v:group>
        </w:pict>
      </w:r>
    </w:p>
    <w:p w:rsidR="00BA070F" w:rsidRDefault="00BA070F">
      <w:pPr>
        <w:rPr>
          <w:sz w:val="20"/>
        </w:rPr>
        <w:sectPr w:rsidR="00BA070F">
          <w:pgSz w:w="10720" w:h="13950"/>
          <w:pgMar w:top="560" w:right="1500" w:bottom="280" w:left="1500" w:header="720" w:footer="720" w:gutter="0"/>
          <w:cols w:space="720"/>
        </w:sectPr>
      </w:pPr>
    </w:p>
    <w:p w:rsidR="00BA070F" w:rsidRDefault="00CB07DC">
      <w:pPr>
        <w:pStyle w:val="BodyText"/>
        <w:tabs>
          <w:tab w:val="left" w:pos="3276"/>
          <w:tab w:val="left" w:pos="4461"/>
        </w:tabs>
        <w:spacing w:before="25" w:line="249" w:lineRule="auto"/>
        <w:ind w:left="4652" w:hanging="2691"/>
      </w:pPr>
      <w:r>
        <w:t>Duty</w:t>
      </w:r>
      <w:r>
        <w:tab/>
        <w:t>Breach</w:t>
      </w:r>
      <w:r>
        <w:tab/>
        <w:t>Cause in fact</w:t>
      </w:r>
      <w:r>
        <w:rPr>
          <w:spacing w:val="-4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law</w:t>
      </w:r>
    </w:p>
    <w:p w:rsidR="00BA070F" w:rsidRDefault="00CB07DC">
      <w:pPr>
        <w:pStyle w:val="BodyText"/>
        <w:spacing w:before="25"/>
        <w:ind w:left="545"/>
      </w:pPr>
      <w:r>
        <w:br w:type="column"/>
      </w:r>
      <w:proofErr w:type="spellStart"/>
      <w:r>
        <w:t>Defences</w:t>
      </w:r>
      <w:proofErr w:type="spellEnd"/>
    </w:p>
    <w:p w:rsidR="00BA070F" w:rsidRDefault="00BA070F">
      <w:pPr>
        <w:sectPr w:rsidR="00BA070F">
          <w:type w:val="continuous"/>
          <w:pgSz w:w="10720" w:h="13950"/>
          <w:pgMar w:top="1300" w:right="1500" w:bottom="280" w:left="1500" w:header="720" w:footer="720" w:gutter="0"/>
          <w:cols w:num="2" w:space="720" w:equalWidth="0">
            <w:col w:w="5401" w:space="40"/>
            <w:col w:w="2279"/>
          </w:cols>
        </w:sectPr>
      </w:pPr>
    </w:p>
    <w:p w:rsidR="00BA070F" w:rsidRDefault="00BA070F">
      <w:pPr>
        <w:pStyle w:val="BodyText"/>
        <w:rPr>
          <w:sz w:val="20"/>
        </w:rPr>
      </w:pPr>
    </w:p>
    <w:p w:rsidR="00BA070F" w:rsidRDefault="00BA070F">
      <w:pPr>
        <w:pStyle w:val="BodyText"/>
        <w:spacing w:before="8"/>
        <w:rPr>
          <w:sz w:val="19"/>
        </w:rPr>
      </w:pPr>
    </w:p>
    <w:p w:rsidR="00BA070F" w:rsidRDefault="002464F1">
      <w:pPr>
        <w:pStyle w:val="BodyText"/>
        <w:ind w:left="5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6" o:spid="_x0000_s1047" style="width:348pt;height:178.8pt;mso-position-horizontal-relative:char;mso-position-vertical-relative:line" coordsize="6960,3576">
            <v:shape id="docshape17" o:spid="_x0000_s1050" style="position:absolute;left:5;top:5;width:6950;height:3566" coordorigin="5,5" coordsize="6950,3566" path="m6895,5l65,5,30,6,13,13,6,30,5,65r,3445l6,3545r7,18l30,3569r35,1l6895,3570r35,-1l6948,3563r6,-18l6955,3510r,-3445l6954,30r-6,-17l6930,6,6895,5xe" fillcolor="#dee9f7" stroked="f">
              <v:path arrowok="t"/>
            </v:shape>
            <v:shape id="docshape18" o:spid="_x0000_s1049" style="position:absolute;left:5;top:5;width:6950;height:3566" coordorigin="5,5" coordsize="6950,3566" path="m65,5l30,6,13,13,6,30,5,65r,3445l6,3545r7,18l30,3569r35,1l6895,3570r35,-1l6948,3563r6,-18l6955,3510r,-3445l6954,30r-6,-17l6930,6,6895,5,65,5xe" filled="f" strokecolor="#1b9ad6" strokeweight=".5pt">
              <v:path arrowok="t"/>
            </v:shape>
            <v:shape id="docshape19" o:spid="_x0000_s1048" type="#_x0000_t202" style="position:absolute;left:22;top:20;width:6915;height:3535" filled="f" stroked="f">
              <v:textbox inset="0,0,0,0">
                <w:txbxContent>
                  <w:p w:rsidR="00BA070F" w:rsidRDefault="00CB07DC">
                    <w:pPr>
                      <w:spacing w:before="128"/>
                      <w:ind w:left="157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color w:val="177BAC"/>
                        <w:sz w:val="20"/>
                      </w:rPr>
                      <w:t>Fairchild</w:t>
                    </w:r>
                    <w:r>
                      <w:rPr>
                        <w:b/>
                        <w:i/>
                        <w:color w:val="177BAC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7BAC"/>
                        <w:sz w:val="20"/>
                      </w:rPr>
                      <w:t>v</w:t>
                    </w:r>
                    <w:r>
                      <w:rPr>
                        <w:b/>
                        <w:color w:val="177BAC"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177BAC"/>
                        <w:sz w:val="20"/>
                      </w:rPr>
                      <w:t>Glenhaven</w:t>
                    </w:r>
                    <w:proofErr w:type="spellEnd"/>
                    <w:r>
                      <w:rPr>
                        <w:b/>
                        <w:i/>
                        <w:color w:val="177BAC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177BAC"/>
                        <w:sz w:val="20"/>
                      </w:rPr>
                      <w:t>Funeral</w:t>
                    </w:r>
                    <w:r>
                      <w:rPr>
                        <w:b/>
                        <w:i/>
                        <w:color w:val="177BAC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177BAC"/>
                        <w:sz w:val="20"/>
                      </w:rPr>
                      <w:t>Services</w:t>
                    </w:r>
                    <w:r>
                      <w:rPr>
                        <w:b/>
                        <w:i/>
                        <w:color w:val="177BAC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7BAC"/>
                        <w:sz w:val="20"/>
                      </w:rPr>
                      <w:t>[2002]</w:t>
                    </w:r>
                    <w:r>
                      <w:rPr>
                        <w:b/>
                        <w:color w:val="177BAC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7BAC"/>
                        <w:sz w:val="20"/>
                      </w:rPr>
                      <w:t>HL</w:t>
                    </w:r>
                  </w:p>
                  <w:p w:rsidR="00BA070F" w:rsidRDefault="00BA070F">
                    <w:pPr>
                      <w:spacing w:before="3"/>
                      <w:rPr>
                        <w:b/>
                        <w:sz w:val="23"/>
                      </w:rPr>
                    </w:pPr>
                  </w:p>
                  <w:p w:rsidR="00BA070F" w:rsidRDefault="00CB07DC">
                    <w:pPr>
                      <w:spacing w:line="326" w:lineRule="auto"/>
                      <w:ind w:left="157" w:right="153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This case (see </w:t>
                    </w:r>
                    <w:r>
                      <w:rPr>
                        <w:b/>
                        <w:color w:val="231F20"/>
                        <w:sz w:val="16"/>
                      </w:rPr>
                      <w:t>Figure 2</w:t>
                    </w:r>
                    <w:r>
                      <w:rPr>
                        <w:color w:val="231F20"/>
                        <w:sz w:val="16"/>
                      </w:rPr>
                      <w:t>) involved claims by three employees who had developed mesothelioma</w:t>
                    </w:r>
                    <w:r>
                      <w:rPr>
                        <w:color w:val="231F20"/>
                        <w:spacing w:val="12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as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result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proofErr w:type="gramEnd"/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being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exposed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asbestos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dust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while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working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defendants.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It</w:t>
                    </w:r>
                    <w:r>
                      <w:rPr>
                        <w:color w:val="231F2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well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established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employers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owe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their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employees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duty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care.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Moreover,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it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was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plain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on</w:t>
                    </w:r>
                    <w:r>
                      <w:rPr>
                        <w:color w:val="231F20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 facts that, by exposing the claimants to asbestos dust, the defendants had failed to take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reasonable care for their safety. The key question was one of causation. Since each of the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claimants had worked for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a number of</w:t>
                    </w:r>
                    <w:proofErr w:type="gramEnd"/>
                    <w:r>
                      <w:rPr>
                        <w:color w:val="231F20"/>
                        <w:sz w:val="16"/>
                      </w:rPr>
                      <w:t xml:space="preserve"> different employers, each of which had exposed them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to asbestos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fibres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, the claimants had difficulty showing which employer was responsible for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their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illness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given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their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condition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may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have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stemmed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from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inhaling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single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asbestos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fibre</w:t>
                    </w:r>
                    <w:proofErr w:type="spellEnd"/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on</w:t>
                    </w:r>
                    <w:r>
                      <w:rPr>
                        <w:color w:val="231F20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one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isolated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occasion.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other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words,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though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each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defendant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employers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>could</w:t>
                    </w:r>
                    <w:r>
                      <w:rPr>
                        <w:i/>
                        <w:color w:val="231F20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 xml:space="preserve">have </w:t>
                    </w:r>
                    <w:r>
                      <w:rPr>
                        <w:color w:val="231F20"/>
                        <w:sz w:val="16"/>
                      </w:rPr>
                      <w:t>caused the relevant harm, it was much harder (indeed impossible) to prove which one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actually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>did</w:t>
                    </w:r>
                    <w:proofErr w:type="gramEnd"/>
                    <w:r>
                      <w:rPr>
                        <w:color w:val="231F20"/>
                        <w:sz w:val="16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:rsidR="00BA070F" w:rsidRDefault="00BA070F">
      <w:pPr>
        <w:pStyle w:val="BodyText"/>
        <w:rPr>
          <w:sz w:val="20"/>
        </w:rPr>
      </w:pPr>
    </w:p>
    <w:p w:rsidR="00BA070F" w:rsidRDefault="00BA070F">
      <w:pPr>
        <w:pStyle w:val="BodyText"/>
        <w:rPr>
          <w:sz w:val="23"/>
        </w:rPr>
      </w:pPr>
    </w:p>
    <w:p w:rsidR="00BA070F" w:rsidRDefault="00CB07DC">
      <w:pPr>
        <w:ind w:left="574"/>
        <w:rPr>
          <w:sz w:val="14"/>
        </w:rPr>
      </w:pPr>
      <w:r>
        <w:rPr>
          <w:b/>
          <w:color w:val="006991"/>
          <w:sz w:val="14"/>
        </w:rPr>
        <w:t>FIGURE</w:t>
      </w:r>
      <w:r>
        <w:rPr>
          <w:b/>
          <w:color w:val="006991"/>
          <w:spacing w:val="13"/>
          <w:sz w:val="14"/>
        </w:rPr>
        <w:t xml:space="preserve"> </w:t>
      </w:r>
      <w:r>
        <w:rPr>
          <w:b/>
          <w:color w:val="006991"/>
          <w:sz w:val="14"/>
        </w:rPr>
        <w:t>2</w:t>
      </w:r>
      <w:r>
        <w:rPr>
          <w:b/>
          <w:color w:val="006991"/>
          <w:spacing w:val="5"/>
          <w:sz w:val="14"/>
        </w:rPr>
        <w:t xml:space="preserve"> </w:t>
      </w:r>
      <w:r>
        <w:rPr>
          <w:color w:val="231F20"/>
          <w:sz w:val="14"/>
        </w:rPr>
        <w:t>case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example:</w:t>
      </w:r>
      <w:r>
        <w:rPr>
          <w:color w:val="231F20"/>
          <w:spacing w:val="-1"/>
          <w:sz w:val="14"/>
        </w:rPr>
        <w:t xml:space="preserve"> </w:t>
      </w:r>
      <w:r>
        <w:rPr>
          <w:i/>
          <w:color w:val="231F20"/>
          <w:sz w:val="14"/>
        </w:rPr>
        <w:t>Fairchild</w:t>
      </w:r>
      <w:r>
        <w:rPr>
          <w:i/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v</w:t>
      </w:r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i/>
          <w:color w:val="231F20"/>
          <w:sz w:val="14"/>
        </w:rPr>
        <w:t>Glenhaven</w:t>
      </w:r>
      <w:proofErr w:type="spellEnd"/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Funeral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Services</w:t>
      </w:r>
      <w:r>
        <w:rPr>
          <w:i/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[2002]</w:t>
      </w:r>
    </w:p>
    <w:p w:rsidR="00BA070F" w:rsidRDefault="00BA070F">
      <w:pPr>
        <w:pStyle w:val="BodyText"/>
        <w:spacing w:before="10"/>
        <w:rPr>
          <w:sz w:val="10"/>
        </w:rPr>
      </w:pPr>
    </w:p>
    <w:p w:rsidR="00BA070F" w:rsidRDefault="002464F1">
      <w:pPr>
        <w:ind w:left="1088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group id="docshapegroup20" o:spid="_x0000_s1045" style="width:12.3pt;height:25.25pt;mso-position-horizontal-relative:char;mso-position-vertical-relative:line" coordsize="246,505">
            <v:shape id="docshape21" o:spid="_x0000_s1046" style="position:absolute;width:246;height:505" coordsize="246,505" path="m135,l105,,75,20,65,50r5,20l80,85,90,95r15,10l85,105r-20,5l55,115,40,125,30,155r,10l25,190,15,225r-5,35l,285r,10l35,315,70,225r,280l175,505r,-275l210,315r35,-20l215,155,205,125,190,115,170,105r-35,l165,85r5,-15l175,50,165,20,135,xe" fillcolor="black" stroked="f">
              <v:path arrowok="t"/>
            </v:shape>
            <w10:anchorlock/>
          </v:group>
        </w:pict>
      </w:r>
      <w:r w:rsidR="00CB07DC">
        <w:rPr>
          <w:rFonts w:ascii="Times New Roman"/>
          <w:spacing w:val="20"/>
          <w:position w:val="2"/>
          <w:sz w:val="20"/>
        </w:rPr>
        <w:t xml:space="preserve"> </w:t>
      </w:r>
      <w:r>
        <w:rPr>
          <w:spacing w:val="20"/>
          <w:sz w:val="20"/>
        </w:rPr>
      </w:r>
      <w:r>
        <w:rPr>
          <w:spacing w:val="20"/>
          <w:sz w:val="20"/>
        </w:rPr>
        <w:pict>
          <v:group id="docshapegroup22" o:spid="_x0000_s1041" style="width:279.7pt;height:122.5pt;mso-position-horizontal-relative:char;mso-position-vertical-relative:line" coordsize="5594,2450">
            <v:shape id="docshape23" o:spid="_x0000_s1044" style="position:absolute;left:425;width:4753;height:2390" coordorigin="426" coordsize="4753,2390" o:spt="100" adj="0,,0" path="m981,1730r-555,l426,2390r555,l981,1730xm2383,1395r-561,l1822,2390r561,l2383,1395xm3780,l3224,r,2390l3780,2390,3780,xm5178,1730r-556,l4622,2390r556,l5178,1730xe" fillcolor="red" stroked="f">
              <v:stroke joinstyle="round"/>
              <v:formulas/>
              <v:path arrowok="t" o:connecttype="segments"/>
            </v:shape>
            <v:shape id="docshape24" o:spid="_x0000_s1043" style="position:absolute;left:5;top:2390;width:5588;height:60" coordorigin="5,2390" coordsize="5588,60" o:spt="100" adj="0,,0" path="m4195,2450r,-60m2803,2450r,-60m1402,2450r,-60m5,2450r,-60m5,2390r5588,e" filled="f" strokeweight=".5pt">
              <v:stroke joinstyle="round"/>
              <v:formulas/>
              <v:path arrowok="t" o:connecttype="segments"/>
            </v:shape>
            <v:line id="_x0000_s1042" style="position:absolute" from="5588,2450" to="5588,2390" strokeweight=".5pt"/>
            <w10:anchorlock/>
          </v:group>
        </w:pict>
      </w:r>
    </w:p>
    <w:p w:rsidR="00BA070F" w:rsidRDefault="00BA070F">
      <w:pPr>
        <w:rPr>
          <w:sz w:val="20"/>
        </w:rPr>
        <w:sectPr w:rsidR="00BA070F">
          <w:type w:val="continuous"/>
          <w:pgSz w:w="10720" w:h="13950"/>
          <w:pgMar w:top="1300" w:right="1500" w:bottom="280" w:left="1500" w:header="720" w:footer="720" w:gutter="0"/>
          <w:cols w:space="720"/>
        </w:sectPr>
      </w:pPr>
    </w:p>
    <w:p w:rsidR="00BA070F" w:rsidRDefault="00CB07DC">
      <w:pPr>
        <w:pStyle w:val="BodyText"/>
        <w:tabs>
          <w:tab w:val="left" w:pos="3276"/>
          <w:tab w:val="left" w:pos="4460"/>
        </w:tabs>
        <w:spacing w:line="249" w:lineRule="auto"/>
        <w:ind w:left="4652" w:hanging="2691"/>
      </w:pPr>
      <w:r>
        <w:t>Duty</w:t>
      </w:r>
      <w:r>
        <w:tab/>
        <w:t>Breach</w:t>
      </w:r>
      <w:r>
        <w:tab/>
        <w:t>Cause in fact</w:t>
      </w:r>
      <w:r>
        <w:rPr>
          <w:spacing w:val="-4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law</w:t>
      </w:r>
    </w:p>
    <w:p w:rsidR="00BA070F" w:rsidRDefault="00CB07DC">
      <w:pPr>
        <w:pStyle w:val="BodyText"/>
        <w:ind w:left="547"/>
      </w:pPr>
      <w:r>
        <w:br w:type="column"/>
      </w:r>
      <w:proofErr w:type="spellStart"/>
      <w:r>
        <w:t>Defences</w:t>
      </w:r>
      <w:proofErr w:type="spellEnd"/>
    </w:p>
    <w:p w:rsidR="00BA070F" w:rsidRDefault="00BA070F">
      <w:pPr>
        <w:sectPr w:rsidR="00BA070F">
          <w:type w:val="continuous"/>
          <w:pgSz w:w="10720" w:h="13950"/>
          <w:pgMar w:top="1300" w:right="1500" w:bottom="280" w:left="1500" w:header="720" w:footer="720" w:gutter="0"/>
          <w:cols w:num="2" w:space="720" w:equalWidth="0">
            <w:col w:w="5401" w:space="40"/>
            <w:col w:w="2279"/>
          </w:cols>
        </w:sectPr>
      </w:pPr>
    </w:p>
    <w:p w:rsidR="00BA070F" w:rsidRDefault="00BA070F">
      <w:pPr>
        <w:pStyle w:val="BodyText"/>
        <w:rPr>
          <w:sz w:val="20"/>
        </w:rPr>
      </w:pPr>
    </w:p>
    <w:p w:rsidR="00BA070F" w:rsidRDefault="002464F1">
      <w:pPr>
        <w:pStyle w:val="BodyText"/>
        <w:rPr>
          <w:sz w:val="11"/>
        </w:rPr>
      </w:pPr>
      <w:r>
        <w:pict>
          <v:group id="docshapegroup28" o:spid="_x0000_s1034" style="position:absolute;margin-left:84pt;margin-top:7.55pt;width:348pt;height:116.55pt;z-index:-15723520;mso-wrap-distance-left:0;mso-wrap-distance-right:0;mso-position-horizontal-relative:page" coordorigin="1680,151" coordsize="6960,2331">
            <v:shape id="docshape29" o:spid="_x0000_s1037" style="position:absolute;left:1685;top:156;width:6950;height:2321" coordorigin="1685,156" coordsize="6950,2321" path="m8575,156r-6830,l1710,157r-17,7l1686,181r-1,35l1685,2417r1,35l1693,2469r17,7l1745,2477r6830,l8610,2476r18,-7l8634,2452r1,-35l8635,216r-1,-35l8628,164r-18,-7l8575,156xe" fillcolor="#dee9f7" stroked="f">
              <v:path arrowok="t"/>
            </v:shape>
            <v:shape id="docshape30" o:spid="_x0000_s1036" style="position:absolute;left:1685;top:156;width:6950;height:2321" coordorigin="1685,156" coordsize="6950,2321" path="m1745,156r-35,1l1693,164r-7,17l1685,216r,2201l1686,2452r7,17l1710,2476r35,1l8575,2477r35,-1l8628,2469r6,-17l8635,2417r,-2201l8634,181r-6,-17l8610,157r-35,-1l1745,156xe" filled="f" strokecolor="#1b9ad6" strokeweight=".5pt">
              <v:path arrowok="t"/>
            </v:shape>
            <v:shape id="docshape31" o:spid="_x0000_s1035" type="#_x0000_t202" style="position:absolute;left:1702;top:171;width:6915;height:2291" filled="f" stroked="f">
              <v:textbox inset="0,0,0,0">
                <w:txbxContent>
                  <w:p w:rsidR="00BA070F" w:rsidRDefault="00CB07DC">
                    <w:pPr>
                      <w:spacing w:before="129"/>
                      <w:ind w:left="157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color w:val="177BAC"/>
                        <w:sz w:val="20"/>
                      </w:rPr>
                      <w:t>Morris</w:t>
                    </w:r>
                    <w:r>
                      <w:rPr>
                        <w:b/>
                        <w:i/>
                        <w:color w:val="177BAC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7BAC"/>
                        <w:sz w:val="20"/>
                      </w:rPr>
                      <w:t>v</w:t>
                    </w:r>
                    <w:r>
                      <w:rPr>
                        <w:b/>
                        <w:color w:val="177BAC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177BAC"/>
                        <w:sz w:val="20"/>
                      </w:rPr>
                      <w:t>Murray</w:t>
                    </w:r>
                    <w:r>
                      <w:rPr>
                        <w:b/>
                        <w:i/>
                        <w:color w:val="177BAC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7BAC"/>
                        <w:sz w:val="20"/>
                      </w:rPr>
                      <w:t>[1991]</w:t>
                    </w:r>
                    <w:r>
                      <w:rPr>
                        <w:b/>
                        <w:color w:val="177BAC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77BAC"/>
                        <w:sz w:val="20"/>
                      </w:rPr>
                      <w:t>CA</w:t>
                    </w:r>
                  </w:p>
                  <w:p w:rsidR="00BA070F" w:rsidRDefault="00BA070F">
                    <w:pPr>
                      <w:spacing w:before="3"/>
                      <w:rPr>
                        <w:b/>
                        <w:sz w:val="23"/>
                      </w:rPr>
                    </w:pPr>
                  </w:p>
                  <w:p w:rsidR="00BA070F" w:rsidRDefault="00CB07DC">
                    <w:pPr>
                      <w:spacing w:line="326" w:lineRule="auto"/>
                      <w:ind w:left="157" w:right="155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Morris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Murray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(see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Figure</w:t>
                    </w:r>
                    <w:r>
                      <w:rPr>
                        <w:b/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3</w:t>
                    </w:r>
                    <w:r>
                      <w:rPr>
                        <w:color w:val="231F20"/>
                        <w:sz w:val="16"/>
                      </w:rPr>
                      <w:t>)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had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spent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afternoon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drinking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pub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after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which</w:t>
                    </w:r>
                    <w:r>
                      <w:rPr>
                        <w:color w:val="231F2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they decided to take Murray’s light airplane for a spin. Morris drove them both to the airfield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and helped to prepare the plane for take-off. Shortly after the plane took off it crashed, killing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Murray (who was flying the plane) and seriously injuring Morris. It was clear that Murray had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been negligent, however his estate successfully met Morris’s claim for compensation with the</w:t>
                    </w:r>
                    <w:r>
                      <w:rPr>
                        <w:color w:val="231F20"/>
                        <w:spacing w:val="-4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defence</w:t>
                    </w:r>
                    <w:proofErr w:type="spellEnd"/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he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had voluntarily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assumed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 risk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injury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by Murray’s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negligence.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070F" w:rsidRDefault="00BA070F">
      <w:pPr>
        <w:pStyle w:val="BodyText"/>
        <w:rPr>
          <w:sz w:val="20"/>
        </w:rPr>
      </w:pPr>
    </w:p>
    <w:p w:rsidR="00BA070F" w:rsidRDefault="00BA070F">
      <w:pPr>
        <w:pStyle w:val="BodyText"/>
        <w:spacing w:before="5"/>
      </w:pPr>
    </w:p>
    <w:p w:rsidR="00BA070F" w:rsidRDefault="00CB07DC">
      <w:pPr>
        <w:spacing w:before="106"/>
        <w:ind w:left="180"/>
        <w:rPr>
          <w:sz w:val="14"/>
        </w:rPr>
      </w:pPr>
      <w:r>
        <w:rPr>
          <w:b/>
          <w:color w:val="006991"/>
          <w:sz w:val="14"/>
        </w:rPr>
        <w:t>FIGURE</w:t>
      </w:r>
      <w:r>
        <w:rPr>
          <w:b/>
          <w:color w:val="006991"/>
          <w:spacing w:val="9"/>
          <w:sz w:val="14"/>
        </w:rPr>
        <w:t xml:space="preserve"> </w:t>
      </w:r>
      <w:r>
        <w:rPr>
          <w:b/>
          <w:color w:val="006991"/>
          <w:sz w:val="14"/>
        </w:rPr>
        <w:t>3</w:t>
      </w:r>
      <w:r>
        <w:rPr>
          <w:b/>
          <w:color w:val="006991"/>
          <w:spacing w:val="37"/>
          <w:sz w:val="14"/>
        </w:rPr>
        <w:t xml:space="preserve"> </w:t>
      </w:r>
      <w:r>
        <w:rPr>
          <w:color w:val="231F20"/>
          <w:sz w:val="14"/>
        </w:rPr>
        <w:t>case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example:</w:t>
      </w:r>
      <w:r>
        <w:rPr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Morris</w:t>
      </w:r>
      <w:r>
        <w:rPr>
          <w:i/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v</w:t>
      </w:r>
      <w:r>
        <w:rPr>
          <w:color w:val="231F20"/>
          <w:spacing w:val="-4"/>
          <w:sz w:val="14"/>
        </w:rPr>
        <w:t xml:space="preserve"> </w:t>
      </w:r>
      <w:r>
        <w:rPr>
          <w:i/>
          <w:color w:val="231F20"/>
          <w:sz w:val="14"/>
        </w:rPr>
        <w:t>Murray</w:t>
      </w:r>
      <w:r>
        <w:rPr>
          <w:i/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[1991]</w:t>
      </w:r>
    </w:p>
    <w:p w:rsidR="00BA070F" w:rsidRDefault="00BA070F">
      <w:pPr>
        <w:pStyle w:val="BodyText"/>
        <w:spacing w:before="10"/>
        <w:rPr>
          <w:sz w:val="10"/>
        </w:rPr>
      </w:pPr>
    </w:p>
    <w:p w:rsidR="00BA070F" w:rsidRDefault="002464F1">
      <w:pPr>
        <w:ind w:left="1398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group id="docshapegroup32" o:spid="_x0000_s1032" style="width:12.3pt;height:25.25pt;mso-position-horizontal-relative:char;mso-position-vertical-relative:line" coordsize="246,505">
            <v:shape id="docshape33" o:spid="_x0000_s1033" style="position:absolute;width:246;height:505" coordsize="246,505" path="m135,l105,,75,20,65,50r5,20l80,85,90,95r15,10l85,105r-20,5l55,115,40,125,30,155r,10l25,190,15,225r-5,35l,285r,10l35,315,70,225r,280l175,505r,-275l210,315r35,-20l215,155,205,125,190,115,170,105r-35,l165,85r5,-15l175,50,165,20,135,xe" fillcolor="black" stroked="f">
              <v:path arrowok="t"/>
            </v:shape>
            <w10:anchorlock/>
          </v:group>
        </w:pict>
      </w:r>
      <w:r w:rsidR="00CB07DC">
        <w:rPr>
          <w:rFonts w:ascii="Times New Roman"/>
          <w:spacing w:val="18"/>
          <w:position w:val="1"/>
          <w:sz w:val="20"/>
        </w:rPr>
        <w:t xml:space="preserve"> </w:t>
      </w:r>
      <w:r>
        <w:rPr>
          <w:spacing w:val="18"/>
          <w:sz w:val="20"/>
        </w:rPr>
      </w:r>
      <w:r>
        <w:rPr>
          <w:spacing w:val="18"/>
          <w:sz w:val="20"/>
        </w:rPr>
        <w:pict>
          <v:group id="docshapegroup34" o:spid="_x0000_s1029" style="width:209.55pt;height:110.8pt;mso-position-horizontal-relative:char;mso-position-vertical-relative:line" coordsize="4191,2216">
            <v:shape id="docshape35" o:spid="_x0000_s1031" style="position:absolute;left:315;width:3555;height:2156" coordorigin="315" coordsize="3555,2156" o:spt="100" adj="0,,0" path="m741,1560r-426,l315,2155r426,l741,1560xm1782,1560r-420,l1362,2155r420,l1782,1560xm2828,1560r-425,l2403,2155r425,l2828,1560xm3870,l3449,r,2155l3870,2155,3870,xe" fillcolor="blue" stroked="f">
              <v:stroke joinstyle="round"/>
              <v:formulas/>
              <v:path arrowok="t" o:connecttype="segments"/>
            </v:shape>
            <v:shape id="docshape36" o:spid="_x0000_s1030" style="position:absolute;left:5;top:2155;width:4181;height:56" coordorigin="5,2155" coordsize="4181,56" o:spt="100" adj="0,,0" path="m3144,2210r,-55m2098,2210r,-55m1056,2210r,-55m5,2210r,-55l4185,2155r,55e" filled="f" strokeweight=".17675mm">
              <v:stroke joinstyle="round"/>
              <v:formulas/>
              <v:path arrowok="t" o:connecttype="segments"/>
            </v:shape>
            <w10:anchorlock/>
          </v:group>
        </w:pict>
      </w:r>
    </w:p>
    <w:p w:rsidR="00BA070F" w:rsidRDefault="00BA070F">
      <w:pPr>
        <w:rPr>
          <w:sz w:val="20"/>
        </w:rPr>
        <w:sectPr w:rsidR="00BA070F">
          <w:pgSz w:w="10720" w:h="13950"/>
          <w:pgMar w:top="560" w:right="1500" w:bottom="280" w:left="1500" w:header="720" w:footer="720" w:gutter="0"/>
          <w:cols w:space="720"/>
        </w:sectPr>
      </w:pPr>
    </w:p>
    <w:p w:rsidR="00BA070F" w:rsidRDefault="00CB07DC">
      <w:pPr>
        <w:pStyle w:val="BodyText"/>
        <w:tabs>
          <w:tab w:val="left" w:pos="3048"/>
        </w:tabs>
        <w:spacing w:before="41"/>
        <w:ind w:left="2093"/>
      </w:pPr>
      <w:r>
        <w:t>Duty</w:t>
      </w:r>
      <w:r>
        <w:tab/>
      </w:r>
      <w:r>
        <w:rPr>
          <w:spacing w:val="-1"/>
        </w:rPr>
        <w:t>Breach</w:t>
      </w:r>
    </w:p>
    <w:p w:rsidR="00BA070F" w:rsidRDefault="00CB07DC">
      <w:pPr>
        <w:pStyle w:val="BodyText"/>
        <w:spacing w:before="41" w:line="249" w:lineRule="auto"/>
        <w:ind w:left="470" w:right="-13" w:hanging="192"/>
      </w:pPr>
      <w:r>
        <w:br w:type="column"/>
      </w:r>
      <w:r>
        <w:t>Cause in fact</w:t>
      </w:r>
      <w:r>
        <w:rPr>
          <w:spacing w:val="-4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law</w:t>
      </w:r>
    </w:p>
    <w:p w:rsidR="00BA070F" w:rsidRDefault="00CB07DC">
      <w:pPr>
        <w:pStyle w:val="BodyText"/>
        <w:spacing w:before="41"/>
        <w:ind w:left="197"/>
      </w:pPr>
      <w:r>
        <w:br w:type="column"/>
      </w:r>
      <w:proofErr w:type="spellStart"/>
      <w:r>
        <w:t>Defences</w:t>
      </w:r>
      <w:proofErr w:type="spellEnd"/>
    </w:p>
    <w:sectPr w:rsidR="00BA070F">
      <w:type w:val="continuous"/>
      <w:pgSz w:w="10720" w:h="13950"/>
      <w:pgMar w:top="1300" w:right="1500" w:bottom="280" w:left="1500" w:header="720" w:footer="720" w:gutter="0"/>
      <w:cols w:num="3" w:space="720" w:equalWidth="0">
        <w:col w:w="3559" w:space="40"/>
        <w:col w:w="1219" w:space="39"/>
        <w:col w:w="28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DC" w:rsidRDefault="00CB07DC" w:rsidP="00CB07DC">
      <w:r>
        <w:separator/>
      </w:r>
    </w:p>
  </w:endnote>
  <w:endnote w:type="continuationSeparator" w:id="0">
    <w:p w:rsidR="00CB07DC" w:rsidRDefault="00CB07DC" w:rsidP="00CB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DC" w:rsidRDefault="00CB0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DC" w:rsidRDefault="00CB0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DC" w:rsidRDefault="00CB0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DC" w:rsidRDefault="00CB07DC" w:rsidP="00CB07DC">
      <w:r>
        <w:separator/>
      </w:r>
    </w:p>
  </w:footnote>
  <w:footnote w:type="continuationSeparator" w:id="0">
    <w:p w:rsidR="00CB07DC" w:rsidRDefault="00CB07DC" w:rsidP="00CB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DC" w:rsidRDefault="00CB0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DC" w:rsidRDefault="00CB0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DC" w:rsidRDefault="00CB0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70F"/>
    <w:rsid w:val="002464F1"/>
    <w:rsid w:val="00BA070F"/>
    <w:rsid w:val="00C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80C998-0865-4B8D-BBBB-3DE61E21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9"/>
      <w:ind w:left="180" w:right="2327"/>
      <w:jc w:val="both"/>
    </w:pPr>
    <w:rPr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0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7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0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7D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235</Words>
  <Characters>1343</Characters>
  <Application>Microsoft Office Word</Application>
  <DocSecurity>0</DocSecurity>
  <Lines>11</Lines>
  <Paragraphs>3</Paragraphs>
  <ScaleCrop>false</ScaleCrop>
  <Company>Oxford University Press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generated by "Newgen_dhanapal"</dc:title>
  <cp:lastModifiedBy>STEPHENSON, Sarah</cp:lastModifiedBy>
  <cp:revision>3</cp:revision>
  <dcterms:created xsi:type="dcterms:W3CDTF">2021-07-27T10:36:00Z</dcterms:created>
  <dcterms:modified xsi:type="dcterms:W3CDTF">2021-08-13T14:23:00Z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2021-07-27T00:00:00Z</vt:filetime>
  </property>
  <property fmtid="{D5CDD505-2E9C-101B-9397-08002B2CF9AE}" pid="5" name="MSIP_Label_be5cb09a-2992-49d6-8ac9-5f63e7b1ad2f_Enabled">
    <vt:lpwstr>true</vt:lpwstr>
  </property>
  <property fmtid="{D5CDD505-2E9C-101B-9397-08002B2CF9AE}" pid="6" name="MSIP_Label_be5cb09a-2992-49d6-8ac9-5f63e7b1ad2f_SetDate">
    <vt:lpwstr>2021-07-27T10:41:46Z</vt:lpwstr>
  </property>
  <property fmtid="{D5CDD505-2E9C-101B-9397-08002B2CF9AE}" pid="7" name="MSIP_Label_be5cb09a-2992-49d6-8ac9-5f63e7b1ad2f_Method">
    <vt:lpwstr>Standard</vt:lpwstr>
  </property>
  <property fmtid="{D5CDD505-2E9C-101B-9397-08002B2CF9AE}" pid="8" name="MSIP_Label_be5cb09a-2992-49d6-8ac9-5f63e7b1ad2f_Name">
    <vt:lpwstr>Controlled</vt:lpwstr>
  </property>
  <property fmtid="{D5CDD505-2E9C-101B-9397-08002B2CF9AE}" pid="9" name="MSIP_Label_be5cb09a-2992-49d6-8ac9-5f63e7b1ad2f_SiteId">
    <vt:lpwstr>91761b62-4c45-43f5-9f0e-be8ad9b551ff</vt:lpwstr>
  </property>
  <property fmtid="{D5CDD505-2E9C-101B-9397-08002B2CF9AE}" pid="10" name="MSIP_Label_be5cb09a-2992-49d6-8ac9-5f63e7b1ad2f_ActionId">
    <vt:lpwstr>cd970486-562f-4878-979f-0000cecb8ef7</vt:lpwstr>
  </property>
  <property fmtid="{D5CDD505-2E9C-101B-9397-08002B2CF9AE}" pid="11" name="MSIP_Label_be5cb09a-2992-49d6-8ac9-5f63e7b1ad2f_ContentBits">
    <vt:lpwstr>0</vt:lpwstr>
  </property>
</Properties>
</file>