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A16C8" w14:textId="77777777" w:rsidR="007C7F8B" w:rsidRDefault="008D2DF0">
      <w:pPr>
        <w:pStyle w:val="APPA"/>
        <w:suppressAutoHyphens w:val="0"/>
        <w:spacing w:before="0" w:after="0" w:line="480" w:lineRule="auto"/>
        <w:jc w:val="both"/>
        <w:rPr>
          <w:rFonts w:ascii="Arial" w:hAnsi="Arial" w:cs="Arial"/>
          <w:b/>
          <w:color w:val="00000A"/>
          <w:spacing w:val="0"/>
          <w:sz w:val="22"/>
          <w:szCs w:val="20"/>
        </w:rPr>
      </w:pPr>
      <w:r>
        <w:rPr>
          <w:rFonts w:ascii="Arial" w:hAnsi="Arial" w:cs="Arial"/>
          <w:b/>
          <w:color w:val="00000A"/>
          <w:spacing w:val="0"/>
          <w:sz w:val="22"/>
          <w:szCs w:val="20"/>
        </w:rPr>
        <w:t>CHAPTER 15</w:t>
      </w:r>
    </w:p>
    <w:p w14:paraId="0E83D789"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1</w:t>
      </w:r>
    </w:p>
    <w:p w14:paraId="72F06B4C"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general rule in a criminal case is that the prosecution bears the burden of proving a defendant’s guilt beyond reasonable doubt. It is known as the legal burden of proof and it requires the prosecution to prove the essential elements of the offence charged. The principle is enshrined in </w:t>
      </w:r>
      <w:r>
        <w:rPr>
          <w:rStyle w:val="italic"/>
          <w:rFonts w:ascii="Arial" w:hAnsi="Arial" w:cs="Arial"/>
          <w:color w:val="00000A"/>
          <w:sz w:val="22"/>
          <w:szCs w:val="20"/>
        </w:rPr>
        <w:t>Woolmington v DPP</w:t>
      </w:r>
      <w:r>
        <w:rPr>
          <w:rFonts w:ascii="Arial" w:hAnsi="Arial" w:cs="Arial"/>
          <w:color w:val="00000A"/>
          <w:sz w:val="22"/>
          <w:szCs w:val="20"/>
        </w:rPr>
        <w:t xml:space="preserve"> [1935] AC 463 and is consistent with the presumption of innocence safeguarded by Article 6(2) ECHR.</w:t>
      </w:r>
    </w:p>
    <w:p w14:paraId="0C513C39" w14:textId="77777777" w:rsidR="007C7F8B" w:rsidRDefault="007C7F8B">
      <w:pPr>
        <w:pStyle w:val="APPTXTfirst"/>
        <w:spacing w:line="480" w:lineRule="auto"/>
        <w:rPr>
          <w:rFonts w:ascii="Arial" w:hAnsi="Arial" w:cs="Arial"/>
          <w:color w:val="00000A"/>
          <w:sz w:val="22"/>
          <w:szCs w:val="20"/>
        </w:rPr>
      </w:pPr>
    </w:p>
    <w:p w14:paraId="238002B1"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2</w:t>
      </w:r>
    </w:p>
    <w:p w14:paraId="00F40BAF"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Reverse onus clauses refer to those instances in which a legal burden of proof is cast on a defendant to effectively prove his innocence. A statutory section may impose a legal burden of proof on a defendant expressly or by implication. A number of different statutes impose a legal burden of proof on a defendant. For this reason, it is always important to research the elements of the offence which your client is suspected of or with which the client is charged.</w:t>
      </w:r>
    </w:p>
    <w:p w14:paraId="2D70E1B6" w14:textId="77777777" w:rsidR="007C7F8B" w:rsidRDefault="007C7F8B">
      <w:pPr>
        <w:pStyle w:val="APPTXTfirst"/>
        <w:spacing w:line="480" w:lineRule="auto"/>
        <w:rPr>
          <w:rFonts w:ascii="Arial" w:hAnsi="Arial" w:cs="Arial"/>
          <w:color w:val="00000A"/>
          <w:sz w:val="22"/>
          <w:szCs w:val="20"/>
        </w:rPr>
      </w:pPr>
    </w:p>
    <w:p w14:paraId="5E8FD23E" w14:textId="77777777" w:rsidR="007C7F8B" w:rsidRDefault="008D2DF0">
      <w:pPr>
        <w:pStyle w:val="APPB"/>
        <w:suppressAutoHyphens w:val="0"/>
        <w:spacing w:before="0" w:after="0" w:line="480" w:lineRule="auto"/>
        <w:jc w:val="both"/>
        <w:rPr>
          <w:rFonts w:ascii="Arial" w:hAnsi="Arial" w:cs="Arial"/>
          <w:color w:val="00000A"/>
          <w:spacing w:val="0"/>
          <w:sz w:val="22"/>
          <w:szCs w:val="20"/>
        </w:rPr>
      </w:pPr>
      <w:r>
        <w:rPr>
          <w:rFonts w:ascii="Arial" w:hAnsi="Arial" w:cs="Arial"/>
          <w:color w:val="00000A"/>
          <w:spacing w:val="0"/>
          <w:sz w:val="22"/>
          <w:szCs w:val="20"/>
        </w:rPr>
        <w:t>QUESTION 3</w:t>
      </w:r>
    </w:p>
    <w:p w14:paraId="4E8172AC" w14:textId="77777777" w:rsidR="007C7F8B" w:rsidRDefault="008D2DF0">
      <w:pPr>
        <w:pStyle w:val="APPTXTfirst"/>
        <w:spacing w:line="480" w:lineRule="auto"/>
        <w:rPr>
          <w:rFonts w:ascii="Arial" w:hAnsi="Arial" w:cs="Arial"/>
          <w:color w:val="00000A"/>
          <w:sz w:val="22"/>
          <w:szCs w:val="20"/>
        </w:rPr>
      </w:pPr>
      <w:r>
        <w:rPr>
          <w:rFonts w:ascii="Arial" w:hAnsi="Arial" w:cs="Arial"/>
          <w:color w:val="00000A"/>
          <w:sz w:val="22"/>
          <w:szCs w:val="20"/>
        </w:rPr>
        <w:t xml:space="preserve">The current guidelines are contained in the Court of Appeal’s judgment in </w:t>
      </w:r>
      <w:r>
        <w:rPr>
          <w:rStyle w:val="italic"/>
          <w:rFonts w:ascii="Arial" w:hAnsi="Arial" w:cs="Arial"/>
          <w:color w:val="00000A"/>
          <w:sz w:val="22"/>
          <w:szCs w:val="20"/>
        </w:rPr>
        <w:t>Attorney-General’s Reference (No. 1 of 2004</w:t>
      </w:r>
      <w:r>
        <w:rPr>
          <w:rStyle w:val="ITALIC0"/>
          <w:rFonts w:ascii="Arial" w:hAnsi="Arial" w:cs="Arial"/>
          <w:color w:val="00000A"/>
          <w:sz w:val="22"/>
          <w:szCs w:val="20"/>
        </w:rPr>
        <w:t>)</w:t>
      </w:r>
      <w:r>
        <w:rPr>
          <w:rFonts w:ascii="Arial" w:hAnsi="Arial" w:cs="Arial"/>
          <w:color w:val="00000A"/>
          <w:sz w:val="22"/>
          <w:szCs w:val="20"/>
        </w:rPr>
        <w:t xml:space="preserve"> [2004] 1 WLR 2111. Relevant factors include:</w:t>
      </w:r>
    </w:p>
    <w:p w14:paraId="5719000F"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definition of the offence and the elements the prosecution must prove;</w:t>
      </w:r>
    </w:p>
    <w:p w14:paraId="7524158A"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ease with which a defendant can establish a particular defence;</w:t>
      </w:r>
    </w:p>
    <w:p w14:paraId="045B4406"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whether the offence is of a regulatory nature;</w:t>
      </w:r>
    </w:p>
    <w:p w14:paraId="3C4D5B71" w14:textId="77777777" w:rsidR="007C7F8B" w:rsidRDefault="008D2DF0">
      <w:pPr>
        <w:pStyle w:val="APPL"/>
        <w:spacing w:after="0" w:line="480" w:lineRule="auto"/>
        <w:ind w:left="238" w:hanging="238"/>
        <w:rPr>
          <w:rFonts w:ascii="Arial" w:hAnsi="Arial" w:cs="Arial"/>
          <w:color w:val="00000A"/>
          <w:sz w:val="22"/>
          <w:szCs w:val="20"/>
        </w:rPr>
      </w:pPr>
      <w:r>
        <w:rPr>
          <w:rFonts w:ascii="Arial" w:hAnsi="Arial" w:cs="Arial"/>
          <w:color w:val="00000A"/>
          <w:sz w:val="22"/>
          <w:szCs w:val="20"/>
        </w:rPr>
        <w:t>•</w:t>
      </w:r>
      <w:r>
        <w:rPr>
          <w:rFonts w:ascii="Arial" w:hAnsi="Arial" w:cs="Arial"/>
          <w:color w:val="00000A"/>
          <w:sz w:val="22"/>
          <w:szCs w:val="20"/>
        </w:rPr>
        <w:tab/>
        <w:t>the severity of the penalty that conviction carries;</w:t>
      </w:r>
    </w:p>
    <w:p w14:paraId="7EB9DFE7" w14:textId="77777777" w:rsidR="007C7F8B" w:rsidRDefault="008D2DF0">
      <w:pPr>
        <w:pStyle w:val="APPL"/>
        <w:spacing w:after="0" w:line="480" w:lineRule="auto"/>
        <w:ind w:left="238" w:hanging="238"/>
      </w:pPr>
      <w:r>
        <w:rPr>
          <w:rFonts w:ascii="Arial" w:hAnsi="Arial" w:cs="Arial"/>
          <w:color w:val="00000A"/>
          <w:sz w:val="22"/>
          <w:szCs w:val="20"/>
        </w:rPr>
        <w:t>•</w:t>
      </w:r>
      <w:r>
        <w:rPr>
          <w:rFonts w:ascii="Arial" w:hAnsi="Arial" w:cs="Arial"/>
          <w:color w:val="00000A"/>
          <w:sz w:val="22"/>
          <w:szCs w:val="20"/>
        </w:rPr>
        <w:tab/>
        <w:t>whether the imposition of a legal burden of proof is proportionate to the aim of the legislation and if it is not, whether it can be read down to impose an evidential burden of proof only.</w:t>
      </w:r>
      <w:bookmarkStart w:id="0" w:name="_GoBack"/>
      <w:bookmarkEnd w:id="0"/>
    </w:p>
    <w:sectPr w:rsidR="007C7F8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68A48" w14:textId="77777777" w:rsidR="008D2DF0" w:rsidRDefault="008D2DF0">
      <w:pPr>
        <w:spacing w:after="0" w:line="240" w:lineRule="auto"/>
      </w:pPr>
      <w:r>
        <w:separator/>
      </w:r>
    </w:p>
  </w:endnote>
  <w:endnote w:type="continuationSeparator" w:id="0">
    <w:p w14:paraId="3A344116" w14:textId="77777777" w:rsidR="008D2DF0" w:rsidRDefault="008D2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Italic">
    <w:altName w:val="Times New Roman"/>
    <w:charset w:val="01"/>
    <w:family w:val="roman"/>
    <w:pitch w:val="variable"/>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Frutiger-BlackCn">
    <w:altName w:val="Calibri"/>
    <w:panose1 w:val="00000000000000000000"/>
    <w:charset w:val="4D"/>
    <w:family w:val="auto"/>
    <w:notTrueType/>
    <w:pitch w:val="default"/>
    <w:sig w:usb0="00000003" w:usb1="00000000" w:usb2="00000000" w:usb3="00000000" w:csb0="00000001" w:csb1="00000000"/>
  </w:font>
  <w:font w:name="StoneSerif">
    <w:altName w:val="Cambria"/>
    <w:charset w:val="01"/>
    <w:family w:val="roman"/>
    <w:pitch w:val="variable"/>
  </w:font>
  <w:font w:name="Frutiger-BoldCn">
    <w:altName w:val="Cambria"/>
    <w:charset w:val="01"/>
    <w:family w:val="roman"/>
    <w:pitch w:val="variable"/>
  </w:font>
  <w:font w:name="StoneSerif-Semibold">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 w:name="OUP Swift">
    <w:altName w:val="Calibri"/>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771DE" w14:textId="77777777" w:rsidR="009C39D5" w:rsidRDefault="009C39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E6E41" w14:textId="77777777" w:rsidR="007C7F8B" w:rsidRDefault="008D2DF0">
    <w:pPr>
      <w:pStyle w:val="Footer"/>
      <w:pBdr>
        <w:top w:val="single" w:sz="4" w:space="1" w:color="808080"/>
      </w:pBdr>
      <w:jc w:val="right"/>
      <w:rPr>
        <w:rFonts w:ascii="OUP Swift" w:hAnsi="OUP Swift"/>
        <w:color w:val="808080"/>
      </w:rPr>
    </w:pPr>
    <w:r>
      <w:rPr>
        <w:noProof/>
        <w:lang w:eastAsia="en-GB"/>
      </w:rPr>
      <w:drawing>
        <wp:inline distT="0" distB="0" distL="0" distR="0" wp14:anchorId="786FE05B" wp14:editId="76FEF65F">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219200" cy="457200"/>
                  </a:xfrm>
                  <a:prstGeom prst="rect">
                    <a:avLst/>
                  </a:prstGeom>
                  <a:noFill/>
                  <a:ln w="9525">
                    <a:noFill/>
                    <a:miter lim="800000"/>
                    <a:headEnd/>
                    <a:tailEnd/>
                  </a:ln>
                </pic:spPr>
              </pic:pic>
            </a:graphicData>
          </a:graphic>
        </wp:inline>
      </w:drawing>
    </w:r>
  </w:p>
  <w:p w14:paraId="63B8649D" w14:textId="36C76687" w:rsidR="007C7F8B" w:rsidRDefault="008D2DF0">
    <w:pPr>
      <w:pStyle w:val="Footer"/>
      <w:rPr>
        <w:rFonts w:ascii="Arial" w:hAnsi="Arial"/>
        <w:color w:val="808080"/>
      </w:rPr>
    </w:pPr>
    <w:r>
      <w:rPr>
        <w:rFonts w:ascii="Arial" w:hAnsi="Arial"/>
        <w:color w:val="808080"/>
      </w:rPr>
      <w:t>© Oxford University Press, 20</w:t>
    </w:r>
    <w:r w:rsidR="00B82FC5">
      <w:rPr>
        <w:rFonts w:ascii="Arial" w:hAnsi="Arial"/>
        <w:color w:val="808080"/>
      </w:rPr>
      <w:t>2</w:t>
    </w:r>
    <w:r w:rsidR="009C39D5">
      <w:rPr>
        <w:rFonts w:ascii="Arial" w:hAnsi="Arial"/>
        <w:color w:val="808080"/>
      </w:rPr>
      <w:t>1</w:t>
    </w:r>
    <w:r>
      <w:rPr>
        <w:rFonts w:ascii="Arial" w:hAnsi="Arial"/>
        <w:color w:val="808080"/>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0092D" w14:textId="77777777" w:rsidR="009C39D5" w:rsidRDefault="009C3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FA9AA" w14:textId="77777777" w:rsidR="008D2DF0" w:rsidRDefault="008D2DF0">
      <w:pPr>
        <w:spacing w:after="0" w:line="240" w:lineRule="auto"/>
      </w:pPr>
      <w:r>
        <w:separator/>
      </w:r>
    </w:p>
  </w:footnote>
  <w:footnote w:type="continuationSeparator" w:id="0">
    <w:p w14:paraId="024CF8A0" w14:textId="77777777" w:rsidR="008D2DF0" w:rsidRDefault="008D2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EE362" w14:textId="77777777" w:rsidR="009C39D5" w:rsidRDefault="009C39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A710C" w14:textId="0B046C03" w:rsidR="007C7F8B" w:rsidRDefault="008D2DF0">
    <w:pPr>
      <w:pStyle w:val="Header"/>
      <w:pBdr>
        <w:bottom w:val="single" w:sz="4" w:space="1" w:color="808080"/>
      </w:pBdr>
      <w:jc w:val="center"/>
    </w:pPr>
    <w:r>
      <w:rPr>
        <w:rFonts w:ascii="Arial" w:hAnsi="Arial"/>
        <w:color w:val="808080"/>
        <w:sz w:val="24"/>
      </w:rPr>
      <w:t xml:space="preserve">Hannibal &amp; Mountford: </w:t>
    </w:r>
    <w:r>
      <w:rPr>
        <w:rFonts w:ascii="Arial" w:hAnsi="Arial"/>
        <w:i/>
        <w:color w:val="808080"/>
        <w:sz w:val="24"/>
      </w:rPr>
      <w:t>Criminal Litigation</w:t>
    </w:r>
    <w:r>
      <w:rPr>
        <w:rFonts w:ascii="Arial" w:hAnsi="Arial"/>
        <w:color w:val="808080"/>
        <w:sz w:val="24"/>
      </w:rPr>
      <w:t xml:space="preserve"> </w:t>
    </w:r>
    <w:r w:rsidR="009C39D5" w:rsidRPr="009C39D5">
      <w:rPr>
        <w:rFonts w:ascii="Arial" w:hAnsi="Arial"/>
        <w:color w:val="808080"/>
        <w:sz w:val="24"/>
      </w:rPr>
      <w:t>17e</w:t>
    </w:r>
  </w:p>
  <w:p w14:paraId="57DFA317" w14:textId="77777777" w:rsidR="007C7F8B" w:rsidRDefault="008D2DF0">
    <w:pPr>
      <w:pStyle w:val="Header"/>
      <w:pBdr>
        <w:bottom w:val="single" w:sz="4" w:space="1" w:color="808080"/>
      </w:pBdr>
      <w:jc w:val="center"/>
      <w:rPr>
        <w:rFonts w:ascii="Arial" w:hAnsi="Arial"/>
        <w:color w:val="808080"/>
        <w:sz w:val="24"/>
      </w:rPr>
    </w:pPr>
    <w:r>
      <w:rPr>
        <w:rFonts w:ascii="Arial" w:hAnsi="Arial"/>
        <w:color w:val="808080"/>
        <w:sz w:val="24"/>
      </w:rPr>
      <w:t>Answers to self-test questions – Chapter 15</w:t>
    </w:r>
  </w:p>
  <w:p w14:paraId="39809002" w14:textId="77777777" w:rsidR="007C7F8B" w:rsidRDefault="007C7F8B">
    <w:pPr>
      <w:pStyle w:val="Header"/>
      <w:pBdr>
        <w:bottom w:val="single" w:sz="4" w:space="1" w:color="808080"/>
      </w:pBdr>
      <w:jc w:val="center"/>
      <w:rPr>
        <w:rFonts w:ascii="Arial" w:hAnsi="Arial"/>
        <w:color w:val="808080"/>
        <w:sz w:val="24"/>
      </w:rPr>
    </w:pPr>
  </w:p>
  <w:p w14:paraId="142170B9" w14:textId="77777777" w:rsidR="007C7F8B" w:rsidRDefault="007C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78C2" w14:textId="77777777" w:rsidR="009C39D5" w:rsidRDefault="009C39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F8B"/>
    <w:rsid w:val="00090E6D"/>
    <w:rsid w:val="007C7F8B"/>
    <w:rsid w:val="008D2DF0"/>
    <w:rsid w:val="009C39D5"/>
    <w:rsid w:val="00B82FC5"/>
    <w:rsid w:val="00BF2F74"/>
    <w:rsid w:val="00BF62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74E3B"/>
  <w15:docId w15:val="{8397FFE5-93C0-42B9-8880-AC235B50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61FA9"/>
  </w:style>
  <w:style w:type="character" w:customStyle="1" w:styleId="FooterChar">
    <w:name w:val="Footer Char"/>
    <w:basedOn w:val="DefaultParagraphFont"/>
    <w:link w:val="Footer"/>
    <w:uiPriority w:val="99"/>
    <w:qFormat/>
    <w:rsid w:val="00861FA9"/>
  </w:style>
  <w:style w:type="character" w:customStyle="1" w:styleId="BalloonTextChar">
    <w:name w:val="Balloon Text Char"/>
    <w:basedOn w:val="DefaultParagraphFont"/>
    <w:link w:val="BalloonText"/>
    <w:uiPriority w:val="99"/>
    <w:semiHidden/>
    <w:qFormat/>
    <w:rsid w:val="00861FA9"/>
    <w:rPr>
      <w:rFonts w:ascii="Tahoma" w:hAnsi="Tahoma" w:cs="Tahoma"/>
      <w:sz w:val="16"/>
      <w:szCs w:val="16"/>
    </w:rPr>
  </w:style>
  <w:style w:type="character" w:customStyle="1" w:styleId="frutigerboldital">
    <w:name w:val="frutiger.boldital"/>
    <w:qFormat/>
    <w:rsid w:val="00403E89"/>
    <w:rPr>
      <w:rFonts w:ascii="Frutiger-BoldItalic" w:hAnsi="Frutiger-BoldItalic" w:cs="Frutiger-BoldItalic"/>
      <w:b/>
      <w:bCs/>
      <w:i/>
      <w:iCs/>
    </w:rPr>
  </w:style>
  <w:style w:type="character" w:customStyle="1" w:styleId="italic">
    <w:name w:val="italic"/>
    <w:qFormat/>
    <w:rsid w:val="00712106"/>
    <w:rPr>
      <w:i/>
      <w:iCs/>
    </w:rPr>
  </w:style>
  <w:style w:type="character" w:customStyle="1" w:styleId="ITALIC0">
    <w:name w:val="ITALIC"/>
    <w:qFormat/>
    <w:rsid w:val="00302AD0"/>
    <w:rPr>
      <w:i/>
      <w:iCs/>
      <w:w w:val="100"/>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61FA9"/>
    <w:pPr>
      <w:tabs>
        <w:tab w:val="center" w:pos="4513"/>
        <w:tab w:val="right" w:pos="9026"/>
      </w:tabs>
      <w:spacing w:after="0" w:line="240" w:lineRule="auto"/>
    </w:pPr>
  </w:style>
  <w:style w:type="paragraph" w:styleId="Footer">
    <w:name w:val="footer"/>
    <w:basedOn w:val="Normal"/>
    <w:link w:val="FooterChar"/>
    <w:uiPriority w:val="99"/>
    <w:unhideWhenUsed/>
    <w:rsid w:val="00861FA9"/>
    <w:pPr>
      <w:tabs>
        <w:tab w:val="center" w:pos="4513"/>
        <w:tab w:val="right" w:pos="9026"/>
      </w:tabs>
      <w:spacing w:after="0" w:line="240" w:lineRule="auto"/>
    </w:pPr>
  </w:style>
  <w:style w:type="paragraph" w:customStyle="1" w:styleId="APPA">
    <w:name w:val="APP_A"/>
    <w:basedOn w:val="Normal"/>
    <w:qFormat/>
    <w:rsid w:val="00861FA9"/>
    <w:pPr>
      <w:widowControl w:val="0"/>
      <w:spacing w:before="170" w:after="40" w:line="230" w:lineRule="atLeast"/>
      <w:textAlignment w:val="center"/>
    </w:pPr>
    <w:rPr>
      <w:rFonts w:ascii="Frutiger-BlackCn" w:eastAsia="Times New Roman" w:hAnsi="Frutiger-BlackCn" w:cs="Frutiger-BlackCn"/>
      <w:color w:val="000000"/>
      <w:spacing w:val="17"/>
      <w:sz w:val="18"/>
      <w:szCs w:val="18"/>
    </w:rPr>
  </w:style>
  <w:style w:type="paragraph" w:customStyle="1" w:styleId="APPL">
    <w:name w:val="APP_L"/>
    <w:basedOn w:val="Normal"/>
    <w:qFormat/>
    <w:rsid w:val="00861FA9"/>
    <w:pPr>
      <w:widowControl w:val="0"/>
      <w:tabs>
        <w:tab w:val="left" w:pos="168"/>
        <w:tab w:val="left" w:pos="360"/>
        <w:tab w:val="left" w:pos="460"/>
      </w:tabs>
      <w:spacing w:after="70" w:line="230" w:lineRule="atLeast"/>
      <w:jc w:val="both"/>
      <w:textAlignment w:val="center"/>
    </w:pPr>
    <w:rPr>
      <w:rFonts w:ascii="StoneSerif" w:eastAsia="Times New Roman" w:hAnsi="StoneSerif" w:cs="StoneSerif"/>
      <w:color w:val="000000"/>
      <w:sz w:val="16"/>
      <w:szCs w:val="16"/>
    </w:rPr>
  </w:style>
  <w:style w:type="paragraph" w:styleId="BalloonText">
    <w:name w:val="Balloon Text"/>
    <w:basedOn w:val="Normal"/>
    <w:link w:val="BalloonTextChar"/>
    <w:uiPriority w:val="99"/>
    <w:semiHidden/>
    <w:unhideWhenUsed/>
    <w:qFormat/>
    <w:rsid w:val="00861FA9"/>
    <w:pPr>
      <w:spacing w:after="0" w:line="240" w:lineRule="auto"/>
    </w:pPr>
    <w:rPr>
      <w:rFonts w:ascii="Tahoma" w:hAnsi="Tahoma" w:cs="Tahoma"/>
      <w:sz w:val="16"/>
      <w:szCs w:val="16"/>
    </w:rPr>
  </w:style>
  <w:style w:type="paragraph" w:customStyle="1" w:styleId="APPB">
    <w:name w:val="APP_B"/>
    <w:basedOn w:val="Normal"/>
    <w:qFormat/>
    <w:rsid w:val="00403E89"/>
    <w:pPr>
      <w:widowControl w:val="0"/>
      <w:spacing w:before="232" w:after="40" w:line="230" w:lineRule="atLeast"/>
      <w:textAlignment w:val="center"/>
    </w:pPr>
    <w:rPr>
      <w:rFonts w:ascii="Frutiger-BoldCn" w:eastAsia="Times New Roman" w:hAnsi="Frutiger-BoldCn" w:cs="Frutiger-BoldCn"/>
      <w:b/>
      <w:bCs/>
      <w:color w:val="000000"/>
      <w:spacing w:val="15"/>
      <w:sz w:val="16"/>
      <w:szCs w:val="16"/>
    </w:rPr>
  </w:style>
  <w:style w:type="paragraph" w:customStyle="1" w:styleId="APPTXTfirst">
    <w:name w:val="APP_TXT.first"/>
    <w:basedOn w:val="Normal"/>
    <w:qFormat/>
    <w:rsid w:val="00403E89"/>
    <w:pPr>
      <w:widowControl w:val="0"/>
      <w:spacing w:after="0" w:line="230" w:lineRule="atLeast"/>
      <w:jc w:val="both"/>
      <w:textAlignment w:val="center"/>
    </w:pPr>
    <w:rPr>
      <w:rFonts w:ascii="StoneSerif" w:eastAsia="Times New Roman" w:hAnsi="StoneSerif" w:cs="StoneSerif"/>
      <w:color w:val="000000"/>
      <w:sz w:val="16"/>
      <w:szCs w:val="16"/>
    </w:rPr>
  </w:style>
  <w:style w:type="paragraph" w:customStyle="1" w:styleId="APPTXT">
    <w:name w:val="APP_TXT"/>
    <w:basedOn w:val="Normal"/>
    <w:qFormat/>
    <w:rsid w:val="00403E89"/>
    <w:pPr>
      <w:widowControl w:val="0"/>
      <w:spacing w:after="0" w:line="230" w:lineRule="atLeast"/>
      <w:ind w:firstLine="160"/>
      <w:jc w:val="both"/>
      <w:textAlignment w:val="center"/>
    </w:pPr>
    <w:rPr>
      <w:rFonts w:ascii="StoneSerif" w:eastAsia="Times New Roman" w:hAnsi="StoneSerif" w:cs="StoneSerif"/>
      <w:color w:val="000000"/>
      <w:sz w:val="16"/>
      <w:szCs w:val="16"/>
    </w:rPr>
  </w:style>
  <w:style w:type="paragraph" w:customStyle="1" w:styleId="APPC">
    <w:name w:val="APP_C"/>
    <w:basedOn w:val="Normal"/>
    <w:qFormat/>
    <w:rsid w:val="00D6575A"/>
    <w:pPr>
      <w:widowControl w:val="0"/>
      <w:spacing w:before="170" w:after="40" w:line="230" w:lineRule="atLeast"/>
      <w:textAlignment w:val="center"/>
    </w:pPr>
    <w:rPr>
      <w:rFonts w:ascii="StoneSerif-Semibold" w:eastAsia="Times New Roman" w:hAnsi="StoneSerif-Semibold" w:cs="StoneSerif-Semibold"/>
      <w:color w:val="000000"/>
      <w:spacing w:val="15"/>
      <w:sz w:val="16"/>
      <w:szCs w:val="16"/>
    </w:rPr>
  </w:style>
  <w:style w:type="paragraph" w:customStyle="1" w:styleId="EXTONLY">
    <w:name w:val="EXT_ONLY"/>
    <w:basedOn w:val="Normal"/>
    <w:qFormat/>
    <w:rsid w:val="00D6575A"/>
    <w:pPr>
      <w:widowControl w:val="0"/>
      <w:spacing w:before="120" w:after="120" w:line="210" w:lineRule="atLeast"/>
      <w:ind w:left="160" w:right="160"/>
      <w:jc w:val="both"/>
      <w:textAlignment w:val="center"/>
    </w:pPr>
    <w:rPr>
      <w:rFonts w:ascii="StoneSerif" w:eastAsia="Times New Roman" w:hAnsi="StoneSerif" w:cs="StoneSerif"/>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Helen</dc:creator>
  <cp:lastModifiedBy>MERRICK, Hayden</cp:lastModifiedBy>
  <cp:revision>4</cp:revision>
  <cp:lastPrinted>2015-08-17T15:42:00Z</cp:lastPrinted>
  <dcterms:created xsi:type="dcterms:W3CDTF">2019-07-22T12:54:00Z</dcterms:created>
  <dcterms:modified xsi:type="dcterms:W3CDTF">2021-07-12T11:11:00Z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Oxford University Press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-1280089455</vt:i4>
  </property>
  <property fmtid="{D5CDD505-2E9C-101B-9397-08002B2CF9AE}" pid="10" name="_NewReviewCycle">
    <vt:lpwstr/>
  </property>
  <property fmtid="{D5CDD505-2E9C-101B-9397-08002B2CF9AE}" pid="11" name="_EmailSubject">
    <vt:lpwstr>Hannibal and Mountford ORC</vt:lpwstr>
  </property>
  <property fmtid="{D5CDD505-2E9C-101B-9397-08002B2CF9AE}" pid="12" name="_AuthorEmail">
    <vt:lpwstr>Liana.Green@oup.com</vt:lpwstr>
  </property>
  <property fmtid="{D5CDD505-2E9C-101B-9397-08002B2CF9AE}" pid="13" name="_AuthorEmailDisplayName">
    <vt:lpwstr>GREEN, Liana</vt:lpwstr>
  </property>
  <property fmtid="{D5CDD505-2E9C-101B-9397-08002B2CF9AE}" pid="14" name="_ReviewingToolsShownOnce">
    <vt:lpwstr/>
  </property>
  <property fmtid="{D5CDD505-2E9C-101B-9397-08002B2CF9AE}" pid="15" name="MSIP_Label_be5cb09a-2992-49d6-8ac9-5f63e7b1ad2f_Enabled">
    <vt:lpwstr>true</vt:lpwstr>
  </property>
  <property fmtid="{D5CDD505-2E9C-101B-9397-08002B2CF9AE}" pid="16" name="MSIP_Label_be5cb09a-2992-49d6-8ac9-5f63e7b1ad2f_SetDate">
    <vt:lpwstr>2021-07-12T11:11:56Z</vt:lpwstr>
  </property>
  <property fmtid="{D5CDD505-2E9C-101B-9397-08002B2CF9AE}" pid="17" name="MSIP_Label_be5cb09a-2992-49d6-8ac9-5f63e7b1ad2f_Method">
    <vt:lpwstr>Standard</vt:lpwstr>
  </property>
  <property fmtid="{D5CDD505-2E9C-101B-9397-08002B2CF9AE}" pid="18" name="MSIP_Label_be5cb09a-2992-49d6-8ac9-5f63e7b1ad2f_Name">
    <vt:lpwstr>Controlled</vt:lpwstr>
  </property>
  <property fmtid="{D5CDD505-2E9C-101B-9397-08002B2CF9AE}" pid="19" name="MSIP_Label_be5cb09a-2992-49d6-8ac9-5f63e7b1ad2f_SiteId">
    <vt:lpwstr>91761b62-4c45-43f5-9f0e-be8ad9b551ff</vt:lpwstr>
  </property>
  <property fmtid="{D5CDD505-2E9C-101B-9397-08002B2CF9AE}" pid="20" name="MSIP_Label_be5cb09a-2992-49d6-8ac9-5f63e7b1ad2f_ActionId">
    <vt:lpwstr>bd187226-df61-4a16-8b09-0000f4d4e145</vt:lpwstr>
  </property>
  <property fmtid="{D5CDD505-2E9C-101B-9397-08002B2CF9AE}" pid="21" name="MSIP_Label_be5cb09a-2992-49d6-8ac9-5f63e7b1ad2f_ContentBits">
    <vt:lpwstr>0</vt:lpwstr>
  </property>
</Properties>
</file>