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6421476" w14:textId="77777777" w:rsidR="00EE4295" w:rsidRDefault="00D2432F">
      <w:pPr>
        <w:pStyle w:val="APPA"/>
        <w:suppressAutoHyphens w:val="0"/>
        <w:spacing w:before="0" w:after="0" w:line="480" w:lineRule="auto"/>
        <w:jc w:val="both"/>
        <w:rPr>
          <w:rFonts w:ascii="Arial" w:hAnsi="Arial" w:cs="Arial"/>
          <w:b/>
          <w:color w:val="00000A"/>
          <w:spacing w:val="0"/>
          <w:sz w:val="24"/>
          <w:szCs w:val="24"/>
        </w:rPr>
      </w:pPr>
      <w:r>
        <w:rPr>
          <w:rFonts w:ascii="Arial" w:hAnsi="Arial" w:cs="Arial"/>
          <w:b/>
          <w:color w:val="00000A"/>
          <w:spacing w:val="0"/>
          <w:sz w:val="24"/>
          <w:szCs w:val="24"/>
        </w:rPr>
        <w:t>CHAPTER 5</w:t>
      </w:r>
    </w:p>
    <w:p w14:paraId="7017DB8A" w14:textId="77777777" w:rsidR="00EE4295" w:rsidRDefault="00D2432F">
      <w:pPr>
        <w:pStyle w:val="APPB"/>
        <w:suppressAutoHyphens w:val="0"/>
        <w:spacing w:before="0" w:after="0" w:line="480" w:lineRule="auto"/>
        <w:jc w:val="both"/>
        <w:rPr>
          <w:rFonts w:ascii="Arial" w:hAnsi="Arial" w:cs="Arial"/>
          <w:color w:val="00000A"/>
          <w:spacing w:val="0"/>
          <w:sz w:val="24"/>
          <w:szCs w:val="24"/>
        </w:rPr>
      </w:pPr>
      <w:r>
        <w:rPr>
          <w:rFonts w:ascii="Arial" w:hAnsi="Arial" w:cs="Arial"/>
          <w:color w:val="00000A"/>
          <w:spacing w:val="0"/>
          <w:sz w:val="24"/>
          <w:szCs w:val="24"/>
        </w:rPr>
        <w:t>SCENARIO 1</w:t>
      </w:r>
    </w:p>
    <w:p w14:paraId="5E4E33D1" w14:textId="77777777" w:rsidR="00EE4295" w:rsidRDefault="00D2432F">
      <w:pPr>
        <w:pStyle w:val="APPTXTfirst"/>
        <w:spacing w:line="480" w:lineRule="auto"/>
        <w:rPr>
          <w:rFonts w:ascii="Arial" w:hAnsi="Arial" w:cs="Arial"/>
          <w:color w:val="00000A"/>
          <w:sz w:val="24"/>
          <w:szCs w:val="24"/>
        </w:rPr>
      </w:pPr>
      <w:r>
        <w:rPr>
          <w:rFonts w:ascii="Arial" w:hAnsi="Arial" w:cs="Arial"/>
          <w:color w:val="00000A"/>
          <w:sz w:val="24"/>
          <w:szCs w:val="24"/>
        </w:rPr>
        <w:t>If the jury concludes it was reasonable for Karl to have mentioned he acted in self-defence while being questioned at the police station, he is at risk of an adverse inference being drawn under s. 34 CJPOA 1994 against him at his trial.</w:t>
      </w:r>
    </w:p>
    <w:p w14:paraId="7926CE56" w14:textId="77777777" w:rsidR="00EE4295" w:rsidRDefault="00EE4295">
      <w:pPr>
        <w:pStyle w:val="APPB"/>
        <w:suppressAutoHyphens w:val="0"/>
        <w:spacing w:before="0" w:after="0" w:line="480" w:lineRule="auto"/>
        <w:jc w:val="both"/>
        <w:rPr>
          <w:rFonts w:ascii="Arial" w:hAnsi="Arial" w:cs="Arial"/>
          <w:color w:val="00000A"/>
          <w:spacing w:val="0"/>
          <w:sz w:val="24"/>
          <w:szCs w:val="24"/>
        </w:rPr>
      </w:pPr>
    </w:p>
    <w:p w14:paraId="60C6AB48" w14:textId="77777777" w:rsidR="00EE4295" w:rsidRDefault="00D2432F">
      <w:pPr>
        <w:pStyle w:val="APPB"/>
        <w:suppressAutoHyphens w:val="0"/>
        <w:spacing w:before="0" w:after="0" w:line="480" w:lineRule="auto"/>
        <w:jc w:val="both"/>
        <w:rPr>
          <w:rFonts w:ascii="Arial" w:hAnsi="Arial" w:cs="Arial"/>
          <w:color w:val="00000A"/>
          <w:spacing w:val="0"/>
          <w:sz w:val="24"/>
          <w:szCs w:val="24"/>
        </w:rPr>
      </w:pPr>
      <w:r>
        <w:rPr>
          <w:rFonts w:ascii="Arial" w:hAnsi="Arial" w:cs="Arial"/>
          <w:color w:val="00000A"/>
          <w:spacing w:val="0"/>
          <w:sz w:val="24"/>
          <w:szCs w:val="24"/>
        </w:rPr>
        <w:t>SCENARIO 2</w:t>
      </w:r>
    </w:p>
    <w:p w14:paraId="40A5D4AE" w14:textId="77777777" w:rsidR="00EE4295" w:rsidRDefault="00D2432F">
      <w:pPr>
        <w:pStyle w:val="APPTXTfirst"/>
        <w:spacing w:line="480" w:lineRule="auto"/>
        <w:rPr>
          <w:rFonts w:ascii="Arial" w:hAnsi="Arial" w:cs="Arial"/>
          <w:color w:val="00000A"/>
          <w:sz w:val="24"/>
          <w:szCs w:val="24"/>
        </w:rPr>
      </w:pPr>
      <w:r>
        <w:rPr>
          <w:rFonts w:ascii="Arial" w:hAnsi="Arial" w:cs="Arial"/>
          <w:color w:val="00000A"/>
          <w:sz w:val="24"/>
          <w:szCs w:val="24"/>
        </w:rPr>
        <w:t>Although Shania has put forward facts in support of a possible defence at trial, she failed to mention the possibility that she acted in self-defence. This is a fact she now relies on at court in her defence. If the jury finds she could reasonably have been expected to mention this fact, this could weaken her defence of self-defence (s. 34 CJPOA 1994).</w:t>
      </w:r>
    </w:p>
    <w:p w14:paraId="34DCE3CA" w14:textId="77777777" w:rsidR="00EE4295" w:rsidRDefault="00EE4295">
      <w:pPr>
        <w:pStyle w:val="APPB"/>
        <w:suppressAutoHyphens w:val="0"/>
        <w:spacing w:before="0" w:after="0" w:line="480" w:lineRule="auto"/>
        <w:jc w:val="both"/>
        <w:rPr>
          <w:rFonts w:ascii="Arial" w:hAnsi="Arial" w:cs="Arial"/>
          <w:color w:val="00000A"/>
          <w:spacing w:val="0"/>
          <w:sz w:val="24"/>
          <w:szCs w:val="24"/>
        </w:rPr>
      </w:pPr>
    </w:p>
    <w:p w14:paraId="191B884A" w14:textId="77777777" w:rsidR="00EE4295" w:rsidRDefault="00D2432F">
      <w:pPr>
        <w:pStyle w:val="APPB"/>
        <w:suppressAutoHyphens w:val="0"/>
        <w:spacing w:before="0" w:after="0" w:line="480" w:lineRule="auto"/>
        <w:jc w:val="both"/>
        <w:rPr>
          <w:rFonts w:ascii="Arial" w:hAnsi="Arial" w:cs="Arial"/>
          <w:color w:val="00000A"/>
          <w:spacing w:val="0"/>
          <w:sz w:val="24"/>
          <w:szCs w:val="24"/>
        </w:rPr>
      </w:pPr>
      <w:r>
        <w:rPr>
          <w:rFonts w:ascii="Arial" w:hAnsi="Arial" w:cs="Arial"/>
          <w:color w:val="00000A"/>
          <w:spacing w:val="0"/>
          <w:sz w:val="24"/>
          <w:szCs w:val="24"/>
        </w:rPr>
        <w:t>SCENARIO 3</w:t>
      </w:r>
    </w:p>
    <w:p w14:paraId="5048326F" w14:textId="77777777" w:rsidR="00EE4295" w:rsidRDefault="00D2432F">
      <w:pPr>
        <w:pStyle w:val="APPTXTfirst"/>
        <w:spacing w:line="480" w:lineRule="auto"/>
        <w:rPr>
          <w:rFonts w:ascii="Arial" w:hAnsi="Arial" w:cs="Arial"/>
          <w:color w:val="00000A"/>
          <w:sz w:val="24"/>
          <w:szCs w:val="24"/>
        </w:rPr>
      </w:pPr>
      <w:r>
        <w:rPr>
          <w:rFonts w:ascii="Arial" w:hAnsi="Arial" w:cs="Arial"/>
          <w:color w:val="00000A"/>
          <w:sz w:val="24"/>
          <w:szCs w:val="24"/>
        </w:rPr>
        <w:t>Jason is at risk of a double adverse inference. Providing the circumstances set out in s. 36 CJPOA 1994 are met, he risks an adverse inference in that he has failed to give an explanation for scratch marks visible on his face. The marks are on his person. The arresting constable or other investigating officer must reasonably have believed the presence of the marks might have been attributable to Jason’s participation in a crime. The officer must have made Jason aware of his belief before requesting Jason to give an account, explaining in ordinary language the risk he faces from his failure to do so. In addition, Jason risks an adverse inference under s. 34 CJPOA 1994.</w:t>
      </w:r>
    </w:p>
    <w:p w14:paraId="7CC3A4F6" w14:textId="77777777" w:rsidR="00EE4295" w:rsidRDefault="00EE4295">
      <w:pPr>
        <w:pStyle w:val="APPB"/>
        <w:suppressAutoHyphens w:val="0"/>
        <w:spacing w:before="0" w:after="0" w:line="480" w:lineRule="auto"/>
        <w:jc w:val="both"/>
        <w:rPr>
          <w:rFonts w:ascii="Arial" w:hAnsi="Arial" w:cs="Arial"/>
          <w:color w:val="00000A"/>
          <w:spacing w:val="0"/>
          <w:sz w:val="24"/>
          <w:szCs w:val="24"/>
        </w:rPr>
      </w:pPr>
    </w:p>
    <w:p w14:paraId="789C6CFF" w14:textId="77777777" w:rsidR="00EE4295" w:rsidRDefault="00D2432F">
      <w:pPr>
        <w:pStyle w:val="APPB"/>
        <w:suppressAutoHyphens w:val="0"/>
        <w:spacing w:before="0" w:after="0" w:line="480" w:lineRule="auto"/>
        <w:jc w:val="both"/>
        <w:rPr>
          <w:rFonts w:ascii="Arial" w:hAnsi="Arial" w:cs="Arial"/>
          <w:color w:val="00000A"/>
          <w:spacing w:val="0"/>
          <w:sz w:val="24"/>
          <w:szCs w:val="24"/>
        </w:rPr>
      </w:pPr>
      <w:r>
        <w:rPr>
          <w:rFonts w:ascii="Arial" w:hAnsi="Arial" w:cs="Arial"/>
          <w:color w:val="00000A"/>
          <w:spacing w:val="0"/>
          <w:sz w:val="24"/>
          <w:szCs w:val="24"/>
        </w:rPr>
        <w:lastRenderedPageBreak/>
        <w:t>SCENARIO 4</w:t>
      </w:r>
    </w:p>
    <w:p w14:paraId="240E67C0" w14:textId="77777777" w:rsidR="00EE4295" w:rsidRDefault="00D2432F">
      <w:pPr>
        <w:pStyle w:val="APPTXTfirst"/>
        <w:spacing w:line="480" w:lineRule="auto"/>
        <w:rPr>
          <w:rFonts w:ascii="Arial" w:hAnsi="Arial" w:cs="Arial"/>
          <w:color w:val="00000A"/>
          <w:sz w:val="24"/>
          <w:szCs w:val="24"/>
        </w:rPr>
      </w:pPr>
      <w:r>
        <w:rPr>
          <w:rFonts w:ascii="Arial" w:hAnsi="Arial" w:cs="Arial"/>
          <w:color w:val="00000A"/>
          <w:sz w:val="24"/>
          <w:szCs w:val="24"/>
        </w:rPr>
        <w:t>In this instance Rio too is at risk of an adverse inference under s. 36 CJPOA. 1994 Subsection 36(3) makes it clear that the section applies to the condition of clothing as it does to footwear.</w:t>
      </w:r>
    </w:p>
    <w:p w14:paraId="57AF06FE" w14:textId="77777777" w:rsidR="00EE4295" w:rsidRDefault="00EE4295">
      <w:pPr>
        <w:pStyle w:val="APPB"/>
        <w:suppressAutoHyphens w:val="0"/>
        <w:spacing w:before="0" w:after="0" w:line="480" w:lineRule="auto"/>
        <w:jc w:val="both"/>
        <w:rPr>
          <w:rFonts w:ascii="Arial" w:hAnsi="Arial" w:cs="Arial"/>
          <w:color w:val="00000A"/>
          <w:spacing w:val="0"/>
          <w:sz w:val="24"/>
          <w:szCs w:val="24"/>
        </w:rPr>
      </w:pPr>
    </w:p>
    <w:p w14:paraId="70AC1ABB" w14:textId="77777777" w:rsidR="00EE4295" w:rsidRDefault="00D2432F">
      <w:pPr>
        <w:pStyle w:val="APPB"/>
        <w:suppressAutoHyphens w:val="0"/>
        <w:spacing w:before="0" w:after="0" w:line="480" w:lineRule="auto"/>
        <w:jc w:val="both"/>
        <w:rPr>
          <w:rFonts w:ascii="Arial" w:hAnsi="Arial" w:cs="Arial"/>
          <w:color w:val="00000A"/>
          <w:spacing w:val="0"/>
          <w:sz w:val="24"/>
          <w:szCs w:val="24"/>
        </w:rPr>
      </w:pPr>
      <w:r>
        <w:rPr>
          <w:rFonts w:ascii="Arial" w:hAnsi="Arial" w:cs="Arial"/>
          <w:color w:val="00000A"/>
          <w:spacing w:val="0"/>
          <w:sz w:val="24"/>
          <w:szCs w:val="24"/>
        </w:rPr>
        <w:t>SCENARIO 5</w:t>
      </w:r>
    </w:p>
    <w:p w14:paraId="158A7DAF" w14:textId="77777777" w:rsidR="00EE4295" w:rsidRDefault="00D2432F">
      <w:pPr>
        <w:pStyle w:val="APPTXTfirst"/>
        <w:spacing w:line="480" w:lineRule="auto"/>
        <w:rPr>
          <w:rFonts w:ascii="Arial" w:hAnsi="Arial" w:cs="Arial"/>
          <w:color w:val="00000A"/>
          <w:sz w:val="24"/>
          <w:szCs w:val="24"/>
        </w:rPr>
      </w:pPr>
      <w:r>
        <w:rPr>
          <w:rFonts w:ascii="Arial" w:hAnsi="Arial" w:cs="Arial"/>
          <w:color w:val="00000A"/>
          <w:sz w:val="24"/>
          <w:szCs w:val="24"/>
        </w:rPr>
        <w:t xml:space="preserve">Providing the conditions set out in s. 37 CJPOA 1994 are met, Jane risks an adverse inference being drawn against her, in that she has failed to give an explanation for her presence near the scene of a crime. The arresting constable or other investigating officer must reasonably have believed Jane’s presence might have been attributable to her participation in a crime. The officer must have made Jane aware of her belief before requesting her to give an account, explaining in ordinary language the risk she faces from her failure to do so. Under s. 37 CJPOA 1994 a ‘place’ is widely defined and includes buildings, vehicles and vessels. By refusing to give evidence at her trial, Jane risks an adverse inference being drawn against her under s. 35 CJPOA 1994. </w:t>
      </w:r>
    </w:p>
    <w:p w14:paraId="7D045EE3" w14:textId="77777777" w:rsidR="00EE4295" w:rsidRDefault="00EE4295">
      <w:pPr>
        <w:pStyle w:val="APPB"/>
        <w:suppressAutoHyphens w:val="0"/>
        <w:spacing w:before="0" w:after="0" w:line="480" w:lineRule="auto"/>
        <w:jc w:val="both"/>
        <w:rPr>
          <w:rFonts w:ascii="Arial" w:hAnsi="Arial" w:cs="Arial"/>
          <w:color w:val="00000A"/>
          <w:spacing w:val="0"/>
          <w:sz w:val="24"/>
          <w:szCs w:val="24"/>
        </w:rPr>
      </w:pPr>
    </w:p>
    <w:p w14:paraId="2BB93323" w14:textId="77777777" w:rsidR="00EE4295" w:rsidRDefault="00D2432F">
      <w:pPr>
        <w:pStyle w:val="APPB"/>
        <w:suppressAutoHyphens w:val="0"/>
        <w:spacing w:before="0" w:after="0" w:line="480" w:lineRule="auto"/>
        <w:jc w:val="both"/>
        <w:rPr>
          <w:rFonts w:ascii="Arial" w:hAnsi="Arial" w:cs="Arial"/>
          <w:color w:val="00000A"/>
          <w:spacing w:val="0"/>
          <w:sz w:val="24"/>
          <w:szCs w:val="24"/>
        </w:rPr>
      </w:pPr>
      <w:r>
        <w:rPr>
          <w:rFonts w:ascii="Arial" w:hAnsi="Arial" w:cs="Arial"/>
          <w:color w:val="00000A"/>
          <w:spacing w:val="0"/>
          <w:sz w:val="24"/>
          <w:szCs w:val="24"/>
        </w:rPr>
        <w:t>SCENARIO 6</w:t>
      </w:r>
    </w:p>
    <w:p w14:paraId="7AEB852D" w14:textId="77777777" w:rsidR="00EE4295" w:rsidRDefault="00D2432F">
      <w:pPr>
        <w:pStyle w:val="APPTXTfirst"/>
        <w:spacing w:line="480" w:lineRule="auto"/>
        <w:rPr>
          <w:rFonts w:ascii="Arial" w:hAnsi="Arial" w:cs="Arial"/>
          <w:color w:val="00000A"/>
          <w:sz w:val="24"/>
          <w:szCs w:val="24"/>
        </w:rPr>
      </w:pPr>
      <w:r>
        <w:rPr>
          <w:rFonts w:ascii="Arial" w:hAnsi="Arial" w:cs="Arial"/>
          <w:color w:val="00000A"/>
          <w:sz w:val="24"/>
          <w:szCs w:val="24"/>
        </w:rPr>
        <w:t>The fact that Carley remained silent on the advice of her solicitor does not immunise her against the jury drawing an adverse inference. In order to persuade the jury not to draw an adverse inference, Carley is best advised to waive legal professional privilege and explain her reasons for not putting her defence at the police station. This could be done in a number of different ways:</w:t>
      </w:r>
    </w:p>
    <w:p w14:paraId="386109C8" w14:textId="77777777" w:rsidR="00EE4295" w:rsidRDefault="00D2432F">
      <w:pPr>
        <w:pStyle w:val="APPL"/>
        <w:spacing w:after="0" w:line="480" w:lineRule="auto"/>
        <w:ind w:left="238" w:hanging="238"/>
        <w:rPr>
          <w:rFonts w:ascii="Arial" w:hAnsi="Arial" w:cs="Arial"/>
          <w:color w:val="00000A"/>
          <w:sz w:val="24"/>
          <w:szCs w:val="24"/>
        </w:rPr>
      </w:pPr>
      <w:r>
        <w:rPr>
          <w:rFonts w:ascii="Arial" w:hAnsi="Arial" w:cs="Arial"/>
          <w:color w:val="00000A"/>
          <w:sz w:val="24"/>
          <w:szCs w:val="24"/>
        </w:rPr>
        <w:t>•</w:t>
      </w:r>
      <w:r>
        <w:rPr>
          <w:rFonts w:ascii="Arial" w:hAnsi="Arial" w:cs="Arial"/>
          <w:color w:val="00000A"/>
          <w:sz w:val="24"/>
          <w:szCs w:val="24"/>
        </w:rPr>
        <w:tab/>
        <w:t>Carley’s solicitor could have explained his reasons on the tape-recorded interview;</w:t>
      </w:r>
    </w:p>
    <w:p w14:paraId="7DC11000" w14:textId="77777777" w:rsidR="00EE4295" w:rsidRDefault="00D2432F">
      <w:pPr>
        <w:pStyle w:val="APPL"/>
        <w:spacing w:after="0" w:line="480" w:lineRule="auto"/>
        <w:ind w:left="238" w:hanging="238"/>
        <w:rPr>
          <w:rFonts w:ascii="Arial" w:hAnsi="Arial" w:cs="Arial"/>
          <w:color w:val="00000A"/>
          <w:sz w:val="24"/>
          <w:szCs w:val="24"/>
        </w:rPr>
      </w:pPr>
      <w:r>
        <w:rPr>
          <w:rFonts w:ascii="Arial" w:hAnsi="Arial" w:cs="Arial"/>
          <w:color w:val="00000A"/>
          <w:sz w:val="24"/>
          <w:szCs w:val="24"/>
        </w:rPr>
        <w:lastRenderedPageBreak/>
        <w:t>•</w:t>
      </w:r>
      <w:r>
        <w:rPr>
          <w:rFonts w:ascii="Arial" w:hAnsi="Arial" w:cs="Arial"/>
          <w:color w:val="00000A"/>
          <w:sz w:val="24"/>
          <w:szCs w:val="24"/>
        </w:rPr>
        <w:tab/>
        <w:t>Carley may give evidence of the reasons herself;</w:t>
      </w:r>
    </w:p>
    <w:p w14:paraId="728FC1BD" w14:textId="77777777" w:rsidR="00EE4295" w:rsidRDefault="00D2432F">
      <w:pPr>
        <w:pStyle w:val="APPL"/>
        <w:spacing w:after="0" w:line="480" w:lineRule="auto"/>
        <w:ind w:left="238" w:hanging="238"/>
        <w:rPr>
          <w:rFonts w:ascii="Arial" w:hAnsi="Arial" w:cs="Arial"/>
          <w:color w:val="00000A"/>
          <w:sz w:val="24"/>
          <w:szCs w:val="24"/>
        </w:rPr>
      </w:pPr>
      <w:r>
        <w:rPr>
          <w:rFonts w:ascii="Arial" w:hAnsi="Arial" w:cs="Arial"/>
          <w:color w:val="00000A"/>
          <w:sz w:val="24"/>
          <w:szCs w:val="24"/>
        </w:rPr>
        <w:t>•</w:t>
      </w:r>
      <w:r>
        <w:rPr>
          <w:rFonts w:ascii="Arial" w:hAnsi="Arial" w:cs="Arial"/>
          <w:color w:val="00000A"/>
          <w:sz w:val="24"/>
          <w:szCs w:val="24"/>
        </w:rPr>
        <w:tab/>
        <w:t>there may be evidence from the solicitor (either in person or in agreed written hearsay form).</w:t>
      </w:r>
    </w:p>
    <w:p w14:paraId="100865AD" w14:textId="7F1D68BA" w:rsidR="00EE4295" w:rsidRDefault="00D2432F">
      <w:pPr>
        <w:pStyle w:val="APPTXTfirst"/>
        <w:spacing w:line="480" w:lineRule="auto"/>
        <w:rPr>
          <w:rFonts w:ascii="Arial" w:hAnsi="Arial" w:cs="Arial"/>
          <w:color w:val="00000A"/>
          <w:sz w:val="24"/>
          <w:szCs w:val="24"/>
        </w:rPr>
      </w:pPr>
      <w:r>
        <w:rPr>
          <w:rFonts w:ascii="Arial" w:hAnsi="Arial" w:cs="Arial"/>
          <w:color w:val="00000A"/>
          <w:sz w:val="24"/>
          <w:szCs w:val="24"/>
        </w:rPr>
        <w:t>The reasonableness or otherwise of Carley’s decision to remain silent will be a matter for the jury. If this were a</w:t>
      </w:r>
      <w:bookmarkStart w:id="0" w:name="_GoBack"/>
      <w:bookmarkEnd w:id="0"/>
      <w:r>
        <w:rPr>
          <w:rFonts w:ascii="Arial" w:hAnsi="Arial" w:cs="Arial"/>
          <w:color w:val="00000A"/>
          <w:sz w:val="24"/>
          <w:szCs w:val="24"/>
        </w:rPr>
        <w:t xml:space="preserve"> Crown Court trial, the judge would be required to carefully direct the jury on s. 34 CJPOA 1994, in accordance with the requirements in </w:t>
      </w:r>
      <w:r>
        <w:rPr>
          <w:rStyle w:val="italic"/>
          <w:rFonts w:ascii="Arial" w:hAnsi="Arial" w:cs="Arial"/>
          <w:color w:val="00000A"/>
          <w:sz w:val="24"/>
          <w:szCs w:val="24"/>
        </w:rPr>
        <w:t>R v Argent</w:t>
      </w:r>
      <w:r>
        <w:rPr>
          <w:rFonts w:ascii="Arial" w:hAnsi="Arial" w:cs="Arial"/>
          <w:color w:val="00000A"/>
          <w:sz w:val="24"/>
          <w:szCs w:val="24"/>
        </w:rPr>
        <w:t xml:space="preserve"> and the Directions in Part 1: Jury and Trial Management and Summing Up, Crown Court Compendium at </w:t>
      </w:r>
      <w:hyperlink r:id="rId7" w:history="1">
        <w:r w:rsidR="008678DB" w:rsidRPr="008678DB">
          <w:rPr>
            <w:rFonts w:asciiTheme="minorHAnsi" w:eastAsiaTheme="minorHAnsi" w:hAnsiTheme="minorHAnsi" w:cstheme="minorBidi"/>
            <w:color w:val="0000FF"/>
            <w:sz w:val="22"/>
            <w:szCs w:val="22"/>
            <w:u w:val="single"/>
          </w:rPr>
          <w:t>Crown Court Compendium Part I (December 2020) - amended 1 February 2021 (judiciary.uk)</w:t>
        </w:r>
      </w:hyperlink>
    </w:p>
    <w:sectPr w:rsidR="00EE4295">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20"/>
      <w:formProt w:val="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FCE7EFE" w14:textId="77777777" w:rsidR="00CD358C" w:rsidRDefault="00CD358C">
      <w:pPr>
        <w:spacing w:after="0" w:line="240" w:lineRule="auto"/>
      </w:pPr>
      <w:r>
        <w:separator/>
      </w:r>
    </w:p>
  </w:endnote>
  <w:endnote w:type="continuationSeparator" w:id="0">
    <w:p w14:paraId="1B41E563" w14:textId="77777777" w:rsidR="00CD358C" w:rsidRDefault="00CD35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rutiger-BoldItalic">
    <w:altName w:val="Times New Roman"/>
    <w:charset w:val="01"/>
    <w:family w:val="roman"/>
    <w:pitch w:val="variable"/>
  </w:font>
  <w:font w:name="Liberation Sans">
    <w:altName w:val="Arial"/>
    <w:charset w:val="01"/>
    <w:family w:val="swiss"/>
    <w:pitch w:val="variable"/>
  </w:font>
  <w:font w:name="SimSun">
    <w:altName w:val="宋体"/>
    <w:panose1 w:val="02010600030101010101"/>
    <w:charset w:val="86"/>
    <w:family w:val="auto"/>
    <w:pitch w:val="variable"/>
    <w:sig w:usb0="00000003" w:usb1="288F0000" w:usb2="00000016" w:usb3="00000000" w:csb0="00040001" w:csb1="00000000"/>
  </w:font>
  <w:font w:name="Lucida Sans">
    <w:altName w:val="Times New Roman"/>
    <w:charset w:val="00"/>
    <w:family w:val="swiss"/>
    <w:pitch w:val="variable"/>
    <w:sig w:usb0="00000003" w:usb1="00000000" w:usb2="00000000" w:usb3="00000000" w:csb0="00000001" w:csb1="00000000"/>
  </w:font>
  <w:font w:name="Frutiger-BlackCn">
    <w:altName w:val="Calibri"/>
    <w:panose1 w:val="00000000000000000000"/>
    <w:charset w:val="4D"/>
    <w:family w:val="auto"/>
    <w:notTrueType/>
    <w:pitch w:val="default"/>
    <w:sig w:usb0="00000003" w:usb1="00000000" w:usb2="00000000" w:usb3="00000000" w:csb0="00000001" w:csb1="00000000"/>
  </w:font>
  <w:font w:name="StoneSerif">
    <w:altName w:val="Cambria"/>
    <w:charset w:val="01"/>
    <w:family w:val="roman"/>
    <w:pitch w:val="variable"/>
  </w:font>
  <w:font w:name="Frutiger-BoldCn">
    <w:altName w:val="Cambria"/>
    <w:charset w:val="01"/>
    <w:family w:val="roman"/>
    <w:pitch w:val="variable"/>
  </w:font>
  <w:font w:name="Arial">
    <w:panose1 w:val="020B0604020202020204"/>
    <w:charset w:val="00"/>
    <w:family w:val="swiss"/>
    <w:pitch w:val="variable"/>
    <w:sig w:usb0="E0002EFF" w:usb1="C000785B" w:usb2="00000009" w:usb3="00000000" w:csb0="000001FF" w:csb1="00000000"/>
  </w:font>
  <w:font w:name="OUP Swift">
    <w:altName w:val="Calibri"/>
    <w:panose1 w:val="02000503080000020004"/>
    <w:charset w:val="00"/>
    <w:family w:val="auto"/>
    <w:pitch w:val="variable"/>
    <w:sig w:usb0="80000027" w:usb1="0000004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F52E76" w14:textId="77777777" w:rsidR="00771D32" w:rsidRDefault="00771D3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6429D3" w14:textId="77777777" w:rsidR="00EE4295" w:rsidRDefault="00D2432F">
    <w:pPr>
      <w:pStyle w:val="Footer"/>
      <w:pBdr>
        <w:top w:val="single" w:sz="4" w:space="1" w:color="808080"/>
      </w:pBdr>
      <w:jc w:val="right"/>
      <w:rPr>
        <w:rFonts w:ascii="OUP Swift" w:hAnsi="OUP Swift"/>
        <w:color w:val="808080"/>
      </w:rPr>
    </w:pPr>
    <w:r>
      <w:rPr>
        <w:noProof/>
        <w:lang w:eastAsia="en-GB"/>
      </w:rPr>
      <w:drawing>
        <wp:inline distT="0" distB="0" distL="0" distR="0" wp14:anchorId="0254EF54" wp14:editId="0F6E0B63">
          <wp:extent cx="1219200" cy="4572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
                  <a:stretch>
                    <a:fillRect/>
                  </a:stretch>
                </pic:blipFill>
                <pic:spPr bwMode="auto">
                  <a:xfrm>
                    <a:off x="0" y="0"/>
                    <a:ext cx="1219200" cy="457200"/>
                  </a:xfrm>
                  <a:prstGeom prst="rect">
                    <a:avLst/>
                  </a:prstGeom>
                  <a:noFill/>
                  <a:ln w="9525">
                    <a:noFill/>
                    <a:miter lim="800000"/>
                    <a:headEnd/>
                    <a:tailEnd/>
                  </a:ln>
                </pic:spPr>
              </pic:pic>
            </a:graphicData>
          </a:graphic>
        </wp:inline>
      </w:drawing>
    </w:r>
  </w:p>
  <w:p w14:paraId="40A58594" w14:textId="547352F5" w:rsidR="00EE4295" w:rsidRDefault="00290FAD">
    <w:pPr>
      <w:pStyle w:val="Footer"/>
      <w:rPr>
        <w:rFonts w:ascii="Arial" w:hAnsi="Arial"/>
        <w:color w:val="808080"/>
      </w:rPr>
    </w:pPr>
    <w:r>
      <w:rPr>
        <w:rFonts w:ascii="Arial" w:hAnsi="Arial"/>
        <w:color w:val="808080"/>
      </w:rPr>
      <w:t>© Oxford University Press, 20</w:t>
    </w:r>
    <w:r w:rsidR="005F5F77">
      <w:rPr>
        <w:rFonts w:ascii="Arial" w:hAnsi="Arial"/>
        <w:color w:val="808080"/>
      </w:rPr>
      <w:t>2</w:t>
    </w:r>
    <w:r w:rsidR="00771D32">
      <w:rPr>
        <w:rFonts w:ascii="Arial" w:hAnsi="Arial"/>
        <w:color w:val="808080"/>
      </w:rPr>
      <w:t>1</w:t>
    </w:r>
    <w:r w:rsidR="00D2432F">
      <w:rPr>
        <w:rFonts w:ascii="Arial" w:hAnsi="Arial"/>
        <w:color w:val="808080"/>
      </w:rPr>
      <w:t>. All rights reserved.</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63D581" w14:textId="77777777" w:rsidR="00771D32" w:rsidRDefault="00771D3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AE7555A" w14:textId="77777777" w:rsidR="00CD358C" w:rsidRDefault="00CD358C">
      <w:pPr>
        <w:spacing w:after="0" w:line="240" w:lineRule="auto"/>
      </w:pPr>
      <w:r>
        <w:separator/>
      </w:r>
    </w:p>
  </w:footnote>
  <w:footnote w:type="continuationSeparator" w:id="0">
    <w:p w14:paraId="0645B621" w14:textId="77777777" w:rsidR="00CD358C" w:rsidRDefault="00CD358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561A1F" w14:textId="77777777" w:rsidR="00771D32" w:rsidRDefault="00771D3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14771F" w14:textId="5F48787F" w:rsidR="00EE4295" w:rsidRDefault="00D2432F">
    <w:pPr>
      <w:pStyle w:val="Header"/>
      <w:pBdr>
        <w:bottom w:val="single" w:sz="4" w:space="1" w:color="808080"/>
      </w:pBdr>
      <w:jc w:val="center"/>
    </w:pPr>
    <w:r>
      <w:rPr>
        <w:rFonts w:ascii="Arial" w:hAnsi="Arial"/>
        <w:color w:val="808080"/>
        <w:sz w:val="24"/>
      </w:rPr>
      <w:t xml:space="preserve">Hannibal &amp; Mountford: </w:t>
    </w:r>
    <w:r>
      <w:rPr>
        <w:rFonts w:ascii="Arial" w:hAnsi="Arial"/>
        <w:i/>
        <w:color w:val="808080"/>
        <w:sz w:val="24"/>
      </w:rPr>
      <w:t>Criminal Litigation</w:t>
    </w:r>
    <w:r>
      <w:rPr>
        <w:rFonts w:ascii="Arial" w:hAnsi="Arial"/>
        <w:color w:val="808080"/>
        <w:sz w:val="24"/>
      </w:rPr>
      <w:t xml:space="preserve"> </w:t>
    </w:r>
    <w:r w:rsidR="00771D32" w:rsidRPr="00771D32">
      <w:rPr>
        <w:rFonts w:ascii="Arial" w:hAnsi="Arial"/>
        <w:color w:val="808080"/>
        <w:sz w:val="24"/>
      </w:rPr>
      <w:t>17e</w:t>
    </w:r>
  </w:p>
  <w:p w14:paraId="112ABB4E" w14:textId="77777777" w:rsidR="00EE4295" w:rsidRDefault="00D2432F">
    <w:pPr>
      <w:pStyle w:val="Header"/>
      <w:pBdr>
        <w:bottom w:val="single" w:sz="4" w:space="1" w:color="808080"/>
      </w:pBdr>
      <w:jc w:val="center"/>
      <w:rPr>
        <w:rFonts w:ascii="Arial" w:hAnsi="Arial"/>
        <w:color w:val="808080"/>
        <w:sz w:val="24"/>
      </w:rPr>
    </w:pPr>
    <w:r>
      <w:rPr>
        <w:rFonts w:ascii="Arial" w:hAnsi="Arial"/>
        <w:color w:val="808080"/>
        <w:sz w:val="24"/>
      </w:rPr>
      <w:t>Answers to self-test questions – Chapter 5</w:t>
    </w:r>
  </w:p>
  <w:p w14:paraId="2F60470D" w14:textId="77777777" w:rsidR="00EE4295" w:rsidRDefault="00EE4295">
    <w:pPr>
      <w:pStyle w:val="Header"/>
      <w:pBdr>
        <w:bottom w:val="single" w:sz="4" w:space="1" w:color="808080"/>
      </w:pBdr>
      <w:jc w:val="center"/>
      <w:rPr>
        <w:rFonts w:ascii="Arial" w:hAnsi="Arial"/>
        <w:color w:val="808080"/>
        <w:sz w:val="24"/>
      </w:rPr>
    </w:pPr>
  </w:p>
  <w:p w14:paraId="1B927B8B" w14:textId="77777777" w:rsidR="00EE4295" w:rsidRDefault="00EE429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5B4D37" w14:textId="77777777" w:rsidR="00771D32" w:rsidRDefault="00771D3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E6D200B"/>
    <w:multiLevelType w:val="multilevel"/>
    <w:tmpl w:val="1366A8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E4295"/>
    <w:rsid w:val="00290FAD"/>
    <w:rsid w:val="004040EF"/>
    <w:rsid w:val="005F5F77"/>
    <w:rsid w:val="00771D32"/>
    <w:rsid w:val="008678DB"/>
    <w:rsid w:val="00BC341D"/>
    <w:rsid w:val="00CD358C"/>
    <w:rsid w:val="00CE48E4"/>
    <w:rsid w:val="00CF0D55"/>
    <w:rsid w:val="00D2432F"/>
    <w:rsid w:val="00EE4295"/>
  </w:rsids>
  <m:mathPr>
    <m:mathFont m:val="Cambria Math"/>
    <m:brkBin m:val="before"/>
    <m:brkBinSub m:val="--"/>
    <m:smallFrac m:val="0"/>
    <m:dispDef/>
    <m:lMargin m:val="0"/>
    <m:rMargin m:val="0"/>
    <m:defJc m:val="centerGroup"/>
    <m:wrapIndent m:val="1440"/>
    <m:intLim m:val="subSup"/>
    <m:naryLim m:val="undOvr"/>
  </m:mathPr>
  <w:themeFontLang w:val="en-GB" w:eastAsia="" w:bidi=""/>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B8FB901"/>
  <w15:docId w15:val="{3E8289F2-E766-4887-8669-90939B832B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Cs w:val="22"/>
        <w:lang w:val="en-GB" w:eastAsia="en-US"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F0015"/>
    <w:pPr>
      <w:suppressAutoHyphens/>
      <w:spacing w:after="200"/>
    </w:pPr>
    <w:rPr>
      <w:color w:val="00000A"/>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Char">
    <w:name w:val="Header Char"/>
    <w:basedOn w:val="DefaultParagraphFont"/>
    <w:link w:val="Header"/>
    <w:uiPriority w:val="99"/>
    <w:qFormat/>
    <w:rsid w:val="00861FA9"/>
  </w:style>
  <w:style w:type="character" w:customStyle="1" w:styleId="FooterChar">
    <w:name w:val="Footer Char"/>
    <w:basedOn w:val="DefaultParagraphFont"/>
    <w:link w:val="Footer"/>
    <w:uiPriority w:val="99"/>
    <w:qFormat/>
    <w:rsid w:val="00861FA9"/>
  </w:style>
  <w:style w:type="character" w:customStyle="1" w:styleId="BalloonTextChar">
    <w:name w:val="Balloon Text Char"/>
    <w:basedOn w:val="DefaultParagraphFont"/>
    <w:link w:val="BalloonText"/>
    <w:uiPriority w:val="99"/>
    <w:semiHidden/>
    <w:qFormat/>
    <w:rsid w:val="00861FA9"/>
    <w:rPr>
      <w:rFonts w:ascii="Tahoma" w:hAnsi="Tahoma" w:cs="Tahoma"/>
      <w:sz w:val="16"/>
      <w:szCs w:val="16"/>
    </w:rPr>
  </w:style>
  <w:style w:type="character" w:customStyle="1" w:styleId="frutigerboldital">
    <w:name w:val="frutiger.boldital"/>
    <w:qFormat/>
    <w:rsid w:val="00403E89"/>
    <w:rPr>
      <w:rFonts w:ascii="Frutiger-BoldItalic" w:hAnsi="Frutiger-BoldItalic" w:cs="Frutiger-BoldItalic"/>
      <w:b/>
      <w:bCs/>
      <w:i/>
      <w:iCs/>
    </w:rPr>
  </w:style>
  <w:style w:type="character" w:customStyle="1" w:styleId="italic">
    <w:name w:val="italic"/>
    <w:qFormat/>
    <w:rsid w:val="00712106"/>
    <w:rPr>
      <w:i/>
      <w:iCs/>
    </w:rPr>
  </w:style>
  <w:style w:type="character" w:customStyle="1" w:styleId="InternetLink">
    <w:name w:val="Internet Link"/>
    <w:basedOn w:val="DefaultParagraphFont"/>
    <w:uiPriority w:val="99"/>
    <w:unhideWhenUsed/>
    <w:rsid w:val="00013B6B"/>
    <w:rPr>
      <w:color w:val="0000FF" w:themeColor="hyperlink"/>
      <w:u w:val="single"/>
    </w:rPr>
  </w:style>
  <w:style w:type="paragraph" w:customStyle="1" w:styleId="Heading">
    <w:name w:val="Heading"/>
    <w:basedOn w:val="Normal"/>
    <w:next w:val="TextBody"/>
    <w:qFormat/>
    <w:pPr>
      <w:keepNext/>
      <w:spacing w:before="240" w:after="120"/>
    </w:pPr>
    <w:rPr>
      <w:rFonts w:ascii="Liberation Sans" w:eastAsia="SimSun" w:hAnsi="Liberation Sans" w:cs="Lucida Sans"/>
      <w:sz w:val="28"/>
      <w:szCs w:val="28"/>
    </w:rPr>
  </w:style>
  <w:style w:type="paragraph" w:customStyle="1" w:styleId="TextBody">
    <w:name w:val="Text Body"/>
    <w:basedOn w:val="Normal"/>
    <w:pPr>
      <w:spacing w:after="140" w:line="288" w:lineRule="auto"/>
    </w:pPr>
  </w:style>
  <w:style w:type="paragraph" w:styleId="List">
    <w:name w:val="List"/>
    <w:basedOn w:val="TextBody"/>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customStyle="1" w:styleId="Index">
    <w:name w:val="Index"/>
    <w:basedOn w:val="Normal"/>
    <w:qFormat/>
    <w:pPr>
      <w:suppressLineNumbers/>
    </w:pPr>
    <w:rPr>
      <w:rFonts w:cs="Lucida Sans"/>
    </w:rPr>
  </w:style>
  <w:style w:type="paragraph" w:styleId="Header">
    <w:name w:val="header"/>
    <w:basedOn w:val="Normal"/>
    <w:link w:val="HeaderChar"/>
    <w:unhideWhenUsed/>
    <w:rsid w:val="00861FA9"/>
    <w:pPr>
      <w:tabs>
        <w:tab w:val="center" w:pos="4513"/>
        <w:tab w:val="right" w:pos="9026"/>
      </w:tabs>
      <w:spacing w:after="0" w:line="240" w:lineRule="auto"/>
    </w:pPr>
  </w:style>
  <w:style w:type="paragraph" w:styleId="Footer">
    <w:name w:val="footer"/>
    <w:basedOn w:val="Normal"/>
    <w:link w:val="FooterChar"/>
    <w:uiPriority w:val="99"/>
    <w:unhideWhenUsed/>
    <w:rsid w:val="00861FA9"/>
    <w:pPr>
      <w:tabs>
        <w:tab w:val="center" w:pos="4513"/>
        <w:tab w:val="right" w:pos="9026"/>
      </w:tabs>
      <w:spacing w:after="0" w:line="240" w:lineRule="auto"/>
    </w:pPr>
  </w:style>
  <w:style w:type="paragraph" w:customStyle="1" w:styleId="APPA">
    <w:name w:val="APP_A"/>
    <w:basedOn w:val="Normal"/>
    <w:qFormat/>
    <w:rsid w:val="00861FA9"/>
    <w:pPr>
      <w:widowControl w:val="0"/>
      <w:spacing w:before="170" w:after="40" w:line="230" w:lineRule="atLeast"/>
      <w:textAlignment w:val="center"/>
    </w:pPr>
    <w:rPr>
      <w:rFonts w:ascii="Frutiger-BlackCn" w:eastAsia="Times New Roman" w:hAnsi="Frutiger-BlackCn" w:cs="Frutiger-BlackCn"/>
      <w:color w:val="000000"/>
      <w:spacing w:val="17"/>
      <w:sz w:val="18"/>
      <w:szCs w:val="18"/>
    </w:rPr>
  </w:style>
  <w:style w:type="paragraph" w:customStyle="1" w:styleId="APPL">
    <w:name w:val="APP_L"/>
    <w:basedOn w:val="Normal"/>
    <w:qFormat/>
    <w:rsid w:val="00861FA9"/>
    <w:pPr>
      <w:widowControl w:val="0"/>
      <w:tabs>
        <w:tab w:val="left" w:pos="168"/>
        <w:tab w:val="left" w:pos="360"/>
        <w:tab w:val="left" w:pos="460"/>
      </w:tabs>
      <w:spacing w:after="70" w:line="230" w:lineRule="atLeast"/>
      <w:jc w:val="both"/>
      <w:textAlignment w:val="center"/>
    </w:pPr>
    <w:rPr>
      <w:rFonts w:ascii="StoneSerif" w:eastAsia="Times New Roman" w:hAnsi="StoneSerif" w:cs="StoneSerif"/>
      <w:color w:val="000000"/>
      <w:sz w:val="16"/>
      <w:szCs w:val="16"/>
    </w:rPr>
  </w:style>
  <w:style w:type="paragraph" w:styleId="BalloonText">
    <w:name w:val="Balloon Text"/>
    <w:basedOn w:val="Normal"/>
    <w:link w:val="BalloonTextChar"/>
    <w:uiPriority w:val="99"/>
    <w:semiHidden/>
    <w:unhideWhenUsed/>
    <w:qFormat/>
    <w:rsid w:val="00861FA9"/>
    <w:pPr>
      <w:spacing w:after="0" w:line="240" w:lineRule="auto"/>
    </w:pPr>
    <w:rPr>
      <w:rFonts w:ascii="Tahoma" w:hAnsi="Tahoma" w:cs="Tahoma"/>
      <w:sz w:val="16"/>
      <w:szCs w:val="16"/>
    </w:rPr>
  </w:style>
  <w:style w:type="paragraph" w:customStyle="1" w:styleId="APPB">
    <w:name w:val="APP_B"/>
    <w:basedOn w:val="Normal"/>
    <w:qFormat/>
    <w:rsid w:val="00403E89"/>
    <w:pPr>
      <w:widowControl w:val="0"/>
      <w:spacing w:before="232" w:after="40" w:line="230" w:lineRule="atLeast"/>
      <w:textAlignment w:val="center"/>
    </w:pPr>
    <w:rPr>
      <w:rFonts w:ascii="Frutiger-BoldCn" w:eastAsia="Times New Roman" w:hAnsi="Frutiger-BoldCn" w:cs="Frutiger-BoldCn"/>
      <w:b/>
      <w:bCs/>
      <w:color w:val="000000"/>
      <w:spacing w:val="15"/>
      <w:sz w:val="16"/>
      <w:szCs w:val="16"/>
    </w:rPr>
  </w:style>
  <w:style w:type="paragraph" w:customStyle="1" w:styleId="APPTXTfirst">
    <w:name w:val="APP_TXT.first"/>
    <w:basedOn w:val="Normal"/>
    <w:qFormat/>
    <w:rsid w:val="00403E89"/>
    <w:pPr>
      <w:widowControl w:val="0"/>
      <w:spacing w:after="0" w:line="230" w:lineRule="atLeast"/>
      <w:jc w:val="both"/>
      <w:textAlignment w:val="center"/>
    </w:pPr>
    <w:rPr>
      <w:rFonts w:ascii="StoneSerif" w:eastAsia="Times New Roman" w:hAnsi="StoneSerif" w:cs="StoneSerif"/>
      <w:color w:val="000000"/>
      <w:sz w:val="16"/>
      <w:szCs w:val="16"/>
    </w:rPr>
  </w:style>
  <w:style w:type="paragraph" w:customStyle="1" w:styleId="APPTXT">
    <w:name w:val="APP_TXT"/>
    <w:basedOn w:val="Normal"/>
    <w:qFormat/>
    <w:rsid w:val="00403E89"/>
    <w:pPr>
      <w:widowControl w:val="0"/>
      <w:spacing w:after="0" w:line="230" w:lineRule="atLeast"/>
      <w:ind w:firstLine="160"/>
      <w:jc w:val="both"/>
      <w:textAlignment w:val="center"/>
    </w:pPr>
    <w:rPr>
      <w:rFonts w:ascii="StoneSerif" w:eastAsia="Times New Roman" w:hAnsi="StoneSerif" w:cs="StoneSerif"/>
      <w:color w:val="000000"/>
      <w:sz w:val="16"/>
      <w:szCs w:val="16"/>
    </w:rPr>
  </w:style>
  <w:style w:type="paragraph" w:styleId="Revision">
    <w:name w:val="Revision"/>
    <w:hidden/>
    <w:uiPriority w:val="99"/>
    <w:semiHidden/>
    <w:rsid w:val="00CF0D55"/>
    <w:pPr>
      <w:spacing w:line="240" w:lineRule="auto"/>
    </w:pPr>
    <w:rPr>
      <w:color w:val="00000A"/>
      <w:sz w:val="22"/>
    </w:rPr>
  </w:style>
  <w:style w:type="character" w:styleId="Hyperlink">
    <w:name w:val="Hyperlink"/>
    <w:basedOn w:val="DefaultParagraphFont"/>
    <w:uiPriority w:val="99"/>
    <w:semiHidden/>
    <w:unhideWhenUsed/>
    <w:rsid w:val="005F5F7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4301118">
      <w:bodyDiv w:val="1"/>
      <w:marLeft w:val="0"/>
      <w:marRight w:val="0"/>
      <w:marTop w:val="0"/>
      <w:marBottom w:val="0"/>
      <w:divBdr>
        <w:top w:val="none" w:sz="0" w:space="0" w:color="auto"/>
        <w:left w:val="none" w:sz="0" w:space="0" w:color="auto"/>
        <w:bottom w:val="none" w:sz="0" w:space="0" w:color="auto"/>
        <w:right w:val="none" w:sz="0" w:space="0" w:color="auto"/>
      </w:divBdr>
      <w:divsChild>
        <w:div w:id="312295785">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www.judiciary.uk/wp-content/uploads/2020/12/Crown-Court-Compendium-Part-I-December-2020-amended-01.02.21.pdf"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3</Pages>
  <Words>524</Words>
  <Characters>2987</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
    </vt:vector>
  </TitlesOfParts>
  <Company>Oxford University Press</Company>
  <LinksUpToDate>false</LinksUpToDate>
  <CharactersWithSpaces>3504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BROWN, Helen</dc:creator>
  <cp:lastModifiedBy>MERRICK, Hayden</cp:lastModifiedBy>
  <cp:revision>6</cp:revision>
  <cp:lastPrinted>2018-05-25T13:13:00Z</cp:lastPrinted>
  <dcterms:created xsi:type="dcterms:W3CDTF">2019-07-22T11:52:00Z</dcterms:created>
  <dcterms:modified xsi:type="dcterms:W3CDTF">2021-07-12T10:53:00Z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Oxford University Press</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y fmtid="{D5CDD505-2E9C-101B-9397-08002B2CF9AE}" pid="9" name="_AdHocReviewCycleID">
    <vt:i4>-1471571762</vt:i4>
  </property>
  <property fmtid="{D5CDD505-2E9C-101B-9397-08002B2CF9AE}" pid="10" name="_NewReviewCycle">
    <vt:lpwstr/>
  </property>
  <property fmtid="{D5CDD505-2E9C-101B-9397-08002B2CF9AE}" pid="11" name="_EmailSubject">
    <vt:lpwstr>Hannibal and Mountford ORC</vt:lpwstr>
  </property>
  <property fmtid="{D5CDD505-2E9C-101B-9397-08002B2CF9AE}" pid="12" name="_AuthorEmail">
    <vt:lpwstr>Liana.Green@oup.com</vt:lpwstr>
  </property>
  <property fmtid="{D5CDD505-2E9C-101B-9397-08002B2CF9AE}" pid="13" name="_AuthorEmailDisplayName">
    <vt:lpwstr>GREEN, Liana</vt:lpwstr>
  </property>
  <property fmtid="{D5CDD505-2E9C-101B-9397-08002B2CF9AE}" pid="14" name="_ReviewingToolsShownOnce">
    <vt:lpwstr/>
  </property>
  <property fmtid="{D5CDD505-2E9C-101B-9397-08002B2CF9AE}" pid="15" name="MSIP_Label_be5cb09a-2992-49d6-8ac9-5f63e7b1ad2f_Enabled">
    <vt:lpwstr>true</vt:lpwstr>
  </property>
  <property fmtid="{D5CDD505-2E9C-101B-9397-08002B2CF9AE}" pid="16" name="MSIP_Label_be5cb09a-2992-49d6-8ac9-5f63e7b1ad2f_SetDate">
    <vt:lpwstr>2021-07-12T10:53:31Z</vt:lpwstr>
  </property>
  <property fmtid="{D5CDD505-2E9C-101B-9397-08002B2CF9AE}" pid="17" name="MSIP_Label_be5cb09a-2992-49d6-8ac9-5f63e7b1ad2f_Method">
    <vt:lpwstr>Standard</vt:lpwstr>
  </property>
  <property fmtid="{D5CDD505-2E9C-101B-9397-08002B2CF9AE}" pid="18" name="MSIP_Label_be5cb09a-2992-49d6-8ac9-5f63e7b1ad2f_Name">
    <vt:lpwstr>Controlled</vt:lpwstr>
  </property>
  <property fmtid="{D5CDD505-2E9C-101B-9397-08002B2CF9AE}" pid="19" name="MSIP_Label_be5cb09a-2992-49d6-8ac9-5f63e7b1ad2f_SiteId">
    <vt:lpwstr>91761b62-4c45-43f5-9f0e-be8ad9b551ff</vt:lpwstr>
  </property>
  <property fmtid="{D5CDD505-2E9C-101B-9397-08002B2CF9AE}" pid="20" name="MSIP_Label_be5cb09a-2992-49d6-8ac9-5f63e7b1ad2f_ActionId">
    <vt:lpwstr>f228f1a0-2448-4e41-a950-000026576ceb</vt:lpwstr>
  </property>
  <property fmtid="{D5CDD505-2E9C-101B-9397-08002B2CF9AE}" pid="21" name="MSIP_Label_be5cb09a-2992-49d6-8ac9-5f63e7b1ad2f_ContentBits">
    <vt:lpwstr>0</vt:lpwstr>
  </property>
</Properties>
</file>