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D72BB3" w:rsidRDefault="00101523" w:rsidP="00101523">
      <w:pPr>
        <w:jc w:val="center"/>
        <w:rPr>
          <w:rFonts w:ascii="Palatino Linotype" w:hAnsi="Palatino Linotype"/>
          <w:sz w:val="20"/>
          <w:szCs w:val="20"/>
        </w:rPr>
      </w:pPr>
      <w:r w:rsidRPr="00D72BB3">
        <w:rPr>
          <w:rFonts w:ascii="Palatino Linotype" w:hAnsi="Palatino Linotype"/>
          <w:sz w:val="20"/>
          <w:szCs w:val="20"/>
        </w:rPr>
        <w:t>AMERICAN CONSTITUTIONALISM</w:t>
      </w:r>
    </w:p>
    <w:p w14:paraId="77978E4C" w14:textId="2CA92D7F" w:rsidR="00101523" w:rsidRPr="00D72BB3" w:rsidRDefault="00101523" w:rsidP="00101523">
      <w:pPr>
        <w:jc w:val="center"/>
        <w:rPr>
          <w:rFonts w:ascii="Palatino Linotype" w:hAnsi="Palatino Linotype"/>
          <w:sz w:val="20"/>
          <w:szCs w:val="20"/>
        </w:rPr>
      </w:pPr>
      <w:r w:rsidRPr="00D72BB3">
        <w:rPr>
          <w:rFonts w:ascii="Palatino Linotype" w:hAnsi="Palatino Linotype"/>
          <w:sz w:val="20"/>
          <w:szCs w:val="20"/>
        </w:rPr>
        <w:t xml:space="preserve">VOLUME </w:t>
      </w:r>
      <w:r w:rsidR="00393A7B" w:rsidRPr="00D72BB3">
        <w:rPr>
          <w:rFonts w:ascii="Palatino Linotype" w:hAnsi="Palatino Linotype"/>
          <w:sz w:val="20"/>
          <w:szCs w:val="20"/>
        </w:rPr>
        <w:t>I</w:t>
      </w:r>
      <w:r w:rsidRPr="00D72BB3">
        <w:rPr>
          <w:rFonts w:ascii="Palatino Linotype" w:hAnsi="Palatino Linotype"/>
          <w:sz w:val="20"/>
          <w:szCs w:val="20"/>
        </w:rPr>
        <w:t xml:space="preserve">I:  </w:t>
      </w:r>
      <w:r w:rsidR="00D72BB3" w:rsidRPr="00D72BB3">
        <w:rPr>
          <w:rFonts w:ascii="Palatino Linotype" w:hAnsi="Palatino Linotype"/>
          <w:sz w:val="20"/>
          <w:szCs w:val="20"/>
        </w:rPr>
        <w:t>RIGHTS AND LIBERTIES</w:t>
      </w:r>
    </w:p>
    <w:p w14:paraId="0C3AF76B" w14:textId="77777777" w:rsidR="00101523" w:rsidRPr="00D72BB3" w:rsidRDefault="00101523" w:rsidP="00101523">
      <w:pPr>
        <w:jc w:val="center"/>
        <w:rPr>
          <w:rFonts w:ascii="Palatino Linotype" w:hAnsi="Palatino Linotype"/>
          <w:sz w:val="20"/>
          <w:szCs w:val="20"/>
        </w:rPr>
      </w:pPr>
      <w:r w:rsidRPr="00D72BB3">
        <w:rPr>
          <w:rFonts w:ascii="Palatino Linotype" w:hAnsi="Palatino Linotype"/>
          <w:sz w:val="20"/>
          <w:szCs w:val="20"/>
        </w:rPr>
        <w:t>Howard Gillman • Mark A. Graber • Keith E. Whittington</w:t>
      </w:r>
    </w:p>
    <w:p w14:paraId="4D327672" w14:textId="77777777" w:rsidR="00101523" w:rsidRPr="00D72BB3" w:rsidRDefault="00101523" w:rsidP="00101523">
      <w:pPr>
        <w:jc w:val="center"/>
        <w:rPr>
          <w:rFonts w:ascii="Palatino Linotype" w:hAnsi="Palatino Linotype"/>
          <w:sz w:val="20"/>
          <w:szCs w:val="20"/>
        </w:rPr>
      </w:pPr>
    </w:p>
    <w:p w14:paraId="23F6E48F" w14:textId="77777777" w:rsidR="00101523" w:rsidRPr="00D72BB3" w:rsidRDefault="00101523" w:rsidP="00101523">
      <w:pPr>
        <w:jc w:val="center"/>
        <w:rPr>
          <w:rFonts w:ascii="Palatino Linotype" w:hAnsi="Palatino Linotype"/>
          <w:sz w:val="20"/>
          <w:szCs w:val="20"/>
        </w:rPr>
      </w:pPr>
      <w:r w:rsidRPr="00D72BB3">
        <w:rPr>
          <w:rFonts w:ascii="Palatino Linotype" w:hAnsi="Palatino Linotype"/>
          <w:sz w:val="20"/>
          <w:szCs w:val="20"/>
        </w:rPr>
        <w:t>Supplementary Material</w:t>
      </w:r>
    </w:p>
    <w:p w14:paraId="51AB0010" w14:textId="77777777" w:rsidR="00101523" w:rsidRPr="00D72BB3" w:rsidRDefault="00101523" w:rsidP="00101523">
      <w:pPr>
        <w:jc w:val="center"/>
        <w:rPr>
          <w:rFonts w:ascii="Palatino Linotype" w:hAnsi="Palatino Linotype"/>
          <w:sz w:val="20"/>
          <w:szCs w:val="20"/>
        </w:rPr>
      </w:pPr>
    </w:p>
    <w:p w14:paraId="282E55E8" w14:textId="4981D36B" w:rsidR="00101523" w:rsidRPr="00D72BB3" w:rsidRDefault="00EE2339" w:rsidP="00101523">
      <w:pPr>
        <w:jc w:val="center"/>
        <w:rPr>
          <w:rFonts w:ascii="Palatino Linotype" w:hAnsi="Palatino Linotype"/>
          <w:sz w:val="20"/>
          <w:szCs w:val="20"/>
        </w:rPr>
      </w:pPr>
      <w:r w:rsidRPr="00D72BB3">
        <w:rPr>
          <w:rFonts w:ascii="Palatino Linotype" w:hAnsi="Palatino Linotype"/>
          <w:sz w:val="20"/>
          <w:szCs w:val="20"/>
        </w:rPr>
        <w:t xml:space="preserve">Chapter </w:t>
      </w:r>
      <w:r w:rsidR="00F60DE0" w:rsidRPr="00D72BB3">
        <w:rPr>
          <w:rFonts w:ascii="Palatino Linotype" w:hAnsi="Palatino Linotype"/>
          <w:sz w:val="20"/>
          <w:szCs w:val="20"/>
        </w:rPr>
        <w:t>11</w:t>
      </w:r>
      <w:r w:rsidR="00101523" w:rsidRPr="00D72BB3">
        <w:rPr>
          <w:rFonts w:ascii="Palatino Linotype" w:hAnsi="Palatino Linotype"/>
          <w:sz w:val="20"/>
          <w:szCs w:val="20"/>
        </w:rPr>
        <w:t xml:space="preserve">:  </w:t>
      </w:r>
      <w:r w:rsidR="00F60DE0" w:rsidRPr="00D72BB3">
        <w:rPr>
          <w:rFonts w:ascii="Palatino Linotype" w:hAnsi="Palatino Linotype"/>
          <w:sz w:val="20"/>
          <w:szCs w:val="20"/>
        </w:rPr>
        <w:t>The Con</w:t>
      </w:r>
      <w:bookmarkStart w:id="0" w:name="_GoBack"/>
      <w:bookmarkEnd w:id="0"/>
      <w:r w:rsidR="00F60DE0" w:rsidRPr="00D72BB3">
        <w:rPr>
          <w:rFonts w:ascii="Palatino Linotype" w:hAnsi="Palatino Linotype"/>
          <w:sz w:val="20"/>
          <w:szCs w:val="20"/>
        </w:rPr>
        <w:t>temporary Era</w:t>
      </w:r>
      <w:r w:rsidR="00101523" w:rsidRPr="00D72BB3">
        <w:rPr>
          <w:rFonts w:ascii="Palatino Linotype" w:hAnsi="Palatino Linotype"/>
          <w:sz w:val="20"/>
          <w:szCs w:val="20"/>
        </w:rPr>
        <w:t xml:space="preserve"> – </w:t>
      </w:r>
      <w:r w:rsidR="00393A7B" w:rsidRPr="00D72BB3">
        <w:rPr>
          <w:rFonts w:ascii="Palatino Linotype" w:hAnsi="Palatino Linotype"/>
          <w:sz w:val="20"/>
          <w:szCs w:val="20"/>
        </w:rPr>
        <w:t>Democratic Rights/Free Speech</w:t>
      </w:r>
    </w:p>
    <w:p w14:paraId="14A274EF" w14:textId="77777777" w:rsidR="00101523" w:rsidRPr="00D72BB3" w:rsidRDefault="00101523" w:rsidP="00101523">
      <w:pPr>
        <w:jc w:val="center"/>
        <w:rPr>
          <w:rFonts w:ascii="Palatino Linotype" w:hAnsi="Palatino Linotype"/>
          <w:sz w:val="20"/>
          <w:szCs w:val="20"/>
        </w:rPr>
      </w:pPr>
    </w:p>
    <w:p w14:paraId="376CAB86" w14:textId="77777777" w:rsidR="00101523" w:rsidRPr="00D72BB3" w:rsidRDefault="00101523" w:rsidP="00101523">
      <w:pPr>
        <w:jc w:val="both"/>
        <w:rPr>
          <w:rFonts w:ascii="Palatino Linotype" w:hAnsi="Palatino Linotype"/>
          <w:sz w:val="20"/>
          <w:szCs w:val="20"/>
        </w:rPr>
      </w:pPr>
    </w:p>
    <w:p w14:paraId="5EFCFE15" w14:textId="77777777" w:rsidR="000E2F1A" w:rsidRPr="00D72BB3" w:rsidRDefault="002E3643">
      <w:pPr>
        <w:rPr>
          <w:rFonts w:ascii="Palatino Linotype" w:hAnsi="Palatino Linotype" w:cs="Times New Roman"/>
          <w:sz w:val="20"/>
          <w:szCs w:val="20"/>
        </w:rPr>
      </w:pPr>
      <w:r w:rsidRPr="00D72BB3">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34C12DB8" w:rsidR="00760334" w:rsidRPr="00D72BB3" w:rsidRDefault="00F60DE0" w:rsidP="000E2F1A">
      <w:pPr>
        <w:jc w:val="center"/>
        <w:rPr>
          <w:rFonts w:ascii="Palatino Linotype" w:hAnsi="Palatino Linotype" w:cs="Times New Roman"/>
          <w:sz w:val="20"/>
          <w:szCs w:val="20"/>
        </w:rPr>
      </w:pPr>
      <w:r w:rsidRPr="00D72BB3">
        <w:rPr>
          <w:rFonts w:ascii="Palatino Linotype" w:hAnsi="Palatino Linotype" w:cs="Times New Roman"/>
          <w:b/>
          <w:sz w:val="20"/>
          <w:szCs w:val="20"/>
        </w:rPr>
        <w:t>Ashcroft</w:t>
      </w:r>
      <w:r w:rsidR="00A25235" w:rsidRPr="00D72BB3">
        <w:rPr>
          <w:rFonts w:ascii="Palatino Linotype" w:hAnsi="Palatino Linotype" w:cs="Times New Roman"/>
          <w:b/>
          <w:sz w:val="20"/>
          <w:szCs w:val="20"/>
        </w:rPr>
        <w:t xml:space="preserve"> v. </w:t>
      </w:r>
      <w:r w:rsidRPr="00D72BB3">
        <w:rPr>
          <w:rFonts w:ascii="Palatino Linotype" w:hAnsi="Palatino Linotype" w:cs="Times New Roman"/>
          <w:b/>
          <w:sz w:val="20"/>
          <w:szCs w:val="20"/>
        </w:rPr>
        <w:t>American Civil Liberties Union</w:t>
      </w:r>
      <w:r w:rsidR="00393A7B" w:rsidRPr="00D72BB3">
        <w:rPr>
          <w:rFonts w:ascii="Palatino Linotype" w:hAnsi="Palatino Linotype" w:cs="Times New Roman"/>
          <w:b/>
          <w:sz w:val="20"/>
          <w:szCs w:val="20"/>
        </w:rPr>
        <w:t xml:space="preserve">, </w:t>
      </w:r>
      <w:r w:rsidRPr="00D72BB3">
        <w:rPr>
          <w:rFonts w:ascii="Palatino Linotype" w:hAnsi="Palatino Linotype" w:cs="Times New Roman"/>
          <w:b/>
          <w:sz w:val="20"/>
          <w:szCs w:val="20"/>
        </w:rPr>
        <w:t>542</w:t>
      </w:r>
      <w:r w:rsidR="00393A7B" w:rsidRPr="00D72BB3">
        <w:rPr>
          <w:rFonts w:ascii="Palatino Linotype" w:hAnsi="Palatino Linotype" w:cs="Times New Roman"/>
          <w:b/>
          <w:sz w:val="20"/>
          <w:szCs w:val="20"/>
        </w:rPr>
        <w:t xml:space="preserve"> U.S. </w:t>
      </w:r>
      <w:r w:rsidRPr="00D72BB3">
        <w:rPr>
          <w:rFonts w:ascii="Palatino Linotype" w:hAnsi="Palatino Linotype" w:cs="Times New Roman"/>
          <w:b/>
          <w:sz w:val="20"/>
          <w:szCs w:val="20"/>
        </w:rPr>
        <w:t>656</w:t>
      </w:r>
      <w:r w:rsidR="001246B5" w:rsidRPr="00D72BB3">
        <w:rPr>
          <w:rFonts w:ascii="Palatino Linotype" w:hAnsi="Palatino Linotype" w:cs="Times New Roman"/>
          <w:sz w:val="20"/>
          <w:szCs w:val="20"/>
        </w:rPr>
        <w:t xml:space="preserve"> (</w:t>
      </w:r>
      <w:r w:rsidRPr="00D72BB3">
        <w:rPr>
          <w:rFonts w:ascii="Palatino Linotype" w:hAnsi="Palatino Linotype" w:cs="Times New Roman"/>
          <w:sz w:val="20"/>
          <w:szCs w:val="20"/>
        </w:rPr>
        <w:t>2004</w:t>
      </w:r>
      <w:r w:rsidR="000E2F1A" w:rsidRPr="00D72BB3">
        <w:rPr>
          <w:rFonts w:ascii="Palatino Linotype" w:hAnsi="Palatino Linotype" w:cs="Times New Roman"/>
          <w:sz w:val="20"/>
          <w:szCs w:val="20"/>
        </w:rPr>
        <w:t>)</w:t>
      </w:r>
    </w:p>
    <w:p w14:paraId="301125D3" w14:textId="77777777" w:rsidR="000E2F1A" w:rsidRPr="00D72BB3" w:rsidRDefault="002E3643">
      <w:pPr>
        <w:rPr>
          <w:rFonts w:ascii="Palatino Linotype" w:hAnsi="Palatino Linotype" w:cs="Times New Roman"/>
          <w:sz w:val="20"/>
          <w:szCs w:val="20"/>
        </w:rPr>
      </w:pPr>
      <w:r w:rsidRPr="00D72BB3">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D72BB3" w:rsidRDefault="000E2F1A">
      <w:pPr>
        <w:rPr>
          <w:rFonts w:ascii="Palatino Linotype" w:hAnsi="Palatino Linotype" w:cs="Times New Roman"/>
          <w:sz w:val="20"/>
          <w:szCs w:val="20"/>
        </w:rPr>
      </w:pPr>
    </w:p>
    <w:p w14:paraId="3E22F087" w14:textId="77777777" w:rsidR="00477E27" w:rsidRPr="00D72BB3" w:rsidRDefault="006318BC" w:rsidP="004F7FE7">
      <w:pPr>
        <w:ind w:firstLine="720"/>
        <w:jc w:val="both"/>
        <w:rPr>
          <w:rFonts w:ascii="Palatino Linotype" w:hAnsi="Palatino Linotype" w:cs="Times New Roman"/>
          <w:i/>
          <w:sz w:val="20"/>
          <w:szCs w:val="20"/>
        </w:rPr>
      </w:pPr>
      <w:r w:rsidRPr="00D72BB3">
        <w:rPr>
          <w:rFonts w:ascii="Palatino Linotype" w:hAnsi="Palatino Linotype" w:cs="Times New Roman"/>
          <w:i/>
          <w:sz w:val="20"/>
          <w:szCs w:val="20"/>
        </w:rPr>
        <w:t xml:space="preserve">In 1999, Congress passed the Child Online Protection Act (COPA), after the U.S. Supreme Court struck down parts of the Communications Decency Act in </w:t>
      </w:r>
      <w:r w:rsidRPr="00D72BB3">
        <w:rPr>
          <w:rFonts w:ascii="Palatino Linotype" w:hAnsi="Palatino Linotype" w:cs="Times New Roman"/>
          <w:sz w:val="20"/>
          <w:szCs w:val="20"/>
        </w:rPr>
        <w:t>Reno v. American Civil Liberties Union</w:t>
      </w:r>
      <w:r w:rsidRPr="00D72BB3">
        <w:rPr>
          <w:rFonts w:ascii="Palatino Linotype" w:hAnsi="Palatino Linotype" w:cs="Times New Roman"/>
          <w:i/>
          <w:sz w:val="20"/>
          <w:szCs w:val="20"/>
        </w:rPr>
        <w:t xml:space="preserve"> (1997). COPA prohibited posting content for commercial purposes on the World Wide Web that is obscene or that is “harmful to minors” in that it appeals to a prurient interest, depicts sexual content “in a manner patently offensive with respect to minors,” and lacks “literary, artistic, political or scientific value for minors.” Such content could be exempted if access was restricted by use of a credit card or other “reasonable measures” to exclude anyone under the age of 17 to the site.</w:t>
      </w:r>
    </w:p>
    <w:p w14:paraId="7E63E14A" w14:textId="57B4DB6E" w:rsidR="00871CB2" w:rsidRPr="00D72BB3" w:rsidRDefault="00477E27" w:rsidP="004F7FE7">
      <w:pPr>
        <w:ind w:firstLine="720"/>
        <w:jc w:val="both"/>
        <w:rPr>
          <w:rFonts w:ascii="Palatino Linotype" w:hAnsi="Palatino Linotype" w:cs="Times New Roman"/>
          <w:i/>
          <w:sz w:val="20"/>
          <w:szCs w:val="20"/>
        </w:rPr>
      </w:pPr>
      <w:r w:rsidRPr="00D72BB3">
        <w:rPr>
          <w:rFonts w:ascii="Palatino Linotype" w:hAnsi="Palatino Linotype" w:cs="Times New Roman"/>
          <w:i/>
          <w:sz w:val="20"/>
          <w:szCs w:val="20"/>
        </w:rPr>
        <w:t>A variety of groups immediately filed suit in federal district court seeking a declaration that COPA was unconstitutional. The district court ruled against the government</w:t>
      </w:r>
      <w:r w:rsidR="00F82D3C" w:rsidRPr="00D72BB3">
        <w:rPr>
          <w:rFonts w:ascii="Palatino Linotype" w:hAnsi="Palatino Linotype" w:cs="Times New Roman"/>
          <w:i/>
          <w:sz w:val="20"/>
          <w:szCs w:val="20"/>
        </w:rPr>
        <w:t xml:space="preserve"> and issued a preliminary injunction barring the enforcement of the statute</w:t>
      </w:r>
      <w:r w:rsidRPr="00D72BB3">
        <w:rPr>
          <w:rFonts w:ascii="Palatino Linotype" w:hAnsi="Palatino Linotype" w:cs="Times New Roman"/>
          <w:i/>
          <w:sz w:val="20"/>
          <w:szCs w:val="20"/>
        </w:rPr>
        <w:t xml:space="preserve">, </w:t>
      </w:r>
      <w:r w:rsidR="00F82D3C" w:rsidRPr="00D72BB3">
        <w:rPr>
          <w:rFonts w:ascii="Palatino Linotype" w:hAnsi="Palatino Linotype" w:cs="Times New Roman"/>
          <w:i/>
          <w:sz w:val="20"/>
          <w:szCs w:val="20"/>
        </w:rPr>
        <w:t>and a circuit court affirmed</w:t>
      </w:r>
      <w:r w:rsidRPr="00D72BB3">
        <w:rPr>
          <w:rFonts w:ascii="Palatino Linotype" w:hAnsi="Palatino Linotype" w:cs="Times New Roman"/>
          <w:i/>
          <w:sz w:val="20"/>
          <w:szCs w:val="20"/>
        </w:rPr>
        <w:t xml:space="preserve">. The U.S. Supreme Court issued a 5-4 decision </w:t>
      </w:r>
      <w:r w:rsidR="00F82D3C" w:rsidRPr="00D72BB3">
        <w:rPr>
          <w:rFonts w:ascii="Palatino Linotype" w:hAnsi="Palatino Linotype" w:cs="Times New Roman"/>
          <w:i/>
          <w:sz w:val="20"/>
          <w:szCs w:val="20"/>
        </w:rPr>
        <w:t>affirming the injunction and remanded the case to the district court for trial to determine whether COPA was the least restrictive means for advancing the government’s objective</w:t>
      </w:r>
      <w:r w:rsidRPr="00D72BB3">
        <w:rPr>
          <w:rFonts w:ascii="Palatino Linotype" w:hAnsi="Palatino Linotype" w:cs="Times New Roman"/>
          <w:i/>
          <w:sz w:val="20"/>
          <w:szCs w:val="20"/>
        </w:rPr>
        <w:t>.</w:t>
      </w:r>
      <w:r w:rsidR="00F82D3C" w:rsidRPr="00D72BB3">
        <w:rPr>
          <w:rFonts w:ascii="Palatino Linotype" w:hAnsi="Palatino Linotype" w:cs="Times New Roman"/>
          <w:i/>
          <w:sz w:val="20"/>
          <w:szCs w:val="20"/>
        </w:rPr>
        <w:t xml:space="preserve"> The district court subsequently struck down the act as unconstitutional, and the circuit court again affirmed that ruling. The Supreme Court declined to hear the case again.</w:t>
      </w:r>
    </w:p>
    <w:p w14:paraId="04EBCA6B" w14:textId="77777777" w:rsidR="000E2F1A" w:rsidRPr="00D72BB3" w:rsidRDefault="000E2F1A" w:rsidP="004F7FE7">
      <w:pPr>
        <w:jc w:val="both"/>
        <w:rPr>
          <w:rFonts w:ascii="Palatino Linotype" w:hAnsi="Palatino Linotype" w:cs="Times New Roman"/>
          <w:sz w:val="20"/>
          <w:szCs w:val="20"/>
        </w:rPr>
      </w:pPr>
    </w:p>
    <w:p w14:paraId="681307B9" w14:textId="02171C39" w:rsidR="00A62C6F" w:rsidRPr="00D72BB3" w:rsidRDefault="00A62C6F" w:rsidP="00200749">
      <w:pPr>
        <w:jc w:val="both"/>
        <w:rPr>
          <w:rFonts w:ascii="Palatino Linotype" w:hAnsi="Palatino Linotype" w:cs="Times New Roman"/>
          <w:sz w:val="20"/>
          <w:szCs w:val="20"/>
        </w:rPr>
      </w:pPr>
      <w:r w:rsidRPr="00D72BB3">
        <w:rPr>
          <w:rFonts w:ascii="Palatino Linotype" w:hAnsi="Palatino Linotype" w:cs="Times New Roman"/>
          <w:sz w:val="20"/>
          <w:szCs w:val="20"/>
        </w:rPr>
        <w:t xml:space="preserve">JUSTICE </w:t>
      </w:r>
      <w:r w:rsidR="00F60DE0" w:rsidRPr="00D72BB3">
        <w:rPr>
          <w:rFonts w:ascii="Palatino Linotype" w:hAnsi="Palatino Linotype" w:cs="Times New Roman"/>
          <w:sz w:val="20"/>
          <w:szCs w:val="20"/>
        </w:rPr>
        <w:t>KENNEDY</w:t>
      </w:r>
      <w:r w:rsidRPr="00D72BB3">
        <w:rPr>
          <w:rFonts w:ascii="Palatino Linotype" w:hAnsi="Palatino Linotype" w:cs="Times New Roman"/>
          <w:sz w:val="20"/>
          <w:szCs w:val="20"/>
        </w:rPr>
        <w:t xml:space="preserve"> delivered the opinion </w:t>
      </w:r>
      <w:r w:rsidR="00200749" w:rsidRPr="00D72BB3">
        <w:rPr>
          <w:rFonts w:ascii="Palatino Linotype" w:hAnsi="Palatino Linotype" w:cs="Times New Roman"/>
          <w:sz w:val="20"/>
          <w:szCs w:val="20"/>
        </w:rPr>
        <w:t>of the C</w:t>
      </w:r>
      <w:r w:rsidRPr="00D72BB3">
        <w:rPr>
          <w:rFonts w:ascii="Palatino Linotype" w:hAnsi="Palatino Linotype" w:cs="Times New Roman"/>
          <w:sz w:val="20"/>
          <w:szCs w:val="20"/>
        </w:rPr>
        <w:t>ourt.</w:t>
      </w:r>
    </w:p>
    <w:p w14:paraId="6260D637" w14:textId="5A7295FA" w:rsidR="00793EE2" w:rsidRPr="00D72BB3" w:rsidRDefault="000E2F1A" w:rsidP="00A62C6F">
      <w:pPr>
        <w:ind w:firstLine="720"/>
        <w:jc w:val="both"/>
        <w:rPr>
          <w:rFonts w:ascii="Palatino Linotype" w:hAnsi="Palatino Linotype" w:cs="Times New Roman"/>
          <w:sz w:val="20"/>
          <w:szCs w:val="20"/>
        </w:rPr>
      </w:pPr>
      <w:r w:rsidRPr="00D72BB3">
        <w:rPr>
          <w:rFonts w:ascii="Palatino Linotype" w:hAnsi="Palatino Linotype" w:cs="Times New Roman"/>
          <w:sz w:val="20"/>
          <w:szCs w:val="20"/>
        </w:rPr>
        <w:t>. . . .</w:t>
      </w:r>
    </w:p>
    <w:p w14:paraId="78F07A20" w14:textId="7F908D39" w:rsidR="00477E27" w:rsidRPr="00D72BB3" w:rsidRDefault="00477E27" w:rsidP="00A62C6F">
      <w:pPr>
        <w:ind w:firstLine="720"/>
        <w:jc w:val="both"/>
        <w:rPr>
          <w:rFonts w:ascii="Palatino Linotype" w:hAnsi="Palatino Linotype"/>
          <w:sz w:val="20"/>
          <w:szCs w:val="20"/>
        </w:rPr>
      </w:pPr>
      <w:r w:rsidRPr="00D72BB3">
        <w:rPr>
          <w:rFonts w:ascii="Palatino Linotype" w:hAnsi="Palatino Linotype" w:cs="Times New Roman"/>
          <w:sz w:val="20"/>
          <w:szCs w:val="20"/>
        </w:rPr>
        <w:t xml:space="preserve">. . . . </w:t>
      </w:r>
      <w:r w:rsidRPr="00D72BB3">
        <w:rPr>
          <w:rFonts w:ascii="Palatino Linotype" w:hAnsi="Palatino Linotype"/>
          <w:sz w:val="20"/>
          <w:szCs w:val="20"/>
        </w:rPr>
        <w:t>When plaintiffs challenge a content-based speech restriction, the burden is on the Government to prove that the proposed alternatives will not be as effective as the challenged statute.</w:t>
      </w:r>
    </w:p>
    <w:p w14:paraId="6786BCA4" w14:textId="4B53FCD3" w:rsidR="00477E27" w:rsidRPr="00D72BB3" w:rsidRDefault="00477E27" w:rsidP="00A62C6F">
      <w:pPr>
        <w:ind w:firstLine="720"/>
        <w:jc w:val="both"/>
        <w:rPr>
          <w:rFonts w:ascii="Palatino Linotype" w:hAnsi="Palatino Linotype"/>
          <w:sz w:val="20"/>
          <w:szCs w:val="20"/>
        </w:rPr>
      </w:pPr>
      <w:r w:rsidRPr="00D72BB3">
        <w:rPr>
          <w:rFonts w:ascii="Palatino Linotype" w:hAnsi="Palatino Linotype"/>
          <w:sz w:val="20"/>
          <w:szCs w:val="20"/>
        </w:rPr>
        <w:t xml:space="preserve">In considering this question, a court assumes that certain protected speech may be regulated, and then asks </w:t>
      </w:r>
      <w:proofErr w:type="gramStart"/>
      <w:r w:rsidRPr="00D72BB3">
        <w:rPr>
          <w:rFonts w:ascii="Palatino Linotype" w:hAnsi="Palatino Linotype"/>
          <w:sz w:val="20"/>
          <w:szCs w:val="20"/>
        </w:rPr>
        <w:t>what is the least restrictive alternative that can be used to achieve that goal</w:t>
      </w:r>
      <w:proofErr w:type="gramEnd"/>
      <w:r w:rsidRPr="00D72BB3">
        <w:rPr>
          <w:rFonts w:ascii="Palatino Linotype" w:hAnsi="Palatino Linotype"/>
          <w:sz w:val="20"/>
          <w:szCs w:val="20"/>
        </w:rPr>
        <w:t>. The purpose of the test is not to consider whether the challenged restriction has some effect in achieving Congress’ goal, regardless of the restriction it imposes. The purpose of the test is to ensure that speech is restricted no further than necessary to achieve the goal, for it is important to assure that legitimate speech is not chilled or punished. For that reason, the test does not begin with the status quo</w:t>
      </w:r>
      <w:r w:rsidRPr="00D72BB3">
        <w:rPr>
          <w:rStyle w:val="Emphasis"/>
          <w:rFonts w:ascii="Palatino Linotype" w:hAnsi="Palatino Linotype"/>
          <w:sz w:val="20"/>
          <w:szCs w:val="20"/>
        </w:rPr>
        <w:t xml:space="preserve"> </w:t>
      </w:r>
      <w:r w:rsidRPr="00D72BB3">
        <w:rPr>
          <w:rFonts w:ascii="Palatino Linotype" w:hAnsi="Palatino Linotype"/>
          <w:sz w:val="20"/>
          <w:szCs w:val="20"/>
        </w:rPr>
        <w:t>of existing regulations, then ask whether the challenged restriction has some additional ability to achieve Congress’ legitimate interest. Any restriction on speech could be justified under that analysis. Instead, the court should ask whether the challenged regulation is the least restrictive means among available, effective alternatives.</w:t>
      </w:r>
    </w:p>
    <w:p w14:paraId="7016F953" w14:textId="70D78716" w:rsidR="00477E27" w:rsidRPr="00D72BB3" w:rsidRDefault="00477E27" w:rsidP="00A62C6F">
      <w:pPr>
        <w:ind w:firstLine="720"/>
        <w:jc w:val="both"/>
        <w:rPr>
          <w:rFonts w:ascii="Palatino Linotype" w:hAnsi="Palatino Linotype"/>
          <w:sz w:val="20"/>
          <w:szCs w:val="20"/>
        </w:rPr>
      </w:pPr>
      <w:r w:rsidRPr="00D72BB3">
        <w:rPr>
          <w:rFonts w:ascii="Palatino Linotype" w:hAnsi="Palatino Linotype"/>
          <w:sz w:val="20"/>
          <w:szCs w:val="20"/>
        </w:rPr>
        <w:t>. . . .</w:t>
      </w:r>
    </w:p>
    <w:p w14:paraId="17665852" w14:textId="19AF65FF" w:rsidR="00477E27" w:rsidRPr="00D72BB3" w:rsidRDefault="00477E27" w:rsidP="00A62C6F">
      <w:pPr>
        <w:ind w:firstLine="720"/>
        <w:jc w:val="both"/>
        <w:rPr>
          <w:rFonts w:ascii="Palatino Linotype" w:hAnsi="Palatino Linotype"/>
          <w:sz w:val="20"/>
          <w:szCs w:val="20"/>
        </w:rPr>
      </w:pPr>
      <w:r w:rsidRPr="00D72BB3">
        <w:rPr>
          <w:rFonts w:ascii="Palatino Linotype" w:hAnsi="Palatino Linotype"/>
          <w:sz w:val="20"/>
          <w:szCs w:val="20"/>
        </w:rPr>
        <w:t>The primary alternative considered by the District Court was blocking and filtering software. Blocking and filtering software is an alternative that is less restrictive than COPA, and, in addition, likely more effective as a means of restricting children’s access to materials harmful to them. . . .</w:t>
      </w:r>
    </w:p>
    <w:p w14:paraId="78E8A6CC" w14:textId="317A626E" w:rsidR="00477E27" w:rsidRPr="00D72BB3" w:rsidRDefault="00477E27" w:rsidP="00A62C6F">
      <w:pPr>
        <w:ind w:firstLine="720"/>
        <w:jc w:val="both"/>
        <w:rPr>
          <w:rFonts w:ascii="Palatino Linotype" w:hAnsi="Palatino Linotype"/>
          <w:sz w:val="20"/>
          <w:szCs w:val="20"/>
        </w:rPr>
      </w:pPr>
      <w:r w:rsidRPr="00D72BB3">
        <w:rPr>
          <w:rFonts w:ascii="Palatino Linotype" w:hAnsi="Palatino Linotype"/>
          <w:sz w:val="20"/>
          <w:szCs w:val="20"/>
        </w:rPr>
        <w:t xml:space="preserve">Filters are less restrictive than COPA. They impose selective restrictions on speech at the receiving end, not universal restrictions at the source. Under a filtering regime, adults without children may gain access to speech they have a right to see without having to identify themselves or provide their credit card information. Even adults with children may obtain access to the same speech on the same terms simply by </w:t>
      </w:r>
      <w:r w:rsidRPr="00D72BB3">
        <w:rPr>
          <w:rFonts w:ascii="Palatino Linotype" w:hAnsi="Palatino Linotype"/>
          <w:sz w:val="20"/>
          <w:szCs w:val="20"/>
        </w:rPr>
        <w:lastRenderedPageBreak/>
        <w:t>turning off the filter on their home computers. Above all, promoting the use of filters does not condemn as criminal any category of speech, and so the potential chilling effect is eliminated, or at least much diminished. All of these things are true, moreover, regardless of how broadly or narrowly the definitions in COPA are construed.</w:t>
      </w:r>
    </w:p>
    <w:p w14:paraId="3F1EE66F" w14:textId="2815CECF" w:rsidR="00477E27" w:rsidRPr="00D72BB3" w:rsidRDefault="00477E27" w:rsidP="00A62C6F">
      <w:pPr>
        <w:ind w:firstLine="720"/>
        <w:jc w:val="both"/>
        <w:rPr>
          <w:rFonts w:ascii="Palatino Linotype" w:hAnsi="Palatino Linotype"/>
          <w:sz w:val="20"/>
          <w:szCs w:val="20"/>
        </w:rPr>
      </w:pPr>
      <w:r w:rsidRPr="00D72BB3">
        <w:rPr>
          <w:rFonts w:ascii="Palatino Linotype" w:hAnsi="Palatino Linotype"/>
          <w:sz w:val="20"/>
          <w:szCs w:val="20"/>
        </w:rPr>
        <w:t xml:space="preserve">. . . . </w:t>
      </w:r>
    </w:p>
    <w:p w14:paraId="67ABA29B" w14:textId="1B7147BC" w:rsidR="00477E27" w:rsidRPr="00D72BB3" w:rsidRDefault="00477E27" w:rsidP="00A62C6F">
      <w:pPr>
        <w:ind w:firstLine="720"/>
        <w:jc w:val="both"/>
        <w:rPr>
          <w:rFonts w:ascii="Palatino Linotype" w:hAnsi="Palatino Linotype"/>
          <w:sz w:val="20"/>
          <w:szCs w:val="20"/>
        </w:rPr>
      </w:pPr>
      <w:r w:rsidRPr="00D72BB3">
        <w:rPr>
          <w:rFonts w:ascii="Palatino Linotype" w:hAnsi="Palatino Linotype"/>
          <w:sz w:val="20"/>
          <w:szCs w:val="20"/>
        </w:rPr>
        <w:t xml:space="preserve">[T]here are substantial factual disputes remaining in the case. As mentioned above, there is a serious gap in the evidence as to the effectiveness of filtering software. For us to assume, without proof, that filters are less effective than COPA would usurp the District Court’s </w:t>
      </w:r>
      <w:proofErr w:type="spellStart"/>
      <w:r w:rsidRPr="00D72BB3">
        <w:rPr>
          <w:rFonts w:ascii="Palatino Linotype" w:hAnsi="Palatino Linotype"/>
          <w:sz w:val="20"/>
          <w:szCs w:val="20"/>
        </w:rPr>
        <w:t>factfinding</w:t>
      </w:r>
      <w:proofErr w:type="spellEnd"/>
      <w:r w:rsidRPr="00D72BB3">
        <w:rPr>
          <w:rFonts w:ascii="Palatino Linotype" w:hAnsi="Palatino Linotype"/>
          <w:sz w:val="20"/>
          <w:szCs w:val="20"/>
        </w:rPr>
        <w:t xml:space="preserve"> role. By allowing the preliminary injunction to stand and remanding for trial, we require the Government to shoulder its full constitutional burden of proof respecting the less restrictive alternative argument, rather than excuse it from doing so.</w:t>
      </w:r>
    </w:p>
    <w:p w14:paraId="11726497" w14:textId="1EA0325A" w:rsidR="00477E27" w:rsidRPr="00D72BB3" w:rsidRDefault="00477E27" w:rsidP="00A62C6F">
      <w:pPr>
        <w:ind w:firstLine="720"/>
        <w:jc w:val="both"/>
        <w:rPr>
          <w:rFonts w:ascii="Palatino Linotype" w:hAnsi="Palatino Linotype"/>
          <w:sz w:val="20"/>
          <w:szCs w:val="20"/>
        </w:rPr>
      </w:pPr>
      <w:r w:rsidRPr="00D72BB3">
        <w:rPr>
          <w:rFonts w:ascii="Palatino Linotype" w:hAnsi="Palatino Linotype"/>
          <w:sz w:val="20"/>
          <w:szCs w:val="20"/>
        </w:rPr>
        <w:t xml:space="preserve">[T]he factual record does not reflect current technological reality—a serious flaw in any case involving the Internet. The technology of the Internet evolves at a rapid pace. Yet the </w:t>
      </w:r>
      <w:proofErr w:type="spellStart"/>
      <w:r w:rsidRPr="00D72BB3">
        <w:rPr>
          <w:rFonts w:ascii="Palatino Linotype" w:hAnsi="Palatino Linotype"/>
          <w:sz w:val="20"/>
          <w:szCs w:val="20"/>
        </w:rPr>
        <w:t>factfindings</w:t>
      </w:r>
      <w:proofErr w:type="spellEnd"/>
      <w:r w:rsidRPr="00D72BB3">
        <w:rPr>
          <w:rFonts w:ascii="Palatino Linotype" w:hAnsi="Palatino Linotype"/>
          <w:sz w:val="20"/>
          <w:szCs w:val="20"/>
        </w:rPr>
        <w:t xml:space="preserve"> of the District Court were entered in February 1999, over five years ago. Since then, certain facts about the Internet are known to have changed. . . .</w:t>
      </w:r>
    </w:p>
    <w:p w14:paraId="02B861E5" w14:textId="58A44844" w:rsidR="00477E27" w:rsidRPr="00D72BB3" w:rsidRDefault="00477E27" w:rsidP="00A62C6F">
      <w:pPr>
        <w:ind w:firstLine="720"/>
        <w:jc w:val="both"/>
        <w:rPr>
          <w:rFonts w:ascii="Palatino Linotype" w:hAnsi="Palatino Linotype" w:cs="Times New Roman"/>
          <w:sz w:val="20"/>
          <w:szCs w:val="20"/>
        </w:rPr>
      </w:pPr>
      <w:r w:rsidRPr="00D72BB3">
        <w:rPr>
          <w:rFonts w:ascii="Palatino Linotype" w:hAnsi="Palatino Linotype"/>
          <w:sz w:val="20"/>
          <w:szCs w:val="20"/>
        </w:rPr>
        <w:t>. . . .</w:t>
      </w:r>
    </w:p>
    <w:p w14:paraId="1F046B2D" w14:textId="2124D387" w:rsidR="00234A60" w:rsidRPr="00D72BB3" w:rsidRDefault="00477E27" w:rsidP="00234A60">
      <w:pPr>
        <w:ind w:firstLine="720"/>
        <w:jc w:val="both"/>
        <w:rPr>
          <w:rFonts w:ascii="Palatino Linotype" w:hAnsi="Palatino Linotype" w:cs="Times New Roman"/>
          <w:sz w:val="20"/>
          <w:szCs w:val="20"/>
        </w:rPr>
      </w:pPr>
      <w:r w:rsidRPr="00D72BB3">
        <w:rPr>
          <w:rFonts w:ascii="Palatino Linotype" w:hAnsi="Palatino Linotype" w:cs="Times New Roman"/>
          <w:i/>
          <w:sz w:val="20"/>
          <w:szCs w:val="20"/>
        </w:rPr>
        <w:t>Affirmed</w:t>
      </w:r>
      <w:r w:rsidRPr="00D72BB3">
        <w:rPr>
          <w:rFonts w:ascii="Palatino Linotype" w:hAnsi="Palatino Linotype" w:cs="Times New Roman"/>
          <w:sz w:val="20"/>
          <w:szCs w:val="20"/>
        </w:rPr>
        <w:t>.</w:t>
      </w:r>
    </w:p>
    <w:p w14:paraId="1CD3A6E8" w14:textId="28E6BE51" w:rsidR="00477E27" w:rsidRPr="00D72BB3" w:rsidRDefault="00477E27" w:rsidP="00234A60">
      <w:pPr>
        <w:ind w:firstLine="720"/>
        <w:jc w:val="both"/>
        <w:rPr>
          <w:rFonts w:ascii="Palatino Linotype" w:hAnsi="Palatino Linotype" w:cs="Times New Roman"/>
          <w:sz w:val="20"/>
          <w:szCs w:val="20"/>
        </w:rPr>
      </w:pPr>
    </w:p>
    <w:p w14:paraId="371FF0C2" w14:textId="4C2C5F08" w:rsidR="00477E27" w:rsidRPr="00D72BB3" w:rsidRDefault="00477E27" w:rsidP="00477E27">
      <w:pPr>
        <w:jc w:val="both"/>
        <w:rPr>
          <w:rFonts w:ascii="Palatino Linotype" w:hAnsi="Palatino Linotype" w:cs="Times New Roman"/>
          <w:sz w:val="20"/>
          <w:szCs w:val="20"/>
        </w:rPr>
      </w:pPr>
      <w:r w:rsidRPr="00D72BB3">
        <w:rPr>
          <w:rFonts w:ascii="Palatino Linotype" w:hAnsi="Palatino Linotype" w:cs="Times New Roman"/>
          <w:sz w:val="20"/>
          <w:szCs w:val="20"/>
        </w:rPr>
        <w:t>JUSTICE STEVENS, with whom JUSTICE GINSBURG joins, concurring.</w:t>
      </w:r>
    </w:p>
    <w:p w14:paraId="5D469CB5" w14:textId="77CE09C4" w:rsidR="00477E27" w:rsidRPr="00D72BB3" w:rsidRDefault="00F82D3C" w:rsidP="00234A60">
      <w:pPr>
        <w:ind w:firstLine="720"/>
        <w:jc w:val="both"/>
        <w:rPr>
          <w:rFonts w:ascii="Palatino Linotype" w:hAnsi="Palatino Linotype"/>
          <w:sz w:val="20"/>
          <w:szCs w:val="20"/>
        </w:rPr>
      </w:pPr>
      <w:r w:rsidRPr="00D72BB3">
        <w:rPr>
          <w:rFonts w:ascii="Palatino Linotype" w:hAnsi="Palatino Linotype" w:cs="Times New Roman"/>
          <w:sz w:val="20"/>
          <w:szCs w:val="20"/>
        </w:rPr>
        <w:t xml:space="preserve">. . . . </w:t>
      </w:r>
      <w:r w:rsidRPr="00D72BB3">
        <w:rPr>
          <w:rFonts w:ascii="Palatino Linotype" w:hAnsi="Palatino Linotype"/>
          <w:sz w:val="20"/>
          <w:szCs w:val="20"/>
        </w:rPr>
        <w:t>I continue to believe that the Government may not penalize speakers for making available to the general World Wide Web audience that which the least tolerant communities in America deem unfit for their children’s consumption. . . .</w:t>
      </w:r>
    </w:p>
    <w:p w14:paraId="3659ABE6" w14:textId="11A5E0C1" w:rsidR="00F82D3C" w:rsidRPr="00D72BB3" w:rsidRDefault="00F82D3C" w:rsidP="00234A60">
      <w:pPr>
        <w:ind w:firstLine="720"/>
        <w:jc w:val="both"/>
        <w:rPr>
          <w:rFonts w:ascii="Palatino Linotype" w:hAnsi="Palatino Linotype"/>
          <w:sz w:val="20"/>
          <w:szCs w:val="20"/>
        </w:rPr>
      </w:pPr>
      <w:r w:rsidRPr="00D72BB3">
        <w:rPr>
          <w:rFonts w:ascii="Palatino Linotype" w:hAnsi="Palatino Linotype"/>
          <w:sz w:val="20"/>
          <w:szCs w:val="20"/>
        </w:rPr>
        <w:t>. . . .</w:t>
      </w:r>
    </w:p>
    <w:p w14:paraId="23ABFB05" w14:textId="2EC8282C" w:rsidR="00F82D3C" w:rsidRPr="00D72BB3" w:rsidRDefault="00F82D3C" w:rsidP="00234A60">
      <w:pPr>
        <w:ind w:firstLine="720"/>
        <w:jc w:val="both"/>
        <w:rPr>
          <w:rFonts w:ascii="Palatino Linotype" w:hAnsi="Palatino Linotype"/>
          <w:sz w:val="20"/>
          <w:szCs w:val="20"/>
        </w:rPr>
      </w:pPr>
      <w:r w:rsidRPr="00D72BB3">
        <w:rPr>
          <w:rFonts w:ascii="Palatino Linotype" w:hAnsi="Palatino Linotype"/>
          <w:sz w:val="20"/>
          <w:szCs w:val="20"/>
        </w:rPr>
        <w:t>In registering my agreement with the Court’s less-restrictive-means analysis, I wish to underscore just how restrictive COPA is. COPA is a content-based restraint on the dissemination of constitutionally protected speech. . . . Speakers who dutifully place their content behind age screens may nevertheless find themselves in court, forced to prove the lawfulness of their speech on pain of criminal conviction.</w:t>
      </w:r>
    </w:p>
    <w:p w14:paraId="4FB9DB1A" w14:textId="39BDEC87" w:rsidR="00F82D3C" w:rsidRPr="00D72BB3" w:rsidRDefault="00F82D3C" w:rsidP="00234A60">
      <w:pPr>
        <w:ind w:firstLine="720"/>
        <w:jc w:val="both"/>
        <w:rPr>
          <w:rFonts w:ascii="Palatino Linotype" w:hAnsi="Palatino Linotype"/>
          <w:sz w:val="20"/>
          <w:szCs w:val="20"/>
        </w:rPr>
      </w:pPr>
      <w:r w:rsidRPr="00D72BB3">
        <w:rPr>
          <w:rFonts w:ascii="Palatino Linotype" w:hAnsi="Palatino Linotype"/>
          <w:sz w:val="20"/>
          <w:szCs w:val="20"/>
        </w:rPr>
        <w:t xml:space="preserve">Criminal prosecutions are, in my view, an inappropriate means to regulate the universe of materials classified as “obscene,” since “the line between communications which ‘offend’ and those which do not is too blurred to identify criminal conduct.” </w:t>
      </w:r>
      <w:r w:rsidRPr="00D72BB3">
        <w:rPr>
          <w:rFonts w:ascii="Palatino Linotype" w:hAnsi="Palatino Linotype"/>
          <w:i/>
          <w:sz w:val="20"/>
          <w:szCs w:val="20"/>
        </w:rPr>
        <w:t>Smith v. United States</w:t>
      </w:r>
      <w:r w:rsidRPr="00D72BB3">
        <w:rPr>
          <w:rFonts w:ascii="Palatino Linotype" w:hAnsi="Palatino Linotype"/>
          <w:sz w:val="20"/>
          <w:szCs w:val="20"/>
        </w:rPr>
        <w:t xml:space="preserve"> (1977). COPA’s creation of a new category of criminally punishable speech that is “harmful to minors” only compounds the problem. . . . </w:t>
      </w:r>
    </w:p>
    <w:p w14:paraId="4627D9E0" w14:textId="7A3A68A6" w:rsidR="00F82D3C" w:rsidRPr="00D72BB3" w:rsidRDefault="00F82D3C" w:rsidP="00F82D3C">
      <w:pPr>
        <w:ind w:firstLine="720"/>
        <w:jc w:val="both"/>
        <w:rPr>
          <w:rFonts w:ascii="Palatino Linotype" w:hAnsi="Palatino Linotype"/>
          <w:sz w:val="20"/>
          <w:szCs w:val="20"/>
        </w:rPr>
      </w:pPr>
      <w:r w:rsidRPr="00D72BB3">
        <w:rPr>
          <w:rFonts w:ascii="Palatino Linotype" w:hAnsi="Palatino Linotype"/>
          <w:sz w:val="20"/>
          <w:szCs w:val="20"/>
        </w:rPr>
        <w:t>COPA’s criminal penalties are, moreover, strong medicine for the ill that the statute seeks to remedy. To be sure, our cases have recognized a compelling interest in protecting minors from exposure to sexually explicit materials. As a parent, grandparent, and great-grandparent, I endorse that goal without reservation. As a judge, however, I must confess to a growing sense of unease when the interest in protecting children from prurient materials is invoked as a justification for using criminal regulation of speech as a substitute for, or a simple backup to, adult oversight of children’s viewing habits.</w:t>
      </w:r>
    </w:p>
    <w:p w14:paraId="2DCD9926" w14:textId="23906B04" w:rsidR="00F82D3C" w:rsidRPr="00D72BB3" w:rsidRDefault="00F82D3C" w:rsidP="00F82D3C">
      <w:pPr>
        <w:ind w:firstLine="720"/>
        <w:jc w:val="both"/>
        <w:rPr>
          <w:rFonts w:ascii="Palatino Linotype" w:hAnsi="Palatino Linotype"/>
          <w:sz w:val="20"/>
          <w:szCs w:val="20"/>
        </w:rPr>
      </w:pPr>
      <w:r w:rsidRPr="00D72BB3">
        <w:rPr>
          <w:rFonts w:ascii="Palatino Linotype" w:hAnsi="Palatino Linotype"/>
          <w:sz w:val="20"/>
          <w:szCs w:val="20"/>
        </w:rPr>
        <w:t>. . . .</w:t>
      </w:r>
    </w:p>
    <w:p w14:paraId="76662E53" w14:textId="3F37CD7B" w:rsidR="00F82D3C" w:rsidRPr="00D72BB3" w:rsidRDefault="00F82D3C" w:rsidP="00F82D3C">
      <w:pPr>
        <w:ind w:firstLine="720"/>
        <w:jc w:val="both"/>
        <w:rPr>
          <w:rFonts w:ascii="Palatino Linotype" w:hAnsi="Palatino Linotype"/>
          <w:sz w:val="20"/>
          <w:szCs w:val="20"/>
        </w:rPr>
      </w:pPr>
    </w:p>
    <w:p w14:paraId="7BCC4D8E" w14:textId="41FF2BBA" w:rsidR="00F82D3C" w:rsidRPr="00D72BB3" w:rsidRDefault="00F82D3C" w:rsidP="00F82D3C">
      <w:pPr>
        <w:jc w:val="both"/>
        <w:rPr>
          <w:rFonts w:ascii="Palatino Linotype" w:hAnsi="Palatino Linotype" w:cs="Times New Roman"/>
          <w:sz w:val="20"/>
          <w:szCs w:val="20"/>
        </w:rPr>
      </w:pPr>
      <w:r w:rsidRPr="00D72BB3">
        <w:rPr>
          <w:rFonts w:ascii="Palatino Linotype" w:hAnsi="Palatino Linotype" w:cs="Times New Roman"/>
          <w:sz w:val="20"/>
          <w:szCs w:val="20"/>
        </w:rPr>
        <w:t>JUSTICE BREYER, with whom CHIEF JUSTICE REHNQUIST and JUSTICE O’CONNOR join, dissenting.</w:t>
      </w:r>
    </w:p>
    <w:p w14:paraId="753D5B8E" w14:textId="7E735F91" w:rsidR="00F82D3C" w:rsidRPr="00D72BB3" w:rsidRDefault="00F82D3C" w:rsidP="00F82D3C">
      <w:pPr>
        <w:ind w:firstLine="720"/>
        <w:jc w:val="both"/>
        <w:rPr>
          <w:rFonts w:ascii="Palatino Linotype" w:hAnsi="Palatino Linotype" w:cs="Times New Roman"/>
          <w:sz w:val="20"/>
          <w:szCs w:val="20"/>
        </w:rPr>
      </w:pPr>
      <w:r w:rsidRPr="00D72BB3">
        <w:rPr>
          <w:rFonts w:ascii="Palatino Linotype" w:hAnsi="Palatino Linotype" w:cs="Times New Roman"/>
          <w:sz w:val="20"/>
          <w:szCs w:val="20"/>
        </w:rPr>
        <w:t xml:space="preserve">. . . . </w:t>
      </w:r>
    </w:p>
    <w:p w14:paraId="2B262D05" w14:textId="4D458B5D" w:rsidR="00F82D3C" w:rsidRPr="00D72BB3" w:rsidRDefault="00F82D3C" w:rsidP="00F82D3C">
      <w:pPr>
        <w:ind w:firstLine="720"/>
        <w:jc w:val="both"/>
        <w:rPr>
          <w:rFonts w:ascii="Palatino Linotype" w:hAnsi="Palatino Linotype"/>
          <w:sz w:val="20"/>
          <w:szCs w:val="20"/>
        </w:rPr>
      </w:pPr>
      <w:r w:rsidRPr="00D72BB3">
        <w:rPr>
          <w:rFonts w:ascii="Palatino Linotype" w:hAnsi="Palatino Linotype"/>
          <w:sz w:val="20"/>
          <w:szCs w:val="20"/>
        </w:rPr>
        <w:t xml:space="preserve">The Act’s definitions limit the material it regulates to material that does not enjoy First Amendment protection, namely legally obscene material, and very little more. . . . </w:t>
      </w:r>
    </w:p>
    <w:p w14:paraId="6B6B6E7D" w14:textId="2AF8A502" w:rsidR="00F82D3C" w:rsidRPr="00D72BB3" w:rsidRDefault="00F82D3C" w:rsidP="00776B21">
      <w:pPr>
        <w:ind w:firstLine="720"/>
        <w:jc w:val="both"/>
        <w:rPr>
          <w:rFonts w:ascii="Palatino Linotype" w:hAnsi="Palatino Linotype"/>
          <w:sz w:val="20"/>
          <w:szCs w:val="20"/>
        </w:rPr>
      </w:pPr>
      <w:r w:rsidRPr="00D72BB3">
        <w:rPr>
          <w:rFonts w:ascii="Palatino Linotype" w:hAnsi="Palatino Linotype"/>
          <w:sz w:val="20"/>
          <w:szCs w:val="20"/>
        </w:rPr>
        <w:t xml:space="preserve">The only significant difference between the present statute and </w:t>
      </w:r>
      <w:r w:rsidRPr="00D72BB3">
        <w:rPr>
          <w:rStyle w:val="Emphasis"/>
          <w:rFonts w:ascii="Palatino Linotype" w:hAnsi="Palatino Linotype"/>
          <w:sz w:val="20"/>
          <w:szCs w:val="20"/>
        </w:rPr>
        <w:t>Miller</w:t>
      </w:r>
      <w:r w:rsidRPr="00D72BB3">
        <w:rPr>
          <w:rFonts w:ascii="Palatino Linotype" w:hAnsi="Palatino Linotype"/>
          <w:sz w:val="20"/>
          <w:szCs w:val="20"/>
        </w:rPr>
        <w:t xml:space="preserve">’s definition consists of the addition of the words “with respect to minors.” . . . But the addition of these words to a definition that would otherwise cover only obscenity expands the statute’s scope only slightly. That is because </w:t>
      </w:r>
      <w:r w:rsidR="00776B21" w:rsidRPr="00D72BB3">
        <w:rPr>
          <w:rFonts w:ascii="Palatino Linotype" w:hAnsi="Palatino Linotype"/>
          <w:sz w:val="20"/>
          <w:szCs w:val="20"/>
        </w:rPr>
        <w:t xml:space="preserve">. . . . </w:t>
      </w:r>
      <w:proofErr w:type="gramStart"/>
      <w:r w:rsidRPr="00D72BB3">
        <w:rPr>
          <w:rFonts w:ascii="Palatino Linotype" w:hAnsi="Palatino Linotype"/>
          <w:sz w:val="20"/>
          <w:szCs w:val="20"/>
        </w:rPr>
        <w:t>material</w:t>
      </w:r>
      <w:proofErr w:type="gramEnd"/>
      <w:r w:rsidRPr="00D72BB3">
        <w:rPr>
          <w:rFonts w:ascii="Palatino Linotype" w:hAnsi="Palatino Linotype"/>
          <w:sz w:val="20"/>
          <w:szCs w:val="20"/>
        </w:rPr>
        <w:t xml:space="preserve"> that appeals to the “prurient interest[s]” of some group of adolescents or </w:t>
      </w:r>
      <w:proofErr w:type="spellStart"/>
      <w:r w:rsidRPr="00D72BB3">
        <w:rPr>
          <w:rFonts w:ascii="Palatino Linotype" w:hAnsi="Palatino Linotype"/>
          <w:sz w:val="20"/>
          <w:szCs w:val="20"/>
        </w:rPr>
        <w:t>postadolescents</w:t>
      </w:r>
      <w:proofErr w:type="spellEnd"/>
      <w:r w:rsidRPr="00D72BB3">
        <w:rPr>
          <w:rFonts w:ascii="Palatino Linotype" w:hAnsi="Palatino Linotype"/>
          <w:sz w:val="20"/>
          <w:szCs w:val="20"/>
        </w:rPr>
        <w:t xml:space="preserve"> will almost inevitably appeal to the “prurient interest[s]” of some group of adults as well.</w:t>
      </w:r>
    </w:p>
    <w:p w14:paraId="1FDF0057" w14:textId="7F387496" w:rsidR="00776B21" w:rsidRPr="00D72BB3" w:rsidRDefault="00776B21" w:rsidP="00776B21">
      <w:pPr>
        <w:ind w:firstLine="720"/>
        <w:jc w:val="both"/>
        <w:rPr>
          <w:rFonts w:ascii="Palatino Linotype" w:hAnsi="Palatino Linotype"/>
          <w:sz w:val="20"/>
          <w:szCs w:val="20"/>
        </w:rPr>
      </w:pPr>
      <w:r w:rsidRPr="00D72BB3">
        <w:rPr>
          <w:rFonts w:ascii="Palatino Linotype" w:hAnsi="Palatino Linotype"/>
          <w:sz w:val="20"/>
          <w:szCs w:val="20"/>
        </w:rPr>
        <w:lastRenderedPageBreak/>
        <w:t>The “lack of serious value” requirement narrows the statute yet further—despite the presence of the qualification “for minors.” That is because one cannot easily imagine material that has serious literary, artistic, political, or scientific value for a significant group of adults, but lacks such value for any significant group of minors. . . .</w:t>
      </w:r>
    </w:p>
    <w:p w14:paraId="33DDAC2F" w14:textId="60D7FA9F" w:rsidR="00776B21" w:rsidRPr="00D72BB3" w:rsidRDefault="00776B21" w:rsidP="00776B21">
      <w:pPr>
        <w:ind w:firstLine="720"/>
        <w:jc w:val="both"/>
        <w:rPr>
          <w:rFonts w:ascii="Palatino Linotype" w:hAnsi="Palatino Linotype"/>
          <w:sz w:val="20"/>
          <w:szCs w:val="20"/>
        </w:rPr>
      </w:pPr>
      <w:r w:rsidRPr="00D72BB3">
        <w:rPr>
          <w:rFonts w:ascii="Palatino Linotype" w:hAnsi="Palatino Linotype"/>
          <w:sz w:val="20"/>
          <w:szCs w:val="20"/>
        </w:rPr>
        <w:t>. . . . In sum, the Act’s definitions limit the statute’s scope to commercial pornography. It affects unprotected obscene material. Given the inevitable uncertainty about how to characterize close-to-obscene material, it could apply to (or chill the production of) a limited class of borderline material that courts might ultimately find is protected. But the examples I have just given fall outside that class.</w:t>
      </w:r>
    </w:p>
    <w:p w14:paraId="58B69E2C" w14:textId="2F7B2559" w:rsidR="00776B21" w:rsidRPr="00D72BB3" w:rsidRDefault="00776B21" w:rsidP="00776B21">
      <w:pPr>
        <w:ind w:firstLine="720"/>
        <w:jc w:val="both"/>
        <w:rPr>
          <w:rFonts w:ascii="Palatino Linotype" w:hAnsi="Palatino Linotype"/>
          <w:sz w:val="20"/>
          <w:szCs w:val="20"/>
        </w:rPr>
      </w:pPr>
      <w:r w:rsidRPr="00D72BB3">
        <w:rPr>
          <w:rFonts w:ascii="Palatino Linotype" w:hAnsi="Palatino Linotype"/>
          <w:sz w:val="20"/>
          <w:szCs w:val="20"/>
        </w:rPr>
        <w:t>The Act does not censor the material it covers. Rather, it requires providers of the “harmful to minors” material to restrict minors’ access to it by verifying age. . . .</w:t>
      </w:r>
    </w:p>
    <w:p w14:paraId="3CF059FA" w14:textId="616B6183" w:rsidR="00F82D3C" w:rsidRPr="00D72BB3" w:rsidRDefault="00776B21" w:rsidP="00F82D3C">
      <w:pPr>
        <w:ind w:firstLine="720"/>
        <w:jc w:val="both"/>
        <w:rPr>
          <w:rFonts w:ascii="Palatino Linotype" w:hAnsi="Palatino Linotype" w:cs="Times New Roman"/>
          <w:sz w:val="20"/>
          <w:szCs w:val="20"/>
        </w:rPr>
      </w:pPr>
      <w:r w:rsidRPr="00D72BB3">
        <w:rPr>
          <w:rFonts w:ascii="Palatino Linotype" w:hAnsi="Palatino Linotype" w:cs="Times New Roman"/>
          <w:sz w:val="20"/>
          <w:szCs w:val="20"/>
        </w:rPr>
        <w:t xml:space="preserve"> . . . .</w:t>
      </w:r>
    </w:p>
    <w:p w14:paraId="6F88CFBB" w14:textId="46CF9205" w:rsidR="00776B21" w:rsidRPr="00D72BB3" w:rsidRDefault="00776B21" w:rsidP="00F82D3C">
      <w:pPr>
        <w:ind w:firstLine="720"/>
        <w:jc w:val="both"/>
        <w:rPr>
          <w:rFonts w:ascii="Palatino Linotype" w:hAnsi="Palatino Linotype"/>
          <w:sz w:val="20"/>
          <w:szCs w:val="20"/>
        </w:rPr>
      </w:pPr>
      <w:r w:rsidRPr="00D72BB3">
        <w:rPr>
          <w:rFonts w:ascii="Palatino Linotype" w:hAnsi="Palatino Linotype"/>
          <w:sz w:val="20"/>
          <w:szCs w:val="20"/>
        </w:rPr>
        <w:t>In sum, the Act at most imposes a modest additional burden on adult access to legally obscene material, perhaps imposing a similar burden on access to some protected borderline obscene material as well.</w:t>
      </w:r>
    </w:p>
    <w:p w14:paraId="24219C64" w14:textId="766C7CAE" w:rsidR="00776B21" w:rsidRPr="00D72BB3" w:rsidRDefault="00776B21" w:rsidP="00F82D3C">
      <w:pPr>
        <w:ind w:firstLine="720"/>
        <w:jc w:val="both"/>
        <w:rPr>
          <w:rFonts w:ascii="Palatino Linotype" w:hAnsi="Palatino Linotype"/>
          <w:sz w:val="20"/>
          <w:szCs w:val="20"/>
        </w:rPr>
      </w:pPr>
      <w:r w:rsidRPr="00D72BB3">
        <w:rPr>
          <w:rFonts w:ascii="Palatino Linotype" w:hAnsi="Palatino Linotype"/>
          <w:sz w:val="20"/>
          <w:szCs w:val="20"/>
        </w:rPr>
        <w:t> I turn next to the question of “compelling interest,” that of protecting minors from exposure to commercial pornography. No one denies that such an interest is “compelling.” . . .</w:t>
      </w:r>
    </w:p>
    <w:p w14:paraId="3AF811ED" w14:textId="44B29090" w:rsidR="00776B21" w:rsidRPr="00D72BB3" w:rsidRDefault="00776B21" w:rsidP="00F82D3C">
      <w:pPr>
        <w:ind w:firstLine="720"/>
        <w:jc w:val="both"/>
        <w:rPr>
          <w:rFonts w:ascii="Palatino Linotype" w:hAnsi="Palatino Linotype"/>
          <w:sz w:val="20"/>
          <w:szCs w:val="20"/>
        </w:rPr>
      </w:pPr>
      <w:r w:rsidRPr="00D72BB3">
        <w:rPr>
          <w:rFonts w:ascii="Palatino Linotype" w:hAnsi="Palatino Linotype"/>
          <w:sz w:val="20"/>
          <w:szCs w:val="20"/>
        </w:rPr>
        <w:t xml:space="preserve">. . . . Conceptually speaking, the presence of filtering software is not an </w:t>
      </w:r>
      <w:r w:rsidRPr="00D72BB3">
        <w:rPr>
          <w:rStyle w:val="Emphasis"/>
          <w:rFonts w:ascii="Palatino Linotype" w:hAnsi="Palatino Linotype"/>
          <w:sz w:val="20"/>
          <w:szCs w:val="20"/>
        </w:rPr>
        <w:t>alternative</w:t>
      </w:r>
      <w:r w:rsidRPr="00D72BB3">
        <w:rPr>
          <w:rFonts w:ascii="Palatino Linotype" w:hAnsi="Palatino Linotype"/>
          <w:sz w:val="20"/>
          <w:szCs w:val="20"/>
        </w:rPr>
        <w:t xml:space="preserve"> legislative approach to the problem of protecting children from exposure to commercial pornography. Rather, it is part of the status quo, </w:t>
      </w:r>
      <w:r w:rsidRPr="00D72BB3">
        <w:rPr>
          <w:rStyle w:val="Emphasis"/>
          <w:rFonts w:ascii="Palatino Linotype" w:hAnsi="Palatino Linotype"/>
          <w:sz w:val="20"/>
          <w:szCs w:val="20"/>
        </w:rPr>
        <w:t>i.e.,</w:t>
      </w:r>
      <w:r w:rsidRPr="00D72BB3">
        <w:rPr>
          <w:rFonts w:ascii="Palatino Linotype" w:hAnsi="Palatino Linotype"/>
          <w:sz w:val="20"/>
          <w:szCs w:val="20"/>
        </w:rPr>
        <w:t xml:space="preserve"> the backdrop against which Congress enacted the present statute. It is always true, by definition, that the status quo</w:t>
      </w:r>
      <w:r w:rsidRPr="00D72BB3">
        <w:rPr>
          <w:rStyle w:val="Emphasis"/>
          <w:rFonts w:ascii="Palatino Linotype" w:hAnsi="Palatino Linotype"/>
          <w:sz w:val="20"/>
          <w:szCs w:val="20"/>
        </w:rPr>
        <w:t xml:space="preserve"> </w:t>
      </w:r>
      <w:r w:rsidRPr="00D72BB3">
        <w:rPr>
          <w:rFonts w:ascii="Palatino Linotype" w:hAnsi="Palatino Linotype"/>
          <w:sz w:val="20"/>
          <w:szCs w:val="20"/>
        </w:rPr>
        <w:t>is less restrictive than a</w:t>
      </w:r>
      <w:r w:rsidRPr="00D72BB3">
        <w:rPr>
          <w:rStyle w:val="Emphasis"/>
          <w:rFonts w:ascii="Palatino Linotype" w:hAnsi="Palatino Linotype"/>
          <w:sz w:val="20"/>
          <w:szCs w:val="20"/>
        </w:rPr>
        <w:t xml:space="preserve"> </w:t>
      </w:r>
      <w:r w:rsidRPr="00D72BB3">
        <w:rPr>
          <w:rFonts w:ascii="Palatino Linotype" w:hAnsi="Palatino Linotype"/>
          <w:sz w:val="20"/>
          <w:szCs w:val="20"/>
        </w:rPr>
        <w:t xml:space="preserve">new regulatory law. It is always less restrictive to do </w:t>
      </w:r>
      <w:r w:rsidRPr="00D72BB3">
        <w:rPr>
          <w:rStyle w:val="Emphasis"/>
          <w:rFonts w:ascii="Palatino Linotype" w:hAnsi="Palatino Linotype"/>
          <w:sz w:val="20"/>
          <w:szCs w:val="20"/>
        </w:rPr>
        <w:t>nothing</w:t>
      </w:r>
      <w:r w:rsidRPr="00D72BB3">
        <w:rPr>
          <w:rFonts w:ascii="Palatino Linotype" w:hAnsi="Palatino Linotype"/>
          <w:sz w:val="20"/>
          <w:szCs w:val="20"/>
        </w:rPr>
        <w:t xml:space="preserve"> than to do </w:t>
      </w:r>
      <w:r w:rsidRPr="00D72BB3">
        <w:rPr>
          <w:rStyle w:val="Emphasis"/>
          <w:rFonts w:ascii="Palatino Linotype" w:hAnsi="Palatino Linotype"/>
          <w:sz w:val="20"/>
          <w:szCs w:val="20"/>
        </w:rPr>
        <w:t>something</w:t>
      </w:r>
      <w:r w:rsidRPr="00D72BB3">
        <w:rPr>
          <w:rFonts w:ascii="Palatino Linotype" w:hAnsi="Palatino Linotype"/>
          <w:sz w:val="20"/>
          <w:szCs w:val="20"/>
        </w:rPr>
        <w:t>. But “doing nothing” does not address the problem Congress sought to address—namely that, despite the availability of filtering software, children were still being exposed to harmful material on the Internet.</w:t>
      </w:r>
    </w:p>
    <w:p w14:paraId="1160BAC8" w14:textId="2B09E338" w:rsidR="00776B21" w:rsidRPr="00D72BB3" w:rsidRDefault="00776B21" w:rsidP="00F82D3C">
      <w:pPr>
        <w:ind w:firstLine="720"/>
        <w:jc w:val="both"/>
        <w:rPr>
          <w:rFonts w:ascii="Palatino Linotype" w:hAnsi="Palatino Linotype"/>
          <w:sz w:val="20"/>
          <w:szCs w:val="20"/>
        </w:rPr>
      </w:pPr>
      <w:r w:rsidRPr="00D72BB3">
        <w:rPr>
          <w:rFonts w:ascii="Palatino Linotype" w:hAnsi="Palatino Linotype"/>
          <w:sz w:val="20"/>
          <w:szCs w:val="20"/>
        </w:rPr>
        <w:t xml:space="preserve">. . . . </w:t>
      </w:r>
    </w:p>
    <w:p w14:paraId="355E932B" w14:textId="3E28D33D" w:rsidR="00776B21" w:rsidRPr="00D72BB3" w:rsidRDefault="00776B21" w:rsidP="00F82D3C">
      <w:pPr>
        <w:ind w:firstLine="720"/>
        <w:jc w:val="both"/>
        <w:rPr>
          <w:rFonts w:ascii="Palatino Linotype" w:hAnsi="Palatino Linotype"/>
          <w:sz w:val="20"/>
          <w:szCs w:val="20"/>
        </w:rPr>
      </w:pPr>
      <w:r w:rsidRPr="00D72BB3">
        <w:rPr>
          <w:rFonts w:ascii="Palatino Linotype" w:hAnsi="Palatino Linotype"/>
          <w:sz w:val="20"/>
          <w:szCs w:val="20"/>
        </w:rPr>
        <w:t xml:space="preserve">In sum, a “filtering software status quo” means filtering that </w:t>
      </w:r>
      <w:proofErr w:type="spellStart"/>
      <w:r w:rsidRPr="00D72BB3">
        <w:rPr>
          <w:rFonts w:ascii="Palatino Linotype" w:hAnsi="Palatino Linotype"/>
          <w:sz w:val="20"/>
          <w:szCs w:val="20"/>
        </w:rPr>
        <w:t>underblocks</w:t>
      </w:r>
      <w:proofErr w:type="spellEnd"/>
      <w:r w:rsidRPr="00D72BB3">
        <w:rPr>
          <w:rFonts w:ascii="Palatino Linotype" w:hAnsi="Palatino Linotype"/>
          <w:sz w:val="20"/>
          <w:szCs w:val="20"/>
        </w:rPr>
        <w:t xml:space="preserve">, imposes a cost upon each family that uses it, fails to screen outside the home, and lacks precision. Thus, Congress could reasonably conclude that a system that relies entirely upon the use of such software is not an effective system. And a law that adds to that system an age-verification screen requirement significantly increases the system’s efficacy. That is to say, at a modest additional cost to those adults who wish to obtain access to a screened </w:t>
      </w:r>
      <w:proofErr w:type="gramStart"/>
      <w:r w:rsidRPr="00D72BB3">
        <w:rPr>
          <w:rFonts w:ascii="Palatino Linotype" w:hAnsi="Palatino Linotype"/>
          <w:sz w:val="20"/>
          <w:szCs w:val="20"/>
        </w:rPr>
        <w:t>program, that</w:t>
      </w:r>
      <w:proofErr w:type="gramEnd"/>
      <w:r w:rsidRPr="00D72BB3">
        <w:rPr>
          <w:rFonts w:ascii="Palatino Linotype" w:hAnsi="Palatino Linotype"/>
          <w:sz w:val="20"/>
          <w:szCs w:val="20"/>
        </w:rPr>
        <w:t xml:space="preserve"> law will bring about better, more precise blocking, both inside and outside the home.</w:t>
      </w:r>
    </w:p>
    <w:p w14:paraId="3F3CA9B8" w14:textId="11E8AEA8" w:rsidR="00776B21" w:rsidRPr="00D72BB3" w:rsidRDefault="00776B21" w:rsidP="00F82D3C">
      <w:pPr>
        <w:ind w:firstLine="720"/>
        <w:jc w:val="both"/>
        <w:rPr>
          <w:rFonts w:ascii="Palatino Linotype" w:hAnsi="Palatino Linotype"/>
          <w:sz w:val="20"/>
          <w:szCs w:val="20"/>
        </w:rPr>
      </w:pPr>
      <w:r w:rsidRPr="00D72BB3">
        <w:rPr>
          <w:rFonts w:ascii="Palatino Linotype" w:hAnsi="Palatino Linotype"/>
          <w:sz w:val="20"/>
          <w:szCs w:val="20"/>
        </w:rPr>
        <w:t>. . . .</w:t>
      </w:r>
    </w:p>
    <w:p w14:paraId="268122B9" w14:textId="1BF130F4" w:rsidR="00776B21" w:rsidRPr="00D72BB3" w:rsidRDefault="00776B21" w:rsidP="00776B21">
      <w:pPr>
        <w:ind w:firstLine="720"/>
        <w:jc w:val="both"/>
        <w:rPr>
          <w:rFonts w:ascii="Palatino Linotype" w:hAnsi="Palatino Linotype" w:cs="Times New Roman"/>
          <w:sz w:val="20"/>
          <w:szCs w:val="20"/>
        </w:rPr>
      </w:pPr>
      <w:r w:rsidRPr="00D72BB3">
        <w:rPr>
          <w:rFonts w:ascii="Palatino Linotype" w:hAnsi="Palatino Linotype"/>
          <w:sz w:val="20"/>
          <w:szCs w:val="20"/>
        </w:rPr>
        <w:t>My conclusion is that the Act, as properly interpreted, risks imposition of minor burdens on some protected material—burdens that adults wishing to view the material may overcome at modest cost. At the same time, it significantly helps to achieve a compelling congressional goal, protecting children from exposure to commercial pornography. There is no serious, practically available “less restrictive” way similarly to further this compelling interest. Hence the Act is constitutional.</w:t>
      </w:r>
    </w:p>
    <w:p w14:paraId="67919614" w14:textId="52D3065C" w:rsidR="00776B21" w:rsidRPr="00D72BB3" w:rsidRDefault="00776B21" w:rsidP="00F82D3C">
      <w:pPr>
        <w:ind w:firstLine="720"/>
        <w:jc w:val="both"/>
        <w:rPr>
          <w:rFonts w:ascii="Palatino Linotype" w:hAnsi="Palatino Linotype" w:cs="Times New Roman"/>
          <w:sz w:val="20"/>
          <w:szCs w:val="20"/>
        </w:rPr>
      </w:pPr>
      <w:r w:rsidRPr="00D72BB3">
        <w:rPr>
          <w:rFonts w:ascii="Palatino Linotype" w:hAnsi="Palatino Linotype" w:cs="Times New Roman"/>
          <w:sz w:val="20"/>
          <w:szCs w:val="20"/>
        </w:rPr>
        <w:t>. . . .</w:t>
      </w:r>
    </w:p>
    <w:p w14:paraId="5AD2ADBE" w14:textId="546B8C40" w:rsidR="00F82D3C" w:rsidRPr="00D72BB3" w:rsidRDefault="00F82D3C" w:rsidP="00F82D3C">
      <w:pPr>
        <w:jc w:val="both"/>
        <w:rPr>
          <w:rFonts w:ascii="Palatino Linotype" w:hAnsi="Palatino Linotype" w:cs="Times New Roman"/>
          <w:sz w:val="20"/>
          <w:szCs w:val="20"/>
        </w:rPr>
      </w:pPr>
      <w:r w:rsidRPr="00D72BB3">
        <w:rPr>
          <w:rFonts w:ascii="Palatino Linotype" w:hAnsi="Palatino Linotype" w:cs="Times New Roman"/>
          <w:sz w:val="20"/>
          <w:szCs w:val="20"/>
        </w:rPr>
        <w:t>JUSTICE SCALIA, dissenting.</w:t>
      </w:r>
    </w:p>
    <w:p w14:paraId="5180BA3A" w14:textId="2F1643E3" w:rsidR="00F82D3C" w:rsidRPr="00D72BB3" w:rsidRDefault="00F82D3C" w:rsidP="00776B21">
      <w:pPr>
        <w:ind w:firstLine="720"/>
        <w:jc w:val="both"/>
        <w:rPr>
          <w:rFonts w:ascii="Palatino Linotype" w:hAnsi="Palatino Linotype"/>
          <w:sz w:val="20"/>
          <w:szCs w:val="20"/>
        </w:rPr>
      </w:pPr>
      <w:r w:rsidRPr="00D72BB3">
        <w:rPr>
          <w:rFonts w:ascii="Palatino Linotype" w:hAnsi="Palatino Linotype" w:cs="Times New Roman"/>
          <w:sz w:val="20"/>
          <w:szCs w:val="20"/>
        </w:rPr>
        <w:t>.</w:t>
      </w:r>
      <w:r w:rsidR="00776B21" w:rsidRPr="00D72BB3">
        <w:rPr>
          <w:rFonts w:ascii="Palatino Linotype" w:hAnsi="Palatino Linotype" w:cs="Times New Roman"/>
          <w:sz w:val="20"/>
          <w:szCs w:val="20"/>
        </w:rPr>
        <w:t xml:space="preserve"> . . . </w:t>
      </w:r>
      <w:r w:rsidR="00776B21" w:rsidRPr="00D72BB3">
        <w:rPr>
          <w:rFonts w:ascii="Palatino Linotype" w:hAnsi="Palatino Linotype"/>
          <w:sz w:val="20"/>
          <w:szCs w:val="20"/>
        </w:rPr>
        <w:t xml:space="preserve">Both the Court and Justice Breyer err, however, in subjecting COPA to strict scrutiny. Nothing in the First Amendment entitles the type of material covered by COPA to that exacting standard of review. “We have recognized that commercial entities which engage in ‘the sordid business of pandering’ by ‘deliberately </w:t>
      </w:r>
      <w:proofErr w:type="spellStart"/>
      <w:r w:rsidR="00776B21" w:rsidRPr="00D72BB3">
        <w:rPr>
          <w:rFonts w:ascii="Palatino Linotype" w:hAnsi="Palatino Linotype"/>
          <w:sz w:val="20"/>
          <w:szCs w:val="20"/>
        </w:rPr>
        <w:t>emphasiz</w:t>
      </w:r>
      <w:proofErr w:type="spellEnd"/>
      <w:r w:rsidR="00776B21" w:rsidRPr="00D72BB3">
        <w:rPr>
          <w:rFonts w:ascii="Palatino Linotype" w:hAnsi="Palatino Linotype"/>
          <w:sz w:val="20"/>
          <w:szCs w:val="20"/>
        </w:rPr>
        <w:t>[</w:t>
      </w:r>
      <w:proofErr w:type="spellStart"/>
      <w:r w:rsidR="00776B21" w:rsidRPr="00D72BB3">
        <w:rPr>
          <w:rFonts w:ascii="Palatino Linotype" w:hAnsi="Palatino Linotype"/>
          <w:sz w:val="20"/>
          <w:szCs w:val="20"/>
        </w:rPr>
        <w:t>ing</w:t>
      </w:r>
      <w:proofErr w:type="spellEnd"/>
      <w:r w:rsidR="00776B21" w:rsidRPr="00D72BB3">
        <w:rPr>
          <w:rFonts w:ascii="Palatino Linotype" w:hAnsi="Palatino Linotype"/>
          <w:sz w:val="20"/>
          <w:szCs w:val="20"/>
        </w:rPr>
        <w:t xml:space="preserve">] the sexually provocative aspects of [their </w:t>
      </w:r>
      <w:proofErr w:type="spellStart"/>
      <w:r w:rsidR="00776B21" w:rsidRPr="00D72BB3">
        <w:rPr>
          <w:rFonts w:ascii="Palatino Linotype" w:hAnsi="Palatino Linotype"/>
          <w:sz w:val="20"/>
          <w:szCs w:val="20"/>
        </w:rPr>
        <w:t>nonobscene</w:t>
      </w:r>
      <w:proofErr w:type="spellEnd"/>
      <w:r w:rsidR="00776B21" w:rsidRPr="00D72BB3">
        <w:rPr>
          <w:rFonts w:ascii="Palatino Linotype" w:hAnsi="Palatino Linotype"/>
          <w:sz w:val="20"/>
          <w:szCs w:val="20"/>
        </w:rPr>
        <w:t xml:space="preserve"> products], in order to catch the salaciously disposed,’ engage in constitutionally unprotected behavior.” </w:t>
      </w:r>
      <w:r w:rsidR="00776B21" w:rsidRPr="00D72BB3">
        <w:rPr>
          <w:rFonts w:ascii="Palatino Linotype" w:hAnsi="Palatino Linotype"/>
          <w:i/>
          <w:sz w:val="20"/>
          <w:szCs w:val="20"/>
        </w:rPr>
        <w:t>United States v. Playboy Entertainment Group, Inc.</w:t>
      </w:r>
      <w:r w:rsidR="00776B21" w:rsidRPr="00D72BB3">
        <w:rPr>
          <w:rFonts w:ascii="Palatino Linotype" w:hAnsi="Palatino Linotype"/>
          <w:sz w:val="20"/>
          <w:szCs w:val="20"/>
        </w:rPr>
        <w:t xml:space="preserve"> (2000). . . . </w:t>
      </w:r>
    </w:p>
    <w:p w14:paraId="04373A67" w14:textId="71DD68FE" w:rsidR="00776B21" w:rsidRPr="00D72BB3" w:rsidRDefault="00776B21" w:rsidP="00776B21">
      <w:pPr>
        <w:ind w:firstLine="720"/>
        <w:jc w:val="both"/>
        <w:rPr>
          <w:rFonts w:ascii="Palatino Linotype" w:hAnsi="Palatino Linotype" w:cs="Times New Roman"/>
          <w:sz w:val="20"/>
          <w:szCs w:val="20"/>
        </w:rPr>
      </w:pPr>
      <w:r w:rsidRPr="00D72BB3">
        <w:rPr>
          <w:rFonts w:ascii="Palatino Linotype" w:hAnsi="Palatino Linotype"/>
          <w:sz w:val="20"/>
          <w:szCs w:val="20"/>
        </w:rPr>
        <w:t>There is no doubt that the commercial pornography covered by COPA fits this description. . . . Since this business could, consistent with the First Amendment, be banned entirely, COPA’s lesser restrictions raise no constitutional concern.</w:t>
      </w:r>
    </w:p>
    <w:sectPr w:rsidR="00776B21" w:rsidRPr="00D72B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66D91" w14:textId="77777777" w:rsidR="002E3643" w:rsidRDefault="002E3643" w:rsidP="000E2F1A">
      <w:r>
        <w:separator/>
      </w:r>
    </w:p>
  </w:endnote>
  <w:endnote w:type="continuationSeparator" w:id="0">
    <w:p w14:paraId="6F64C0BC" w14:textId="77777777" w:rsidR="002E3643" w:rsidRDefault="002E3643"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1E05F0CE" w:rsidR="000E2F1A" w:rsidRDefault="000E2F1A">
        <w:pPr>
          <w:pStyle w:val="Footer"/>
          <w:jc w:val="center"/>
        </w:pPr>
        <w:r>
          <w:fldChar w:fldCharType="begin"/>
        </w:r>
        <w:r>
          <w:instrText xml:space="preserve"> PAGE   \* MERGEFORMAT </w:instrText>
        </w:r>
        <w:r>
          <w:fldChar w:fldCharType="separate"/>
        </w:r>
        <w:r w:rsidR="00D72BB3">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47126" w14:textId="77777777" w:rsidR="002E3643" w:rsidRDefault="002E3643" w:rsidP="000E2F1A">
      <w:r>
        <w:separator/>
      </w:r>
    </w:p>
  </w:footnote>
  <w:footnote w:type="continuationSeparator" w:id="0">
    <w:p w14:paraId="26154349" w14:textId="77777777" w:rsidR="002E3643" w:rsidRDefault="002E3643"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101523"/>
    <w:rsid w:val="001246B5"/>
    <w:rsid w:val="00200749"/>
    <w:rsid w:val="002020F3"/>
    <w:rsid w:val="00234A60"/>
    <w:rsid w:val="002833A8"/>
    <w:rsid w:val="002B619F"/>
    <w:rsid w:val="002E3643"/>
    <w:rsid w:val="003207CD"/>
    <w:rsid w:val="00322694"/>
    <w:rsid w:val="00361F18"/>
    <w:rsid w:val="00386388"/>
    <w:rsid w:val="00393A7B"/>
    <w:rsid w:val="003F2081"/>
    <w:rsid w:val="003F2AAD"/>
    <w:rsid w:val="00467D49"/>
    <w:rsid w:val="00477E27"/>
    <w:rsid w:val="004F7FE7"/>
    <w:rsid w:val="00530FC0"/>
    <w:rsid w:val="00595709"/>
    <w:rsid w:val="005D4895"/>
    <w:rsid w:val="00622CF5"/>
    <w:rsid w:val="006318BC"/>
    <w:rsid w:val="00683143"/>
    <w:rsid w:val="006E2465"/>
    <w:rsid w:val="00700E02"/>
    <w:rsid w:val="00715EF2"/>
    <w:rsid w:val="00776B21"/>
    <w:rsid w:val="007913FA"/>
    <w:rsid w:val="00793EE2"/>
    <w:rsid w:val="00871CB2"/>
    <w:rsid w:val="0087725A"/>
    <w:rsid w:val="008A26B4"/>
    <w:rsid w:val="00954C68"/>
    <w:rsid w:val="00976265"/>
    <w:rsid w:val="009B27B0"/>
    <w:rsid w:val="00A25235"/>
    <w:rsid w:val="00A62C6F"/>
    <w:rsid w:val="00A85EC3"/>
    <w:rsid w:val="00AC7C58"/>
    <w:rsid w:val="00B73345"/>
    <w:rsid w:val="00B9406A"/>
    <w:rsid w:val="00BA49AE"/>
    <w:rsid w:val="00C04042"/>
    <w:rsid w:val="00C04969"/>
    <w:rsid w:val="00C64673"/>
    <w:rsid w:val="00CC59BB"/>
    <w:rsid w:val="00CD5307"/>
    <w:rsid w:val="00D72BB3"/>
    <w:rsid w:val="00DE6176"/>
    <w:rsid w:val="00E65009"/>
    <w:rsid w:val="00E672FD"/>
    <w:rsid w:val="00E74ACD"/>
    <w:rsid w:val="00EB6FF6"/>
    <w:rsid w:val="00ED3666"/>
    <w:rsid w:val="00ED74A1"/>
    <w:rsid w:val="00EE2339"/>
    <w:rsid w:val="00F60DE0"/>
    <w:rsid w:val="00F82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87725A"/>
  </w:style>
  <w:style w:type="paragraph" w:styleId="NormalWeb">
    <w:name w:val="Normal (Web)"/>
    <w:basedOn w:val="Normal"/>
    <w:uiPriority w:val="99"/>
    <w:unhideWhenUsed/>
    <w:rsid w:val="0087725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7725A"/>
    <w:rPr>
      <w:i/>
      <w:iCs/>
    </w:rPr>
  </w:style>
  <w:style w:type="character" w:customStyle="1" w:styleId="l-normaldigitafter">
    <w:name w:val="l-normaldigitafter"/>
    <w:basedOn w:val="DefaultParagraphFont"/>
    <w:rsid w:val="0087725A"/>
  </w:style>
  <w:style w:type="character" w:customStyle="1" w:styleId="l-leftover">
    <w:name w:val="l-leftover"/>
    <w:basedOn w:val="DefaultParagraphFont"/>
    <w:rsid w:val="00A85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8221">
      <w:bodyDiv w:val="1"/>
      <w:marLeft w:val="0"/>
      <w:marRight w:val="0"/>
      <w:marTop w:val="0"/>
      <w:marBottom w:val="0"/>
      <w:divBdr>
        <w:top w:val="none" w:sz="0" w:space="0" w:color="auto"/>
        <w:left w:val="none" w:sz="0" w:space="0" w:color="auto"/>
        <w:bottom w:val="none" w:sz="0" w:space="0" w:color="auto"/>
        <w:right w:val="none" w:sz="0" w:space="0" w:color="auto"/>
      </w:divBdr>
    </w:div>
    <w:div w:id="953943252">
      <w:bodyDiv w:val="1"/>
      <w:marLeft w:val="0"/>
      <w:marRight w:val="0"/>
      <w:marTop w:val="0"/>
      <w:marBottom w:val="0"/>
      <w:divBdr>
        <w:top w:val="none" w:sz="0" w:space="0" w:color="auto"/>
        <w:left w:val="none" w:sz="0" w:space="0" w:color="auto"/>
        <w:bottom w:val="none" w:sz="0" w:space="0" w:color="auto"/>
        <w:right w:val="none" w:sz="0" w:space="0" w:color="auto"/>
      </w:divBdr>
    </w:div>
    <w:div w:id="17513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F3FBA-52B7-4BFD-9191-27094D02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2018-05-13T02:55:00Z</dcterms:created>
  <dcterms:modified xsi:type="dcterms:W3CDTF">2018-07-25T13:50:00Z</dcterms:modified>
</cp:coreProperties>
</file>