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D3168" w14:textId="77777777" w:rsidR="005F40EA" w:rsidRPr="00FC3EEC" w:rsidRDefault="005F40EA" w:rsidP="00FC3EEC">
      <w:pPr>
        <w:jc w:val="center"/>
        <w:rPr>
          <w:rFonts w:ascii="Palatino Linotype" w:hAnsi="Palatino Linotype"/>
          <w:sz w:val="20"/>
          <w:szCs w:val="20"/>
        </w:rPr>
      </w:pPr>
      <w:bookmarkStart w:id="0" w:name="_GoBack"/>
      <w:bookmarkEnd w:id="0"/>
      <w:r w:rsidRPr="00FC3EEC">
        <w:rPr>
          <w:rFonts w:ascii="Palatino Linotype" w:hAnsi="Palatino Linotype"/>
          <w:sz w:val="20"/>
          <w:szCs w:val="20"/>
        </w:rPr>
        <w:t>AMERICAN CONSTITUTIONALISM</w:t>
      </w:r>
    </w:p>
    <w:p w14:paraId="38ED532D" w14:textId="77777777" w:rsidR="005F40EA" w:rsidRPr="00FC3EEC" w:rsidRDefault="005F40EA" w:rsidP="00FC3EEC">
      <w:pPr>
        <w:jc w:val="center"/>
        <w:rPr>
          <w:rFonts w:ascii="Palatino Linotype" w:hAnsi="Palatino Linotype"/>
          <w:sz w:val="20"/>
          <w:szCs w:val="20"/>
        </w:rPr>
      </w:pPr>
      <w:r w:rsidRPr="00FC3EEC">
        <w:rPr>
          <w:rFonts w:ascii="Palatino Linotype" w:hAnsi="Palatino Linotype"/>
          <w:sz w:val="20"/>
          <w:szCs w:val="20"/>
        </w:rPr>
        <w:t>VOLUME I:  STRUCTURES OF GOVERNMENT</w:t>
      </w:r>
    </w:p>
    <w:p w14:paraId="039CAA83" w14:textId="77777777" w:rsidR="005F40EA" w:rsidRPr="00FC3EEC" w:rsidRDefault="005F40EA" w:rsidP="00FC3EEC">
      <w:pPr>
        <w:jc w:val="center"/>
        <w:rPr>
          <w:rFonts w:ascii="Palatino Linotype" w:hAnsi="Palatino Linotype"/>
          <w:sz w:val="20"/>
          <w:szCs w:val="20"/>
        </w:rPr>
      </w:pPr>
      <w:r w:rsidRPr="00FC3EEC">
        <w:rPr>
          <w:rFonts w:ascii="Palatino Linotype" w:hAnsi="Palatino Linotype"/>
          <w:sz w:val="20"/>
          <w:szCs w:val="20"/>
        </w:rPr>
        <w:t>Howard Gillman • Mark A. Graber • Keith E. Whittington</w:t>
      </w:r>
    </w:p>
    <w:p w14:paraId="2C4609CE" w14:textId="77777777" w:rsidR="005F40EA" w:rsidRPr="00FC3EEC" w:rsidRDefault="005F40EA" w:rsidP="00FC3EEC">
      <w:pPr>
        <w:jc w:val="center"/>
        <w:rPr>
          <w:rFonts w:ascii="Palatino Linotype" w:hAnsi="Palatino Linotype"/>
          <w:sz w:val="20"/>
          <w:szCs w:val="20"/>
        </w:rPr>
      </w:pPr>
    </w:p>
    <w:p w14:paraId="15F2EFBE" w14:textId="77777777" w:rsidR="005F40EA" w:rsidRPr="00FC3EEC" w:rsidRDefault="005F40EA" w:rsidP="00FC3EEC">
      <w:pPr>
        <w:jc w:val="center"/>
        <w:rPr>
          <w:rFonts w:ascii="Palatino Linotype" w:hAnsi="Palatino Linotype"/>
          <w:sz w:val="20"/>
          <w:szCs w:val="20"/>
        </w:rPr>
      </w:pPr>
      <w:r w:rsidRPr="00FC3EEC">
        <w:rPr>
          <w:rFonts w:ascii="Palatino Linotype" w:hAnsi="Palatino Linotype"/>
          <w:sz w:val="20"/>
          <w:szCs w:val="20"/>
        </w:rPr>
        <w:t>Supplementary Material</w:t>
      </w:r>
    </w:p>
    <w:p w14:paraId="23E3FF93" w14:textId="77777777" w:rsidR="005F40EA" w:rsidRPr="00FC3EEC" w:rsidRDefault="005F40EA" w:rsidP="00FC3EEC">
      <w:pPr>
        <w:jc w:val="center"/>
        <w:rPr>
          <w:rFonts w:ascii="Palatino Linotype" w:hAnsi="Palatino Linotype"/>
          <w:sz w:val="20"/>
          <w:szCs w:val="20"/>
        </w:rPr>
      </w:pPr>
    </w:p>
    <w:p w14:paraId="7CD0830A" w14:textId="77777777" w:rsidR="005F40EA" w:rsidRPr="00FC3EEC" w:rsidRDefault="005F40EA" w:rsidP="00FC3EEC">
      <w:pPr>
        <w:jc w:val="center"/>
        <w:rPr>
          <w:rFonts w:ascii="Palatino Linotype" w:hAnsi="Palatino Linotype"/>
          <w:sz w:val="20"/>
          <w:szCs w:val="20"/>
        </w:rPr>
      </w:pPr>
      <w:r w:rsidRPr="00FC3EEC">
        <w:rPr>
          <w:rFonts w:ascii="Palatino Linotype" w:hAnsi="Palatino Linotype"/>
          <w:sz w:val="20"/>
          <w:szCs w:val="20"/>
        </w:rPr>
        <w:t xml:space="preserve">Chapter </w:t>
      </w:r>
      <w:r w:rsidR="00404AC2" w:rsidRPr="00FC3EEC">
        <w:rPr>
          <w:rFonts w:ascii="Palatino Linotype" w:hAnsi="Palatino Linotype"/>
          <w:sz w:val="20"/>
          <w:szCs w:val="20"/>
        </w:rPr>
        <w:t>9</w:t>
      </w:r>
      <w:r w:rsidRPr="00FC3EEC">
        <w:rPr>
          <w:rFonts w:ascii="Palatino Linotype" w:hAnsi="Palatino Linotype"/>
          <w:sz w:val="20"/>
          <w:szCs w:val="20"/>
        </w:rPr>
        <w:t xml:space="preserve">:  </w:t>
      </w:r>
      <w:r w:rsidR="00404AC2" w:rsidRPr="00FC3EEC">
        <w:rPr>
          <w:rFonts w:ascii="Palatino Linotype" w:hAnsi="Palatino Linotype"/>
          <w:sz w:val="20"/>
          <w:szCs w:val="20"/>
        </w:rPr>
        <w:t>Liberalism Divided</w:t>
      </w:r>
      <w:r w:rsidRPr="00FC3EEC">
        <w:rPr>
          <w:rFonts w:ascii="Palatino Linotype" w:hAnsi="Palatino Linotype"/>
          <w:sz w:val="20"/>
          <w:szCs w:val="20"/>
        </w:rPr>
        <w:t xml:space="preserve"> – Federalism</w:t>
      </w:r>
    </w:p>
    <w:p w14:paraId="66401243" w14:textId="77777777" w:rsidR="005F40EA" w:rsidRPr="00FC3EEC" w:rsidRDefault="005F40EA" w:rsidP="00FC3EEC">
      <w:pPr>
        <w:jc w:val="center"/>
        <w:rPr>
          <w:rFonts w:ascii="Palatino Linotype" w:hAnsi="Palatino Linotype"/>
          <w:sz w:val="20"/>
          <w:szCs w:val="20"/>
        </w:rPr>
      </w:pPr>
    </w:p>
    <w:p w14:paraId="43098974" w14:textId="77777777" w:rsidR="00FD37C3" w:rsidRDefault="00FD37C3" w:rsidP="00FC3EEC">
      <w:pPr>
        <w:rPr>
          <w:rFonts w:ascii="Palatino Linotype" w:hAnsi="Palatino Linotype"/>
          <w:sz w:val="20"/>
          <w:szCs w:val="20"/>
        </w:rPr>
      </w:pPr>
    </w:p>
    <w:p w14:paraId="5FEAFD4E" w14:textId="77777777" w:rsidR="004C67B1" w:rsidRPr="00FC3EEC" w:rsidRDefault="000E2C12" w:rsidP="00FC3EEC">
      <w:pPr>
        <w:rPr>
          <w:rFonts w:ascii="Palatino Linotype" w:hAnsi="Palatino Linotype" w:cs="Times New Roman"/>
          <w:sz w:val="20"/>
          <w:szCs w:val="20"/>
        </w:rPr>
      </w:pPr>
      <w:r>
        <w:rPr>
          <w:rFonts w:ascii="Palatino Linotype" w:hAnsi="Palatino Linotype" w:cs="Times New Roman"/>
          <w:sz w:val="20"/>
          <w:szCs w:val="20"/>
        </w:rPr>
        <w:pict w14:anchorId="20686E9E">
          <v:rect id="_x0000_i1025" style="width:468pt;height:1.5pt" o:hralign="center" o:hrstd="t" o:hrnoshade="t" o:hr="t" fillcolor="black [3213]" stroked="f"/>
        </w:pict>
      </w:r>
    </w:p>
    <w:p w14:paraId="55049531" w14:textId="77777777" w:rsidR="00760334" w:rsidRPr="00FC3EEC" w:rsidRDefault="00404AC2" w:rsidP="00FC3EEC">
      <w:pPr>
        <w:jc w:val="center"/>
        <w:rPr>
          <w:rFonts w:ascii="Palatino Linotype" w:hAnsi="Palatino Linotype" w:cs="Times New Roman"/>
          <w:sz w:val="20"/>
          <w:szCs w:val="20"/>
        </w:rPr>
      </w:pPr>
      <w:r w:rsidRPr="00FC3EEC">
        <w:rPr>
          <w:rFonts w:ascii="Palatino Linotype" w:hAnsi="Palatino Linotype" w:cs="Times New Roman"/>
          <w:b/>
          <w:sz w:val="20"/>
          <w:szCs w:val="20"/>
        </w:rPr>
        <w:t>Shapiro v. Thompson</w:t>
      </w:r>
      <w:r w:rsidR="00D20BFA" w:rsidRPr="00FC3EEC">
        <w:rPr>
          <w:rFonts w:ascii="Palatino Linotype" w:hAnsi="Palatino Linotype" w:cs="Times New Roman"/>
          <w:b/>
          <w:sz w:val="20"/>
          <w:szCs w:val="20"/>
        </w:rPr>
        <w:t xml:space="preserve">, </w:t>
      </w:r>
      <w:r w:rsidRPr="00FC3EEC">
        <w:rPr>
          <w:rFonts w:ascii="Palatino Linotype" w:hAnsi="Palatino Linotype" w:cs="Times New Roman"/>
          <w:b/>
          <w:sz w:val="20"/>
          <w:szCs w:val="20"/>
        </w:rPr>
        <w:t>394</w:t>
      </w:r>
      <w:r w:rsidR="00D20BFA" w:rsidRPr="00FC3EEC">
        <w:rPr>
          <w:rFonts w:ascii="Palatino Linotype" w:hAnsi="Palatino Linotype" w:cs="Times New Roman"/>
          <w:b/>
          <w:sz w:val="20"/>
          <w:szCs w:val="20"/>
        </w:rPr>
        <w:t xml:space="preserve"> U.S. </w:t>
      </w:r>
      <w:r w:rsidRPr="00FC3EEC">
        <w:rPr>
          <w:rFonts w:ascii="Palatino Linotype" w:hAnsi="Palatino Linotype" w:cs="Times New Roman"/>
          <w:b/>
          <w:sz w:val="20"/>
          <w:szCs w:val="20"/>
        </w:rPr>
        <w:t>618</w:t>
      </w:r>
      <w:r w:rsidR="00D20BFA" w:rsidRPr="00FC3EEC">
        <w:rPr>
          <w:rFonts w:ascii="Palatino Linotype" w:hAnsi="Palatino Linotype" w:cs="Times New Roman"/>
          <w:sz w:val="20"/>
          <w:szCs w:val="20"/>
        </w:rPr>
        <w:t xml:space="preserve"> (1</w:t>
      </w:r>
      <w:r w:rsidRPr="00FC3EEC">
        <w:rPr>
          <w:rFonts w:ascii="Palatino Linotype" w:hAnsi="Palatino Linotype" w:cs="Times New Roman"/>
          <w:sz w:val="20"/>
          <w:szCs w:val="20"/>
        </w:rPr>
        <w:t>969</w:t>
      </w:r>
      <w:r w:rsidR="004C67B1" w:rsidRPr="00FC3EEC">
        <w:rPr>
          <w:rFonts w:ascii="Palatino Linotype" w:hAnsi="Palatino Linotype" w:cs="Times New Roman"/>
          <w:sz w:val="20"/>
          <w:szCs w:val="20"/>
        </w:rPr>
        <w:t>)</w:t>
      </w:r>
    </w:p>
    <w:p w14:paraId="2BDC5C4F" w14:textId="77777777" w:rsidR="004C67B1" w:rsidRPr="00FC3EEC" w:rsidRDefault="000E2C12" w:rsidP="00FC3EEC">
      <w:pPr>
        <w:rPr>
          <w:rFonts w:ascii="Palatino Linotype" w:hAnsi="Palatino Linotype" w:cs="Times New Roman"/>
          <w:sz w:val="20"/>
          <w:szCs w:val="20"/>
        </w:rPr>
      </w:pPr>
      <w:r>
        <w:rPr>
          <w:rFonts w:ascii="Palatino Linotype" w:hAnsi="Palatino Linotype" w:cs="Times New Roman"/>
          <w:sz w:val="20"/>
          <w:szCs w:val="20"/>
        </w:rPr>
        <w:pict w14:anchorId="61685CA4">
          <v:rect id="_x0000_i1026" style="width:468pt;height:1.5pt" o:hralign="center" o:hrstd="t" o:hrnoshade="t" o:hr="t" fillcolor="black [3213]" stroked="f"/>
        </w:pict>
      </w:r>
    </w:p>
    <w:p w14:paraId="3FCDFE91" w14:textId="77777777" w:rsidR="004C67B1" w:rsidRPr="00FC3EEC" w:rsidRDefault="004C67B1" w:rsidP="00FC3EEC">
      <w:pPr>
        <w:rPr>
          <w:rFonts w:ascii="Palatino Linotype" w:hAnsi="Palatino Linotype" w:cs="Times New Roman"/>
          <w:sz w:val="20"/>
          <w:szCs w:val="20"/>
        </w:rPr>
      </w:pPr>
    </w:p>
    <w:p w14:paraId="5CABDF89" w14:textId="77777777" w:rsidR="00404AC2" w:rsidRPr="00FC3EEC" w:rsidRDefault="00404AC2" w:rsidP="00FC3EEC">
      <w:pPr>
        <w:pStyle w:val="RI1st"/>
        <w:spacing w:line="240" w:lineRule="auto"/>
        <w:rPr>
          <w:rStyle w:val="italic"/>
          <w:rFonts w:ascii="Palatino Linotype" w:hAnsi="Palatino Linotype"/>
          <w:i/>
          <w:sz w:val="20"/>
          <w:szCs w:val="20"/>
        </w:rPr>
      </w:pPr>
      <w:r w:rsidRPr="00FC3EEC">
        <w:rPr>
          <w:rStyle w:val="italic"/>
          <w:rFonts w:ascii="Palatino Linotype" w:hAnsi="Palatino Linotype"/>
          <w:i/>
          <w:sz w:val="20"/>
          <w:szCs w:val="20"/>
        </w:rPr>
        <w:t>Aid to Families with Dependent Children (AFDC) was a federal welfare program administered through and partly funded by the states. The Connecticut Welfare Department, following state law, denied the application of Vivian Marie Thompson to benefits under AFDC on the grounds that she had not been a resident of the state for a year before filing the application. (Thompson and her infant son had recently moved from Massachusetts to live with her mother in Hartford, Connecticut, but moved into her own apartment soon after her arrival in Hartford). Such state waiting-periods were common, especially as more generous states hoped to avoid becoming “welfare magnets” for the indigent residing in less generous states and as states in general hoped to discourage the poor from migrating into them. A divided federal three-judge panel struck down the provision as a violation of the equal protection clause of the Fourteenth Amendment and a burden on an intrinsic right to travel. Companion cases from the District of Columbia and Pennsylvania raised the same issue and were heard at the same time. The case fragmented the liberals on the Warren Court, in part over the issue of how much deference should be shown to Congress’s policy choices and implicit constitutional judgments.</w:t>
      </w:r>
    </w:p>
    <w:p w14:paraId="48AB62F6" w14:textId="77777777" w:rsidR="00404AC2" w:rsidRPr="00FC3EEC" w:rsidRDefault="00404AC2" w:rsidP="00FD37C3">
      <w:pPr>
        <w:pStyle w:val="RI"/>
        <w:spacing w:line="240" w:lineRule="auto"/>
        <w:ind w:firstLine="720"/>
        <w:rPr>
          <w:rStyle w:val="italic"/>
          <w:rFonts w:ascii="Palatino Linotype" w:hAnsi="Palatino Linotype"/>
          <w:i/>
          <w:sz w:val="20"/>
          <w:szCs w:val="20"/>
        </w:rPr>
      </w:pPr>
      <w:r w:rsidRPr="00FC3EEC">
        <w:rPr>
          <w:rStyle w:val="italic"/>
          <w:rFonts w:ascii="Palatino Linotype" w:hAnsi="Palatino Linotype"/>
          <w:i/>
          <w:sz w:val="20"/>
          <w:szCs w:val="20"/>
        </w:rPr>
        <w:t xml:space="preserve">In </w:t>
      </w:r>
      <w:r w:rsidRPr="00FC3EEC">
        <w:rPr>
          <w:rFonts w:ascii="Palatino Linotype" w:hAnsi="Palatino Linotype"/>
          <w:i w:val="0"/>
          <w:iCs w:val="0"/>
          <w:sz w:val="20"/>
          <w:szCs w:val="20"/>
        </w:rPr>
        <w:t>Shapiro</w:t>
      </w:r>
      <w:r w:rsidRPr="00FC3EEC">
        <w:rPr>
          <w:rStyle w:val="italic"/>
          <w:rFonts w:ascii="Palatino Linotype" w:hAnsi="Palatino Linotype"/>
          <w:i/>
          <w:sz w:val="20"/>
          <w:szCs w:val="20"/>
        </w:rPr>
        <w:t>, at the tail end of the Warren era, the Court took a step toward creating a new right to welfare. The case was first argued in 1967, and the Court voted 6–3 to uphold the residency requirements. Chief Justice Warren’s would-be majority opinion, however, provoked strong dissenting opinions from Douglas and Fortas that persuaded Brennan to switch sides (Marshall was the third dissenter in the initial vote) and Stewart to waver. The case was scheduled for reargument, after which Warren was left in dissent. As the senior justice in the new majority, Douglas assigned the opinion to Brennan. Brennan was able to hold together his majority while suggesting that class, like race, was a category of special constitutional concern and that “the very means to subsist” was a fundamental right requiring judicial protection.</w:t>
      </w:r>
    </w:p>
    <w:p w14:paraId="72004930" w14:textId="77777777" w:rsidR="004C03B0" w:rsidRPr="00FC3EEC" w:rsidRDefault="00404AC2" w:rsidP="00FC3EEC">
      <w:pPr>
        <w:pStyle w:val="RI"/>
        <w:spacing w:line="240" w:lineRule="auto"/>
        <w:ind w:firstLine="720"/>
        <w:rPr>
          <w:rStyle w:val="italic"/>
          <w:rFonts w:ascii="Palatino Linotype" w:hAnsi="Palatino Linotype"/>
          <w:i/>
          <w:iCs/>
          <w:sz w:val="20"/>
          <w:szCs w:val="20"/>
        </w:rPr>
      </w:pPr>
      <w:r w:rsidRPr="00FC3EEC">
        <w:rPr>
          <w:rStyle w:val="italic"/>
          <w:rFonts w:ascii="Palatino Linotype" w:hAnsi="Palatino Linotype"/>
          <w:i/>
          <w:sz w:val="20"/>
          <w:szCs w:val="20"/>
        </w:rPr>
        <w:t xml:space="preserve">In </w:t>
      </w:r>
      <w:r w:rsidRPr="00FC3EEC">
        <w:rPr>
          <w:rFonts w:ascii="Palatino Linotype" w:hAnsi="Palatino Linotype"/>
          <w:i w:val="0"/>
          <w:iCs w:val="0"/>
          <w:sz w:val="20"/>
          <w:szCs w:val="20"/>
        </w:rPr>
        <w:t>Shapiro</w:t>
      </w:r>
      <w:r w:rsidRPr="00FC3EEC">
        <w:rPr>
          <w:rStyle w:val="italic"/>
          <w:rFonts w:ascii="Palatino Linotype" w:hAnsi="Palatino Linotype"/>
          <w:i/>
          <w:sz w:val="20"/>
          <w:szCs w:val="20"/>
        </w:rPr>
        <w:t xml:space="preserve">, the Court emphasized how the relations of federalism imposed limits on the burdens that states could impose on new residents and on those engaging in interstate travel. Residency requirements on welfare benefits ran afoul of a right to interstate travel. The majority and dissent differed, however, on whether such a right had implications for other issues. The Court avoided the question later in the term by dismissing a challenge to state residency requirements for voting as moot since by the time the case reached the Court the plaintiffs had satisfied the residency requirement in </w:t>
      </w:r>
      <w:r w:rsidRPr="00FC3EEC">
        <w:rPr>
          <w:rFonts w:ascii="Palatino Linotype" w:hAnsi="Palatino Linotype"/>
          <w:i w:val="0"/>
          <w:iCs w:val="0"/>
          <w:sz w:val="20"/>
          <w:szCs w:val="20"/>
        </w:rPr>
        <w:t>Hall v. Beals</w:t>
      </w:r>
      <w:r w:rsidRPr="00FC3EEC">
        <w:rPr>
          <w:rStyle w:val="italic"/>
          <w:rFonts w:ascii="Palatino Linotype" w:hAnsi="Palatino Linotype"/>
          <w:iCs/>
          <w:sz w:val="20"/>
          <w:szCs w:val="20"/>
        </w:rPr>
        <w:t xml:space="preserve"> </w:t>
      </w:r>
      <w:r w:rsidRPr="00FC3EEC">
        <w:rPr>
          <w:rStyle w:val="italic"/>
          <w:rFonts w:ascii="Palatino Linotype" w:hAnsi="Palatino Linotype"/>
          <w:i/>
          <w:sz w:val="20"/>
          <w:szCs w:val="20"/>
        </w:rPr>
        <w:t>(1969). When might states be able to distinguish between well established and newly arrived residents? Are state policies preferring their own residents consistent with a federal union?</w:t>
      </w:r>
    </w:p>
    <w:p w14:paraId="10049DC4" w14:textId="77777777" w:rsidR="004C67B1" w:rsidRPr="00FC3EEC" w:rsidRDefault="004C67B1" w:rsidP="00FC3EEC">
      <w:pPr>
        <w:ind w:firstLine="720"/>
        <w:rPr>
          <w:rFonts w:ascii="Palatino Linotype" w:hAnsi="Palatino Linotype" w:cs="Times New Roman"/>
          <w:sz w:val="20"/>
          <w:szCs w:val="20"/>
        </w:rPr>
      </w:pPr>
    </w:p>
    <w:p w14:paraId="1C252E43" w14:textId="77777777" w:rsidR="004C67B1" w:rsidRPr="00FC3EEC" w:rsidRDefault="004C67B1" w:rsidP="00FC3EEC">
      <w:pPr>
        <w:rPr>
          <w:rFonts w:ascii="Palatino Linotype" w:hAnsi="Palatino Linotype" w:cs="Times New Roman"/>
          <w:sz w:val="20"/>
          <w:szCs w:val="20"/>
        </w:rPr>
      </w:pPr>
    </w:p>
    <w:p w14:paraId="596C93CF" w14:textId="77777777" w:rsidR="004C67B1" w:rsidRPr="00FC3EEC" w:rsidRDefault="004C67B1" w:rsidP="00FC3EEC">
      <w:pPr>
        <w:rPr>
          <w:rFonts w:ascii="Palatino Linotype" w:hAnsi="Palatino Linotype" w:cs="Times New Roman"/>
          <w:sz w:val="20"/>
          <w:szCs w:val="20"/>
        </w:rPr>
      </w:pPr>
      <w:r w:rsidRPr="00FC3EEC">
        <w:rPr>
          <w:rFonts w:ascii="Palatino Linotype" w:hAnsi="Palatino Linotype" w:cs="Times New Roman"/>
          <w:sz w:val="20"/>
          <w:szCs w:val="20"/>
        </w:rPr>
        <w:t xml:space="preserve">JUSTICE </w:t>
      </w:r>
      <w:r w:rsidR="00404AC2" w:rsidRPr="00FC3EEC">
        <w:rPr>
          <w:rFonts w:ascii="Palatino Linotype" w:hAnsi="Palatino Linotype" w:cs="Times New Roman"/>
          <w:sz w:val="20"/>
          <w:szCs w:val="20"/>
        </w:rPr>
        <w:t>BRENNAN</w:t>
      </w:r>
      <w:r w:rsidRPr="00FC3EEC">
        <w:rPr>
          <w:rFonts w:ascii="Palatino Linotype" w:hAnsi="Palatino Linotype" w:cs="Times New Roman"/>
          <w:sz w:val="20"/>
          <w:szCs w:val="20"/>
        </w:rPr>
        <w:t>, delivered the opinion of the Court.</w:t>
      </w:r>
    </w:p>
    <w:p w14:paraId="356F5360" w14:textId="77777777" w:rsidR="004C67B1" w:rsidRPr="00FC3EEC" w:rsidRDefault="004C67B1" w:rsidP="00FC3EEC">
      <w:pPr>
        <w:ind w:firstLine="720"/>
        <w:rPr>
          <w:rFonts w:ascii="Palatino Linotype" w:hAnsi="Palatino Linotype" w:cs="Times New Roman"/>
          <w:sz w:val="20"/>
          <w:szCs w:val="20"/>
        </w:rPr>
      </w:pPr>
      <w:r w:rsidRPr="00FC3EEC">
        <w:rPr>
          <w:rFonts w:ascii="Palatino Linotype" w:hAnsi="Palatino Linotype" w:cs="Times New Roman"/>
          <w:sz w:val="20"/>
          <w:szCs w:val="20"/>
        </w:rPr>
        <w:t>. . . .</w:t>
      </w:r>
    </w:p>
    <w:p w14:paraId="0ADE684A" w14:textId="77777777" w:rsidR="00FC3EEC" w:rsidRPr="00FC3EEC" w:rsidRDefault="00FC3EEC" w:rsidP="00FD37C3">
      <w:pPr>
        <w:pStyle w:val="RTXRNP"/>
        <w:spacing w:line="240" w:lineRule="auto"/>
        <w:ind w:firstLine="720"/>
        <w:rPr>
          <w:rFonts w:ascii="Palatino Linotype" w:hAnsi="Palatino Linotype"/>
          <w:sz w:val="20"/>
          <w:szCs w:val="20"/>
        </w:rPr>
      </w:pPr>
      <w:r w:rsidRPr="00FC3EEC">
        <w:rPr>
          <w:rFonts w:ascii="Palatino Linotype" w:hAnsi="Palatino Linotype"/>
          <w:sz w:val="20"/>
          <w:szCs w:val="20"/>
        </w:rPr>
        <w:t xml:space="preserve">There is no dispute that the effect of the waiting-period requirement in each case is to create two classes of needy resident families indistinguishable from each other except that one is composed of residents who have resided a year or more, and the second of residents who have resided less than a year, in the jurisdiction. On the basis of this sole difference the first class is granted and the second class is denied </w:t>
      </w:r>
      <w:r w:rsidRPr="00FC3EEC">
        <w:rPr>
          <w:rFonts w:ascii="Palatino Linotype" w:hAnsi="Palatino Linotype"/>
          <w:sz w:val="20"/>
          <w:szCs w:val="20"/>
        </w:rPr>
        <w:lastRenderedPageBreak/>
        <w:t>welfare aid upon which may depend the ability of the families to obtain the very means to subsist—food, shelter, and other necessities of life. In each case, the District Court found that appellees met the test for residence in their jurisdictions, as well as all other eligibility requirements except the requirement of residence for a full year prior to their applications. On reargument, appellees’ central contention is that the statutory prohibition of benefits to residents of less than a year creates a classification which constitutes an invidious discrimination denying them equal protection of the laws.</w:t>
      </w:r>
      <w:r w:rsidRPr="00FC3EEC">
        <w:rPr>
          <w:rFonts w:ascii="Palatino Linotype" w:hAnsi="Palatino Linotype"/>
          <w:sz w:val="20"/>
          <w:szCs w:val="20"/>
          <w:vertAlign w:val="superscript"/>
        </w:rPr>
        <w:footnoteReference w:id="1"/>
      </w:r>
      <w:r w:rsidRPr="00FC3EEC">
        <w:rPr>
          <w:rFonts w:ascii="Palatino Linotype" w:hAnsi="Palatino Linotype"/>
          <w:sz w:val="20"/>
          <w:szCs w:val="20"/>
        </w:rPr>
        <w:t xml:space="preserve"> We agree. The interests which appellants assert are promoted by the classification either may not constitutionally be promoted by government or are not compelling governmental interests.</w:t>
      </w:r>
    </w:p>
    <w:p w14:paraId="11538D44" w14:textId="77777777" w:rsidR="00FC3EEC" w:rsidRPr="00FC3EEC" w:rsidRDefault="00FC3EEC" w:rsidP="00FD37C3">
      <w:pPr>
        <w:pStyle w:val="RTXRNP"/>
        <w:spacing w:line="240" w:lineRule="auto"/>
        <w:ind w:firstLine="720"/>
        <w:rPr>
          <w:rFonts w:ascii="Palatino Linotype" w:hAnsi="Palatino Linotype"/>
          <w:sz w:val="20"/>
          <w:szCs w:val="20"/>
        </w:rPr>
      </w:pPr>
      <w:r w:rsidRPr="00FC3EEC">
        <w:rPr>
          <w:rFonts w:ascii="Palatino Linotype" w:hAnsi="Palatino Linotype"/>
          <w:sz w:val="20"/>
          <w:szCs w:val="20"/>
        </w:rPr>
        <w:t>Primarily, appellants justify the waiting-period requirement as a protective device to preserve the fiscal integrity of state public assistance programs. It is asserted that people who require welfare assistance during their first year of residence in a State are likely to become continuing burdens on state welfare programs. Therefore, the argument runs, if such people can be deterred from entering the jurisdiction by denying them welfare benefits during the first year, state programs to assist long-time residents will not be impaired by a substantial influx of indigent newcomers.</w:t>
      </w:r>
    </w:p>
    <w:p w14:paraId="4D5F2DE3" w14:textId="77777777" w:rsidR="00FC3EEC" w:rsidRPr="00FC3EEC" w:rsidRDefault="00FC3EEC" w:rsidP="00FD37C3">
      <w:pPr>
        <w:pStyle w:val="RTXRNP"/>
        <w:spacing w:line="240" w:lineRule="auto"/>
        <w:ind w:firstLine="720"/>
        <w:rPr>
          <w:rFonts w:ascii="Palatino Linotype" w:hAnsi="Palatino Linotype"/>
          <w:sz w:val="20"/>
          <w:szCs w:val="20"/>
        </w:rPr>
      </w:pPr>
      <w:r w:rsidRPr="00FC3EEC">
        <w:rPr>
          <w:rFonts w:ascii="Palatino Linotype" w:hAnsi="Palatino Linotype"/>
          <w:sz w:val="20"/>
          <w:szCs w:val="20"/>
        </w:rPr>
        <w:t>There is weighty evidence that exclusion from the jurisdiction of the poor who need or may need relief was the specific objective of these provisions. In the Congress, sponsors of federal legislation to eliminate all residence requirements have been consistently opposed by representatives of state and local welfare agencies who have stressed the fears of the States that elimination of the requirements would result in a heavy influx of individuals into States providing the most generous benefits.</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The sponsor of the Connecticut requirement said in its support: “I doubt that Connecticut can and should continue to allow unlimited migration into the state on the basis of offering instant money and permanent income to all who can make their way to the state regardless of their ability to contribute to the economy.”</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p>
    <w:p w14:paraId="5770428B" w14:textId="77777777" w:rsidR="00FC3EEC" w:rsidRPr="00FC3EEC" w:rsidRDefault="00FC3EEC" w:rsidP="00FD37C3">
      <w:pPr>
        <w:pStyle w:val="RTXRNP"/>
        <w:spacing w:line="240" w:lineRule="auto"/>
        <w:ind w:firstLine="720"/>
        <w:rPr>
          <w:rFonts w:ascii="Palatino Linotype" w:hAnsi="Palatino Linotype"/>
          <w:sz w:val="20"/>
          <w:szCs w:val="20"/>
        </w:rPr>
      </w:pP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p>
    <w:p w14:paraId="08B5A99D" w14:textId="77777777" w:rsidR="00FC3EEC" w:rsidRPr="00FC3EEC" w:rsidRDefault="00FC3EEC" w:rsidP="00FD37C3">
      <w:pPr>
        <w:pStyle w:val="RTXRNP"/>
        <w:spacing w:line="240" w:lineRule="auto"/>
        <w:ind w:firstLine="720"/>
        <w:rPr>
          <w:rFonts w:ascii="Palatino Linotype" w:hAnsi="Palatino Linotype"/>
          <w:sz w:val="20"/>
          <w:szCs w:val="20"/>
        </w:rPr>
      </w:pPr>
      <w:r w:rsidRPr="00FC3EEC">
        <w:rPr>
          <w:rFonts w:ascii="Palatino Linotype" w:hAnsi="Palatino Linotype"/>
          <w:sz w:val="20"/>
          <w:szCs w:val="20"/>
        </w:rPr>
        <w:t xml:space="preserve">This Court long ago recognized that the nature of our Federal Union and our constitutional concepts of personal liberty unite to require that all citizens be free to travel throughout the length and breadth of our land uninhibited by statutes, rules, or regulations which unreasonably burden or restrict this movement. That proposition was early stated by Chief Justice Taney in the </w:t>
      </w:r>
      <w:r w:rsidRPr="00FC3EEC">
        <w:rPr>
          <w:rStyle w:val="italic"/>
          <w:rFonts w:ascii="Palatino Linotype" w:hAnsi="Palatino Linotype"/>
          <w:iCs w:val="0"/>
          <w:sz w:val="20"/>
          <w:szCs w:val="20"/>
        </w:rPr>
        <w:t>Passenger Cases</w:t>
      </w:r>
      <w:r w:rsidRPr="00FC3EEC">
        <w:rPr>
          <w:rFonts w:ascii="Palatino Linotype" w:hAnsi="Palatino Linotype"/>
          <w:sz w:val="20"/>
          <w:szCs w:val="20"/>
        </w:rPr>
        <w:t xml:space="preserve"> (1849):</w:t>
      </w:r>
    </w:p>
    <w:p w14:paraId="3C389AB7" w14:textId="77777777" w:rsidR="00FC3EEC" w:rsidRPr="00FC3EEC" w:rsidRDefault="00FC3EEC" w:rsidP="00FD37C3">
      <w:pPr>
        <w:pStyle w:val="REXTextract"/>
        <w:spacing w:line="240" w:lineRule="auto"/>
        <w:ind w:firstLine="720"/>
        <w:rPr>
          <w:rFonts w:ascii="Palatino Linotype" w:hAnsi="Palatino Linotype"/>
          <w:sz w:val="20"/>
          <w:szCs w:val="20"/>
        </w:rPr>
      </w:pPr>
      <w:r w:rsidRPr="00FC3EEC">
        <w:rPr>
          <w:rFonts w:ascii="Palatino Linotype" w:hAnsi="Palatino Linotype"/>
          <w:sz w:val="20"/>
          <w:szCs w:val="20"/>
        </w:rPr>
        <w:t>For all the great purposes for which the Federal government was formed, we are one people, with one common country. We are all citizens of the United States; and, as members of the same community, must have the right to pass and repass through every part of it without interruption, as freely as in our own States.</w:t>
      </w:r>
    </w:p>
    <w:p w14:paraId="62943E89" w14:textId="77777777" w:rsidR="00FC3EEC" w:rsidRPr="00FC3EEC" w:rsidRDefault="00FC3EEC" w:rsidP="00FD37C3">
      <w:pPr>
        <w:pStyle w:val="RTX1st"/>
        <w:spacing w:line="240" w:lineRule="auto"/>
        <w:ind w:firstLine="720"/>
        <w:rPr>
          <w:rFonts w:ascii="Palatino Linotype" w:hAnsi="Palatino Linotype"/>
          <w:sz w:val="20"/>
          <w:szCs w:val="20"/>
        </w:rPr>
      </w:pPr>
      <w:r w:rsidRPr="00FC3EEC">
        <w:rPr>
          <w:rFonts w:ascii="Palatino Linotype" w:hAnsi="Palatino Linotype"/>
          <w:sz w:val="20"/>
          <w:szCs w:val="20"/>
        </w:rPr>
        <w:t xml:space="preserve">We have no occasion to ascribe the source of this right to travel interstate to a particular constitutional provision. It suffices that, as JUSTICE STEWART said for the Court in </w:t>
      </w:r>
      <w:r w:rsidRPr="00FC3EEC">
        <w:rPr>
          <w:rStyle w:val="italic"/>
          <w:rFonts w:ascii="Palatino Linotype" w:hAnsi="Palatino Linotype"/>
          <w:iCs w:val="0"/>
          <w:sz w:val="20"/>
          <w:szCs w:val="20"/>
        </w:rPr>
        <w:t>United States</w:t>
      </w:r>
      <w:r w:rsidRPr="00FC3EEC">
        <w:rPr>
          <w:rFonts w:ascii="Palatino Linotype" w:hAnsi="Palatino Linotype"/>
          <w:sz w:val="20"/>
          <w:szCs w:val="20"/>
        </w:rPr>
        <w:t xml:space="preserve"> v. </w:t>
      </w:r>
      <w:r w:rsidRPr="00FC3EEC">
        <w:rPr>
          <w:rStyle w:val="italic"/>
          <w:rFonts w:ascii="Palatino Linotype" w:hAnsi="Palatino Linotype"/>
          <w:iCs w:val="0"/>
          <w:sz w:val="20"/>
          <w:szCs w:val="20"/>
        </w:rPr>
        <w:t>Guest</w:t>
      </w:r>
      <w:r w:rsidRPr="00FC3EEC">
        <w:rPr>
          <w:rFonts w:ascii="Palatino Linotype" w:hAnsi="Palatino Linotype"/>
          <w:sz w:val="20"/>
          <w:szCs w:val="20"/>
        </w:rPr>
        <w:t xml:space="preserve"> (1966):</w:t>
      </w:r>
    </w:p>
    <w:p w14:paraId="6C3008B9" w14:textId="77777777" w:rsidR="00FC3EEC" w:rsidRPr="00FC3EEC" w:rsidRDefault="00FC3EEC" w:rsidP="00FD37C3">
      <w:pPr>
        <w:pStyle w:val="REXTextract"/>
        <w:spacing w:before="180" w:after="180" w:line="240" w:lineRule="auto"/>
        <w:ind w:firstLine="720"/>
        <w:rPr>
          <w:rFonts w:ascii="Palatino Linotype" w:hAnsi="Palatino Linotype"/>
          <w:sz w:val="20"/>
          <w:szCs w:val="20"/>
        </w:rPr>
      </w:pPr>
      <w:r w:rsidRPr="00FC3EEC">
        <w:rPr>
          <w:rFonts w:ascii="Palatino Linotype" w:hAnsi="Palatino Linotype"/>
          <w:sz w:val="20"/>
          <w:szCs w:val="20"/>
        </w:rPr>
        <w:t>The constitutional right to travel from one State to another</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occupies a position fundamental to the concept of our Federal Union. It is a right that has been firmly established and repeatedly recognized.</w:t>
      </w:r>
    </w:p>
    <w:p w14:paraId="09CBA42F" w14:textId="77777777" w:rsidR="00FC3EEC" w:rsidRPr="00FC3EEC" w:rsidRDefault="00FC3EEC" w:rsidP="00FD37C3">
      <w:pPr>
        <w:pStyle w:val="RTX1st"/>
        <w:spacing w:before="80" w:line="240" w:lineRule="auto"/>
        <w:ind w:firstLine="720"/>
        <w:rPr>
          <w:rFonts w:ascii="Palatino Linotype" w:hAnsi="Palatino Linotype"/>
          <w:sz w:val="20"/>
          <w:szCs w:val="20"/>
        </w:rPr>
      </w:pP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p>
    <w:p w14:paraId="64666608" w14:textId="77777777" w:rsidR="00FC3EEC" w:rsidRPr="00FC3EEC" w:rsidRDefault="00FC3EEC" w:rsidP="00FD37C3">
      <w:pPr>
        <w:pStyle w:val="RTXRNP"/>
        <w:spacing w:line="240" w:lineRule="auto"/>
        <w:ind w:firstLine="720"/>
        <w:rPr>
          <w:rFonts w:ascii="Palatino Linotype" w:hAnsi="Palatino Linotype"/>
          <w:sz w:val="20"/>
          <w:szCs w:val="20"/>
        </w:rPr>
      </w:pPr>
      <w:r w:rsidRPr="00FC3EEC">
        <w:rPr>
          <w:rFonts w:ascii="Palatino Linotype" w:hAnsi="Palatino Linotype"/>
          <w:sz w:val="20"/>
          <w:szCs w:val="20"/>
        </w:rPr>
        <w:t>Thus, the purpose of deterring the in-migration of indigents cannot serve as justification for the classification created by the one-year waiting period, since that purpose is constitutionally impermissible. If a law has “no other purpose</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 xml:space="preserve">than to chill the assertion of constitutional rights by penalizing those who choose to exercise them, then it [is] patently unconstitutional.” </w:t>
      </w:r>
      <w:r w:rsidRPr="00FC3EEC">
        <w:rPr>
          <w:rStyle w:val="italic"/>
          <w:rFonts w:ascii="Palatino Linotype" w:hAnsi="Palatino Linotype"/>
          <w:iCs w:val="0"/>
          <w:sz w:val="20"/>
          <w:szCs w:val="20"/>
        </w:rPr>
        <w:t>United States</w:t>
      </w:r>
      <w:r w:rsidRPr="00FC3EEC">
        <w:rPr>
          <w:rFonts w:ascii="Palatino Linotype" w:hAnsi="Palatino Linotype"/>
          <w:sz w:val="20"/>
          <w:szCs w:val="20"/>
        </w:rPr>
        <w:t xml:space="preserve"> v. </w:t>
      </w:r>
      <w:r w:rsidRPr="00FC3EEC">
        <w:rPr>
          <w:rStyle w:val="italic"/>
          <w:rFonts w:ascii="Palatino Linotype" w:hAnsi="Palatino Linotype"/>
          <w:iCs w:val="0"/>
          <w:sz w:val="20"/>
          <w:szCs w:val="20"/>
        </w:rPr>
        <w:t>Jackson</w:t>
      </w:r>
      <w:r w:rsidRPr="00FC3EEC">
        <w:rPr>
          <w:rFonts w:ascii="Palatino Linotype" w:hAnsi="Palatino Linotype"/>
          <w:sz w:val="20"/>
          <w:szCs w:val="20"/>
        </w:rPr>
        <w:t xml:space="preserve"> (1968).</w:t>
      </w:r>
    </w:p>
    <w:p w14:paraId="47651B45" w14:textId="77777777" w:rsidR="00FC3EEC" w:rsidRPr="00FC3EEC" w:rsidRDefault="00FC3EEC" w:rsidP="00FD37C3">
      <w:pPr>
        <w:pStyle w:val="RTXRNP"/>
        <w:spacing w:line="240" w:lineRule="auto"/>
        <w:ind w:firstLine="720"/>
        <w:rPr>
          <w:rFonts w:ascii="Palatino Linotype" w:hAnsi="Palatino Linotype"/>
          <w:sz w:val="20"/>
          <w:szCs w:val="20"/>
        </w:rPr>
      </w:pPr>
      <w:r w:rsidRPr="00FC3EEC">
        <w:rPr>
          <w:rFonts w:ascii="Palatino Linotype" w:eastAsia="Arial Unicode MS" w:hAnsi="Palatino Linotype" w:cs="Arial Unicode MS"/>
          <w:sz w:val="20"/>
          <w:szCs w:val="20"/>
        </w:rPr>
        <w:lastRenderedPageBreak/>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[T]he class of barred newcomers is all-inclusive, lumping the great majority who come to the State for other purposes with those who come for the sole purpose of collecting higher benefits. In actual operation, therefore, the three statutes enact what in effect are nonrebuttable presumptions that every applicant for assistance in his first year of residence came to the jurisdiction solely to obtain higher benefits. Nothing whatever in any of these records supplies any basis in fact for such a presumption.</w:t>
      </w:r>
    </w:p>
    <w:p w14:paraId="0CD40228" w14:textId="77777777" w:rsidR="00FC3EEC" w:rsidRPr="00FC3EEC" w:rsidRDefault="00FC3EEC" w:rsidP="00FD37C3">
      <w:pPr>
        <w:pStyle w:val="RTXRNP"/>
        <w:spacing w:line="240" w:lineRule="auto"/>
        <w:ind w:firstLine="720"/>
        <w:rPr>
          <w:rFonts w:ascii="Palatino Linotype" w:hAnsi="Palatino Linotype"/>
          <w:sz w:val="20"/>
          <w:szCs w:val="20"/>
        </w:rPr>
      </w:pPr>
      <w:r w:rsidRPr="00FC3EEC">
        <w:rPr>
          <w:rFonts w:ascii="Palatino Linotype" w:hAnsi="Palatino Linotype"/>
          <w:sz w:val="20"/>
          <w:szCs w:val="20"/>
        </w:rPr>
        <w:t>More fundamentally, a State may no more try to fence out those indigents who seek higher welfare benefits than it may try to fence out indigents generally. Implicit in any such distinction is the notion that indigents who enter a State with the hope of securing higher welfare benefits are somehow less deserving than indigents who do not take this consideration into account. But we do not perceive why a mother who is seeking to make a new life for herself and her children should be regarded as less deserving because she considers, among others factors, the level of a State’s public assistance. Surely such a mother is no less deserving than a mother who moves into a particular State in order to take advantage of its better educational facilities.</w:t>
      </w:r>
    </w:p>
    <w:p w14:paraId="3C637513" w14:textId="77777777" w:rsidR="00FC3EEC" w:rsidRPr="00FC3EEC" w:rsidRDefault="00FC3EEC" w:rsidP="00FD37C3">
      <w:pPr>
        <w:pStyle w:val="RTXRNP"/>
        <w:spacing w:line="240" w:lineRule="auto"/>
        <w:ind w:firstLine="720"/>
        <w:rPr>
          <w:rFonts w:ascii="Palatino Linotype" w:hAnsi="Palatino Linotype"/>
          <w:sz w:val="20"/>
          <w:szCs w:val="20"/>
        </w:rPr>
      </w:pPr>
      <w:r w:rsidRPr="00FC3EEC">
        <w:rPr>
          <w:rFonts w:ascii="Palatino Linotype" w:hAnsi="Palatino Linotype"/>
          <w:sz w:val="20"/>
          <w:szCs w:val="20"/>
        </w:rPr>
        <w:t>Appellants argue further that the challenged classification may be sustained as an attempt to distinguish between new and old residents on the basis of the contribution they have made to the community through the payment of taxes. We have difficulty seeing how long-term residents who qualify for welfare are making a greater present contribution to the State in taxes than indigent residents who have recently arrived.</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Appellants’ reasoning would logically permit the State to bar new residents from schools, parks, and libraries or deprive them of police and fire protection. Indeed it would permit the State to apportion all benefits and services according to the past tax contributions of its citizens. The Equal Protection Clause prohibits such an apportionment of state services.</w:t>
      </w:r>
    </w:p>
    <w:p w14:paraId="4E8F2AC0" w14:textId="77777777" w:rsidR="00FC3EEC" w:rsidRPr="00FC3EEC" w:rsidRDefault="00FC3EEC" w:rsidP="00FD37C3">
      <w:pPr>
        <w:pStyle w:val="RTXRNP"/>
        <w:spacing w:line="240" w:lineRule="auto"/>
        <w:ind w:firstLine="720"/>
        <w:rPr>
          <w:rFonts w:ascii="Palatino Linotype" w:hAnsi="Palatino Linotype"/>
          <w:sz w:val="20"/>
          <w:szCs w:val="20"/>
        </w:rPr>
      </w:pPr>
      <w:r w:rsidRPr="00FC3EEC">
        <w:rPr>
          <w:rFonts w:ascii="Palatino Linotype" w:hAnsi="Palatino Linotype"/>
          <w:sz w:val="20"/>
          <w:szCs w:val="20"/>
        </w:rPr>
        <w:t>We recognize that a State has a valid interest in preserving the fiscal integrity of its programs. It may legitimately attempt to limit its expenditures, whether for public assistance, public education, or any other program. But a State may not accomplish such a purpose by invidious distinctions between classes of its citizens. It could not, for example, reduce expenditures for education by barring indigent children from its schools.</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p>
    <w:p w14:paraId="6567E136" w14:textId="77777777" w:rsidR="00FC3EEC" w:rsidRPr="00FC3EEC" w:rsidRDefault="00FC3EEC" w:rsidP="00FD37C3">
      <w:pPr>
        <w:pStyle w:val="RTXRNP"/>
        <w:spacing w:line="240" w:lineRule="auto"/>
        <w:ind w:firstLine="720"/>
        <w:rPr>
          <w:rFonts w:ascii="Palatino Linotype" w:hAnsi="Palatino Linotype"/>
          <w:sz w:val="20"/>
          <w:szCs w:val="20"/>
        </w:rPr>
      </w:pP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p>
    <w:p w14:paraId="5D37D02C" w14:textId="77777777" w:rsidR="00FC3EEC" w:rsidRPr="00FC3EEC" w:rsidRDefault="00FC3EEC" w:rsidP="00FD37C3">
      <w:pPr>
        <w:pStyle w:val="RTXRNP"/>
        <w:spacing w:line="240" w:lineRule="auto"/>
        <w:ind w:firstLine="720"/>
        <w:rPr>
          <w:rFonts w:ascii="Palatino Linotype" w:hAnsi="Palatino Linotype"/>
          <w:sz w:val="20"/>
          <w:szCs w:val="20"/>
        </w:rPr>
      </w:pP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 xml:space="preserve">The waiting-period provision denies welfare benefits to otherwise eligible applicants solely because they have recently moved into the jurisdiction. But in moving from State to State or to the District of Columbia appellees were exercising a constitutional right, and any classification which serves to penalize the exercise of that right, unless shown to be necessary to promote a </w:t>
      </w:r>
      <w:r w:rsidRPr="00FC3EEC">
        <w:rPr>
          <w:rStyle w:val="italic"/>
          <w:rFonts w:ascii="Palatino Linotype" w:hAnsi="Palatino Linotype"/>
          <w:iCs w:val="0"/>
          <w:sz w:val="20"/>
          <w:szCs w:val="20"/>
        </w:rPr>
        <w:t>compelling</w:t>
      </w:r>
      <w:r w:rsidRPr="00FC3EEC">
        <w:rPr>
          <w:rFonts w:ascii="Palatino Linotype" w:hAnsi="Palatino Linotype"/>
          <w:sz w:val="20"/>
          <w:szCs w:val="20"/>
        </w:rPr>
        <w:t xml:space="preserve"> governmental interest, is unconstitutional. Cf. </w:t>
      </w:r>
      <w:r w:rsidRPr="00FC3EEC">
        <w:rPr>
          <w:rStyle w:val="italic"/>
          <w:rFonts w:ascii="Palatino Linotype" w:hAnsi="Palatino Linotype"/>
          <w:iCs w:val="0"/>
          <w:sz w:val="20"/>
          <w:szCs w:val="20"/>
        </w:rPr>
        <w:t>Skinner</w:t>
      </w:r>
      <w:r w:rsidRPr="00FC3EEC">
        <w:rPr>
          <w:rFonts w:ascii="Palatino Linotype" w:hAnsi="Palatino Linotype"/>
          <w:sz w:val="20"/>
          <w:szCs w:val="20"/>
        </w:rPr>
        <w:t xml:space="preserve"> v. </w:t>
      </w:r>
      <w:r w:rsidRPr="00FC3EEC">
        <w:rPr>
          <w:rStyle w:val="italic"/>
          <w:rFonts w:ascii="Palatino Linotype" w:hAnsi="Palatino Linotype"/>
          <w:iCs w:val="0"/>
          <w:sz w:val="20"/>
          <w:szCs w:val="20"/>
        </w:rPr>
        <w:t>Oklahoma</w:t>
      </w:r>
      <w:r w:rsidRPr="00FC3EEC">
        <w:rPr>
          <w:rFonts w:ascii="Palatino Linotype" w:hAnsi="Palatino Linotype"/>
          <w:sz w:val="20"/>
          <w:szCs w:val="20"/>
        </w:rPr>
        <w:t xml:space="preserve"> (1942); </w:t>
      </w:r>
      <w:r w:rsidRPr="00FC3EEC">
        <w:rPr>
          <w:rStyle w:val="italic"/>
          <w:rFonts w:ascii="Palatino Linotype" w:hAnsi="Palatino Linotype"/>
          <w:iCs w:val="0"/>
          <w:sz w:val="20"/>
          <w:szCs w:val="20"/>
        </w:rPr>
        <w:t>Korematsu</w:t>
      </w:r>
      <w:r w:rsidRPr="00FC3EEC">
        <w:rPr>
          <w:rFonts w:ascii="Palatino Linotype" w:hAnsi="Palatino Linotype"/>
          <w:sz w:val="20"/>
          <w:szCs w:val="20"/>
        </w:rPr>
        <w:t xml:space="preserve"> v. </w:t>
      </w:r>
      <w:r w:rsidRPr="00FC3EEC">
        <w:rPr>
          <w:rStyle w:val="italic"/>
          <w:rFonts w:ascii="Palatino Linotype" w:hAnsi="Palatino Linotype"/>
          <w:iCs w:val="0"/>
          <w:sz w:val="20"/>
          <w:szCs w:val="20"/>
        </w:rPr>
        <w:t>United States</w:t>
      </w:r>
      <w:r w:rsidRPr="00FC3EEC">
        <w:rPr>
          <w:rFonts w:ascii="Palatino Linotype" w:hAnsi="Palatino Linotype"/>
          <w:sz w:val="20"/>
          <w:szCs w:val="20"/>
        </w:rPr>
        <w:t xml:space="preserve"> (1944); </w:t>
      </w:r>
      <w:r w:rsidRPr="00FC3EEC">
        <w:rPr>
          <w:rStyle w:val="italic"/>
          <w:rFonts w:ascii="Palatino Linotype" w:hAnsi="Palatino Linotype"/>
          <w:iCs w:val="0"/>
          <w:sz w:val="20"/>
          <w:szCs w:val="20"/>
        </w:rPr>
        <w:t>Bates</w:t>
      </w:r>
      <w:r w:rsidRPr="00FC3EEC">
        <w:rPr>
          <w:rFonts w:ascii="Palatino Linotype" w:hAnsi="Palatino Linotype"/>
          <w:sz w:val="20"/>
          <w:szCs w:val="20"/>
        </w:rPr>
        <w:t xml:space="preserve"> v. </w:t>
      </w:r>
      <w:r w:rsidRPr="00FC3EEC">
        <w:rPr>
          <w:rStyle w:val="italic"/>
          <w:rFonts w:ascii="Palatino Linotype" w:hAnsi="Palatino Linotype"/>
          <w:iCs w:val="0"/>
          <w:sz w:val="20"/>
          <w:szCs w:val="20"/>
        </w:rPr>
        <w:t>Little Rock</w:t>
      </w:r>
      <w:r w:rsidRPr="00FC3EEC">
        <w:rPr>
          <w:rFonts w:ascii="Palatino Linotype" w:hAnsi="Palatino Linotype"/>
          <w:sz w:val="20"/>
          <w:szCs w:val="20"/>
        </w:rPr>
        <w:t xml:space="preserve"> (1960); </w:t>
      </w:r>
      <w:r w:rsidRPr="00FC3EEC">
        <w:rPr>
          <w:rStyle w:val="italic"/>
          <w:rFonts w:ascii="Palatino Linotype" w:hAnsi="Palatino Linotype"/>
          <w:iCs w:val="0"/>
          <w:sz w:val="20"/>
          <w:szCs w:val="20"/>
        </w:rPr>
        <w:t>Sherbert</w:t>
      </w:r>
      <w:r w:rsidRPr="00FC3EEC">
        <w:rPr>
          <w:rFonts w:ascii="Palatino Linotype" w:hAnsi="Palatino Linotype"/>
          <w:sz w:val="20"/>
          <w:szCs w:val="20"/>
        </w:rPr>
        <w:t xml:space="preserve"> v. </w:t>
      </w:r>
      <w:r w:rsidRPr="00FC3EEC">
        <w:rPr>
          <w:rStyle w:val="italic"/>
          <w:rFonts w:ascii="Palatino Linotype" w:hAnsi="Palatino Linotype"/>
          <w:iCs w:val="0"/>
          <w:sz w:val="20"/>
          <w:szCs w:val="20"/>
        </w:rPr>
        <w:t>Verner</w:t>
      </w:r>
      <w:r w:rsidRPr="00FC3EEC">
        <w:rPr>
          <w:rFonts w:ascii="Palatino Linotype" w:hAnsi="Palatino Linotype"/>
          <w:sz w:val="20"/>
          <w:szCs w:val="20"/>
        </w:rPr>
        <w:t xml:space="preserve"> (1963).</w:t>
      </w:r>
    </w:p>
    <w:p w14:paraId="413A15FB" w14:textId="77777777" w:rsidR="00FC3EEC" w:rsidRPr="00FC3EEC" w:rsidRDefault="00FC3EEC" w:rsidP="00FD37C3">
      <w:pPr>
        <w:pStyle w:val="RTXRNP"/>
        <w:spacing w:line="240" w:lineRule="auto"/>
        <w:ind w:firstLine="720"/>
        <w:rPr>
          <w:rFonts w:ascii="Palatino Linotype" w:hAnsi="Palatino Linotype"/>
          <w:sz w:val="20"/>
          <w:szCs w:val="20"/>
        </w:rPr>
      </w:pP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p>
    <w:p w14:paraId="6C6A0A88" w14:textId="77777777" w:rsidR="00FC3EEC" w:rsidRPr="00FC3EEC" w:rsidRDefault="00FC3EEC" w:rsidP="00FD37C3">
      <w:pPr>
        <w:pStyle w:val="RTXRNP"/>
        <w:spacing w:line="240" w:lineRule="auto"/>
        <w:ind w:firstLine="720"/>
        <w:rPr>
          <w:rFonts w:ascii="Palatino Linotype" w:hAnsi="Palatino Linotype"/>
          <w:sz w:val="20"/>
          <w:szCs w:val="20"/>
        </w:rPr>
      </w:pPr>
      <w:r w:rsidRPr="00FC3EEC">
        <w:rPr>
          <w:rFonts w:ascii="Palatino Linotype" w:hAnsi="Palatino Linotype"/>
          <w:sz w:val="20"/>
          <w:szCs w:val="20"/>
        </w:rPr>
        <w:t xml:space="preserve">We conclude therefore that appellants in these cases do not use and have no need to use the one-year requirement for the governmental purposes suggested. Thus, even under traditional equal protection tests a classification of welfare applicants according to whether they have lived in the State for one year would seem irrational and unconstitutional. But, of course, the traditional criteria do not apply in these cases. Since the classification here touches on the fundamental right of interstate movement, its constitutionality must be judged by the stricter standard of whether it promotes a </w:t>
      </w:r>
      <w:r w:rsidRPr="00FC3EEC">
        <w:rPr>
          <w:rStyle w:val="italic"/>
          <w:rFonts w:ascii="Palatino Linotype" w:hAnsi="Palatino Linotype"/>
          <w:iCs w:val="0"/>
          <w:sz w:val="20"/>
          <w:szCs w:val="20"/>
        </w:rPr>
        <w:t>compelling</w:t>
      </w:r>
      <w:r w:rsidRPr="00FC3EEC">
        <w:rPr>
          <w:rFonts w:ascii="Palatino Linotype" w:hAnsi="Palatino Linotype"/>
          <w:sz w:val="20"/>
          <w:szCs w:val="20"/>
        </w:rPr>
        <w:t xml:space="preserve"> state interest. Under this standard, the waiting-period requirement clearly violates the Equal Protection Clause.</w:t>
      </w:r>
      <w:r w:rsidRPr="00FC3EEC">
        <w:rPr>
          <w:rFonts w:ascii="Palatino Linotype" w:hAnsi="Palatino Linotype"/>
          <w:sz w:val="20"/>
          <w:szCs w:val="20"/>
          <w:vertAlign w:val="superscript"/>
        </w:rPr>
        <w:footnoteReference w:id="2"/>
      </w:r>
    </w:p>
    <w:p w14:paraId="3B230721" w14:textId="77777777" w:rsidR="00FC3EEC" w:rsidRPr="00FC3EEC" w:rsidRDefault="00FC3EEC" w:rsidP="00FD37C3">
      <w:pPr>
        <w:pStyle w:val="RTXRNP"/>
        <w:spacing w:line="240" w:lineRule="auto"/>
        <w:ind w:firstLine="720"/>
        <w:rPr>
          <w:rFonts w:ascii="Palatino Linotype" w:hAnsi="Palatino Linotype"/>
          <w:sz w:val="20"/>
          <w:szCs w:val="20"/>
        </w:rPr>
      </w:pPr>
      <w:r w:rsidRPr="00FC3EEC">
        <w:rPr>
          <w:rFonts w:ascii="Palatino Linotype" w:hAnsi="Palatino Linotype"/>
          <w:sz w:val="20"/>
          <w:szCs w:val="20"/>
        </w:rPr>
        <w:t xml:space="preserve">Connecticut and Pennsylvania argue, however, that the constitutional challenge to the waiting-period requirements must fail because Congress expressly approved the imposition of the requirement by </w:t>
      </w:r>
      <w:r w:rsidRPr="00FC3EEC">
        <w:rPr>
          <w:rFonts w:ascii="Palatino Linotype" w:hAnsi="Palatino Linotype"/>
          <w:sz w:val="20"/>
          <w:szCs w:val="20"/>
        </w:rPr>
        <w:lastRenderedPageBreak/>
        <w:t>the States as part of the jointly funded AFDC program.</w:t>
      </w:r>
    </w:p>
    <w:p w14:paraId="49D5636A" w14:textId="77777777" w:rsidR="00FC3EEC" w:rsidRPr="00FC3EEC" w:rsidRDefault="00FC3EEC" w:rsidP="00FD37C3">
      <w:pPr>
        <w:pStyle w:val="RTXRNP"/>
        <w:spacing w:line="240" w:lineRule="auto"/>
        <w:ind w:firstLine="720"/>
        <w:rPr>
          <w:rFonts w:ascii="Palatino Linotype" w:hAnsi="Palatino Linotype"/>
          <w:sz w:val="20"/>
          <w:szCs w:val="20"/>
        </w:rPr>
      </w:pPr>
      <w:r w:rsidRPr="00FC3EEC">
        <w:rPr>
          <w:rFonts w:ascii="Palatino Linotype" w:hAnsi="Palatino Linotype"/>
          <w:sz w:val="20"/>
          <w:szCs w:val="20"/>
        </w:rPr>
        <w:t>Section 402 (b) of the Social Security Act of 1935, as amended, 42 U. S. C. § 602 (b), provides that:</w:t>
      </w:r>
    </w:p>
    <w:p w14:paraId="1A53BEF7" w14:textId="77777777" w:rsidR="00FC3EEC" w:rsidRPr="00FC3EEC" w:rsidRDefault="00FC3EEC" w:rsidP="00FD37C3">
      <w:pPr>
        <w:pStyle w:val="REXTextract"/>
        <w:spacing w:line="240" w:lineRule="auto"/>
        <w:ind w:firstLine="720"/>
        <w:rPr>
          <w:rFonts w:ascii="Palatino Linotype" w:hAnsi="Palatino Linotype"/>
          <w:sz w:val="20"/>
          <w:szCs w:val="20"/>
        </w:rPr>
      </w:pPr>
      <w:r w:rsidRPr="00FC3EEC">
        <w:rPr>
          <w:rFonts w:ascii="Palatino Linotype" w:hAnsi="Palatino Linotype"/>
          <w:sz w:val="20"/>
          <w:szCs w:val="20"/>
        </w:rPr>
        <w:t>The Secretary shall approve any [state assistance] plan which fulfills the conditions specified in subsection (a) of this section, except that he shall not approve any plan which imposes as a condition of eligibility for aid to families with dependent children, a residence requirement which denies aid with respect to any child residing in the State (1) who has resided in the State for one year immediately preceding the application for such aid, or (2) who was born within one year immediately preceding the application, if the parent or other relative with whom the child is living has resided in the State for one year immediately preceding the birth.</w:t>
      </w:r>
    </w:p>
    <w:p w14:paraId="19D1BAF6" w14:textId="77777777" w:rsidR="00FC3EEC" w:rsidRPr="00FC3EEC" w:rsidRDefault="00FC3EEC" w:rsidP="00FD37C3">
      <w:pPr>
        <w:pStyle w:val="RTX1st"/>
        <w:spacing w:line="240" w:lineRule="auto"/>
        <w:ind w:firstLine="720"/>
        <w:rPr>
          <w:rFonts w:ascii="Palatino Linotype" w:hAnsi="Palatino Linotype"/>
          <w:sz w:val="20"/>
          <w:szCs w:val="20"/>
        </w:rPr>
      </w:pPr>
      <w:r w:rsidRPr="00FC3EEC">
        <w:rPr>
          <w:rFonts w:ascii="Palatino Linotype" w:hAnsi="Palatino Linotype"/>
          <w:sz w:val="20"/>
          <w:szCs w:val="20"/>
        </w:rPr>
        <w:t>On its face, the statute does not approve, much less prescribe, a one-year requirement.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Rather than constituting an approval or a prescription of the requirement in state plans, the directive was the means chosen by Congress to deny federal funding to any State which persisted in stipulating excessive residence requirements as a condition of the payment of benefits.</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Both the House and Senate Committee Reports expressly stated that the objective of § 402 (b) was to compel “liberality of residence requirement.”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p>
    <w:p w14:paraId="1DFE2FCF" w14:textId="77777777" w:rsidR="00FC3EEC" w:rsidRPr="00FC3EEC" w:rsidRDefault="00FC3EEC" w:rsidP="00FD37C3">
      <w:pPr>
        <w:pStyle w:val="RTXRNP"/>
        <w:spacing w:line="240" w:lineRule="auto"/>
        <w:ind w:firstLine="720"/>
        <w:rPr>
          <w:rFonts w:ascii="Palatino Linotype" w:hAnsi="Palatino Linotype"/>
          <w:sz w:val="20"/>
          <w:szCs w:val="20"/>
        </w:rPr>
      </w:pP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p>
    <w:p w14:paraId="3B7CD3C5" w14:textId="77777777" w:rsidR="00FC3EEC" w:rsidRPr="00FC3EEC" w:rsidRDefault="00FC3EEC" w:rsidP="00FD37C3">
      <w:pPr>
        <w:pStyle w:val="RTXRNP"/>
        <w:spacing w:line="240" w:lineRule="auto"/>
        <w:ind w:firstLine="720"/>
        <w:rPr>
          <w:rFonts w:ascii="Palatino Linotype" w:hAnsi="Palatino Linotype"/>
          <w:sz w:val="20"/>
          <w:szCs w:val="20"/>
        </w:rPr>
      </w:pP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[E]ven if it could be argued that the constitutionality of § 402 (b) is somehow at issue here, it follows from what we have said that the provision, insofar as it permits the one-year waiting-period requirement, would be unconstitutional. Congress may not authorize the States to violate the Equal Protection Clause</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Style w:val="italic"/>
          <w:rFonts w:ascii="Palatino Linotype" w:hAnsi="Palatino Linotype"/>
          <w:iCs w:val="0"/>
          <w:sz w:val="20"/>
          <w:szCs w:val="20"/>
        </w:rPr>
        <w:t>Katzenbach</w:t>
      </w:r>
      <w:r w:rsidRPr="00FC3EEC">
        <w:rPr>
          <w:rFonts w:ascii="Palatino Linotype" w:hAnsi="Palatino Linotype"/>
          <w:sz w:val="20"/>
          <w:szCs w:val="20"/>
        </w:rPr>
        <w:t xml:space="preserve"> v. </w:t>
      </w:r>
      <w:r w:rsidRPr="00FC3EEC">
        <w:rPr>
          <w:rStyle w:val="italic"/>
          <w:rFonts w:ascii="Palatino Linotype" w:hAnsi="Palatino Linotype"/>
          <w:iCs w:val="0"/>
          <w:sz w:val="20"/>
          <w:szCs w:val="20"/>
        </w:rPr>
        <w:t>Morgan</w:t>
      </w:r>
      <w:r w:rsidRPr="00FC3EEC">
        <w:rPr>
          <w:rFonts w:ascii="Palatino Linotype" w:hAnsi="Palatino Linotype"/>
          <w:sz w:val="20"/>
          <w:szCs w:val="20"/>
        </w:rPr>
        <w:t xml:space="preserve"> (1966).</w:t>
      </w:r>
    </w:p>
    <w:p w14:paraId="3ED4EF8D" w14:textId="77777777" w:rsidR="00FC3EEC" w:rsidRPr="00FC3EEC" w:rsidRDefault="00FC3EEC" w:rsidP="00FD37C3">
      <w:pPr>
        <w:pStyle w:val="RTXRNP"/>
        <w:spacing w:line="240" w:lineRule="auto"/>
        <w:ind w:firstLine="720"/>
        <w:rPr>
          <w:rFonts w:ascii="Palatino Linotype" w:hAnsi="Palatino Linotype"/>
          <w:sz w:val="20"/>
          <w:szCs w:val="20"/>
        </w:rPr>
      </w:pPr>
      <w:r w:rsidRPr="00FC3EEC">
        <w:rPr>
          <w:rFonts w:ascii="Palatino Linotype" w:hAnsi="Palatino Linotype"/>
          <w:sz w:val="20"/>
          <w:szCs w:val="20"/>
        </w:rPr>
        <w:t xml:space="preserve">The waiting-period requirement in the District of Columbia Code involved in No. 33 is also unconstitutional even though it was adopted by Congress as an exercise of federal power. In terms of federal power, the discrimination created by the one-year requirement violates the Due Process Clause of the Fifth Amendment. “While the Fifth Amendment contains no equal protection clause, it does forbid discrimination that is “so unjustifiable as to be violative of due process.” </w:t>
      </w:r>
      <w:r w:rsidRPr="00FC3EEC">
        <w:rPr>
          <w:rStyle w:val="italic"/>
          <w:rFonts w:ascii="Palatino Linotype" w:hAnsi="Palatino Linotype"/>
          <w:iCs w:val="0"/>
          <w:sz w:val="20"/>
          <w:szCs w:val="20"/>
        </w:rPr>
        <w:t>Schneider</w:t>
      </w:r>
      <w:r w:rsidRPr="00FC3EEC">
        <w:rPr>
          <w:rFonts w:ascii="Palatino Linotype" w:hAnsi="Palatino Linotype"/>
          <w:sz w:val="20"/>
          <w:szCs w:val="20"/>
        </w:rPr>
        <w:t xml:space="preserve"> v. </w:t>
      </w:r>
      <w:r w:rsidRPr="00FC3EEC">
        <w:rPr>
          <w:rStyle w:val="italic"/>
          <w:rFonts w:ascii="Palatino Linotype" w:hAnsi="Palatino Linotype"/>
          <w:iCs w:val="0"/>
          <w:sz w:val="20"/>
          <w:szCs w:val="20"/>
        </w:rPr>
        <w:t>Rusk</w:t>
      </w:r>
      <w:r w:rsidRPr="00FC3EEC">
        <w:rPr>
          <w:rFonts w:ascii="Palatino Linotype" w:hAnsi="Palatino Linotype"/>
          <w:sz w:val="20"/>
          <w:szCs w:val="20"/>
        </w:rPr>
        <w:t xml:space="preserve"> (1964); </w:t>
      </w:r>
      <w:r w:rsidRPr="00FC3EEC">
        <w:rPr>
          <w:rStyle w:val="italic"/>
          <w:rFonts w:ascii="Palatino Linotype" w:hAnsi="Palatino Linotype"/>
          <w:iCs w:val="0"/>
          <w:sz w:val="20"/>
          <w:szCs w:val="20"/>
        </w:rPr>
        <w:t>Bolling</w:t>
      </w:r>
      <w:r w:rsidRPr="00FC3EEC">
        <w:rPr>
          <w:rFonts w:ascii="Palatino Linotype" w:hAnsi="Palatino Linotype"/>
          <w:sz w:val="20"/>
          <w:szCs w:val="20"/>
        </w:rPr>
        <w:t xml:space="preserve"> v. </w:t>
      </w:r>
      <w:r w:rsidRPr="00FC3EEC">
        <w:rPr>
          <w:rStyle w:val="italic"/>
          <w:rFonts w:ascii="Palatino Linotype" w:hAnsi="Palatino Linotype"/>
          <w:iCs w:val="0"/>
          <w:sz w:val="20"/>
          <w:szCs w:val="20"/>
        </w:rPr>
        <w:t>Sharpe</w:t>
      </w:r>
      <w:r w:rsidRPr="00FC3EEC">
        <w:rPr>
          <w:rFonts w:ascii="Palatino Linotype" w:hAnsi="Palatino Linotype"/>
          <w:sz w:val="20"/>
          <w:szCs w:val="20"/>
        </w:rPr>
        <w:t xml:space="preserve"> (1954).</w:t>
      </w:r>
    </w:p>
    <w:p w14:paraId="09F6DCE7" w14:textId="77777777" w:rsidR="00FC3EEC" w:rsidRPr="00FC3EEC" w:rsidRDefault="00FC3EEC" w:rsidP="00FD37C3">
      <w:pPr>
        <w:pStyle w:val="RTXRNP"/>
        <w:spacing w:line="240" w:lineRule="auto"/>
        <w:ind w:firstLine="720"/>
        <w:rPr>
          <w:rFonts w:ascii="Palatino Linotype" w:hAnsi="Palatino Linotype"/>
          <w:sz w:val="20"/>
          <w:szCs w:val="20"/>
        </w:rPr>
      </w:pPr>
      <w:r w:rsidRPr="00FC3EEC">
        <w:rPr>
          <w:rStyle w:val="italic"/>
          <w:rFonts w:ascii="Palatino Linotype" w:hAnsi="Palatino Linotype"/>
          <w:iCs w:val="0"/>
          <w:sz w:val="20"/>
          <w:szCs w:val="20"/>
        </w:rPr>
        <w:t>Affirmed</w:t>
      </w:r>
      <w:r w:rsidRPr="00FC3EEC">
        <w:rPr>
          <w:rFonts w:ascii="Palatino Linotype" w:hAnsi="Palatino Linotype"/>
          <w:sz w:val="20"/>
          <w:szCs w:val="20"/>
        </w:rPr>
        <w:t>.</w:t>
      </w:r>
    </w:p>
    <w:p w14:paraId="5E8533E0" w14:textId="77777777" w:rsidR="00FC3EEC" w:rsidRDefault="00FC3EEC" w:rsidP="00FD37C3">
      <w:pPr>
        <w:pStyle w:val="RTXRNP"/>
        <w:spacing w:line="240" w:lineRule="auto"/>
        <w:ind w:firstLine="720"/>
        <w:rPr>
          <w:rFonts w:ascii="Palatino Linotype" w:hAnsi="Palatino Linotype"/>
          <w:sz w:val="20"/>
          <w:szCs w:val="20"/>
        </w:rPr>
      </w:pPr>
    </w:p>
    <w:p w14:paraId="37240DCA" w14:textId="77777777" w:rsidR="00FC3EEC" w:rsidRPr="00FC3EEC" w:rsidRDefault="00FC3EEC" w:rsidP="00FD37C3">
      <w:pPr>
        <w:pStyle w:val="RTXRNP"/>
        <w:spacing w:line="240" w:lineRule="auto"/>
        <w:ind w:firstLine="720"/>
        <w:rPr>
          <w:rFonts w:ascii="Palatino Linotype" w:hAnsi="Palatino Linotype"/>
          <w:sz w:val="20"/>
          <w:szCs w:val="20"/>
        </w:rPr>
      </w:pPr>
      <w:r w:rsidRPr="00FC3EEC">
        <w:rPr>
          <w:rFonts w:ascii="Palatino Linotype" w:hAnsi="Palatino Linotype"/>
          <w:sz w:val="20"/>
          <w:szCs w:val="20"/>
        </w:rPr>
        <w:t>JUSTICE STEWART, concurring.</w:t>
      </w:r>
    </w:p>
    <w:p w14:paraId="7D31CA0F" w14:textId="77777777" w:rsidR="00FC3EEC" w:rsidRPr="00FC3EEC" w:rsidRDefault="00FC3EEC" w:rsidP="00FD37C3">
      <w:pPr>
        <w:pStyle w:val="RTXRNP"/>
        <w:spacing w:line="240" w:lineRule="auto"/>
        <w:ind w:firstLine="720"/>
        <w:rPr>
          <w:rFonts w:ascii="Palatino Linotype" w:hAnsi="Palatino Linotype"/>
          <w:sz w:val="20"/>
          <w:szCs w:val="20"/>
        </w:rPr>
      </w:pP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p>
    <w:p w14:paraId="7A218CD1" w14:textId="77777777" w:rsidR="00FC3EEC" w:rsidRPr="00FC3EEC" w:rsidRDefault="00FC3EEC" w:rsidP="00FD37C3">
      <w:pPr>
        <w:pStyle w:val="RTXRNP"/>
        <w:spacing w:line="240" w:lineRule="auto"/>
        <w:ind w:firstLine="720"/>
        <w:rPr>
          <w:rFonts w:ascii="Palatino Linotype" w:hAnsi="Palatino Linotype"/>
          <w:sz w:val="20"/>
          <w:szCs w:val="20"/>
        </w:rPr>
      </w:pPr>
      <w:r w:rsidRPr="00FC3EEC">
        <w:rPr>
          <w:rFonts w:ascii="Palatino Linotype" w:hAnsi="Palatino Linotype"/>
          <w:sz w:val="20"/>
          <w:szCs w:val="20"/>
        </w:rPr>
        <w:t xml:space="preserve">The Court today does </w:t>
      </w:r>
      <w:r w:rsidRPr="00FC3EEC">
        <w:rPr>
          <w:rStyle w:val="italic"/>
          <w:rFonts w:ascii="Palatino Linotype" w:hAnsi="Palatino Linotype"/>
          <w:iCs w:val="0"/>
          <w:sz w:val="20"/>
          <w:szCs w:val="20"/>
        </w:rPr>
        <w:t>not</w:t>
      </w:r>
      <w:r w:rsidRPr="00FC3EEC">
        <w:rPr>
          <w:rFonts w:ascii="Palatino Linotype" w:hAnsi="Palatino Linotype"/>
          <w:sz w:val="20"/>
          <w:szCs w:val="20"/>
        </w:rPr>
        <w:t xml:space="preserve"> “pick out particular human activities, characterize them as ‘fundamental,’ and give them added protection.</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 To the contrary, the Court simply recognizes, as it must, an established constitutional right, and gives to that right no less protection than the Constitution itself demands.</w:t>
      </w:r>
    </w:p>
    <w:p w14:paraId="7424395D" w14:textId="77777777" w:rsidR="00FC3EEC" w:rsidRPr="00FC3EEC" w:rsidRDefault="00FC3EEC" w:rsidP="00FD37C3">
      <w:pPr>
        <w:pStyle w:val="RTXRNP"/>
        <w:spacing w:line="240" w:lineRule="auto"/>
        <w:ind w:firstLine="720"/>
        <w:rPr>
          <w:rFonts w:ascii="Palatino Linotype" w:hAnsi="Palatino Linotype"/>
          <w:sz w:val="20"/>
          <w:szCs w:val="20"/>
        </w:rPr>
      </w:pPr>
      <w:r w:rsidRPr="00FC3EEC">
        <w:rPr>
          <w:rFonts w:ascii="Palatino Linotype" w:hAnsi="Palatino Linotype"/>
          <w:sz w:val="20"/>
          <w:szCs w:val="20"/>
        </w:rPr>
        <w:t>“The constitutional right to travel from one State to another</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 xml:space="preserve">has been firmly established and repeatedly recognized.” </w:t>
      </w:r>
      <w:r w:rsidRPr="00FC3EEC">
        <w:rPr>
          <w:rStyle w:val="italic"/>
          <w:rFonts w:ascii="Palatino Linotype" w:hAnsi="Palatino Linotype"/>
          <w:iCs w:val="0"/>
          <w:sz w:val="20"/>
          <w:szCs w:val="20"/>
        </w:rPr>
        <w:t>United States</w:t>
      </w:r>
      <w:r w:rsidRPr="00FC3EEC">
        <w:rPr>
          <w:rFonts w:ascii="Palatino Linotype" w:hAnsi="Palatino Linotype"/>
          <w:sz w:val="20"/>
          <w:szCs w:val="20"/>
        </w:rPr>
        <w:t xml:space="preserve"> v. </w:t>
      </w:r>
      <w:r w:rsidRPr="00FC3EEC">
        <w:rPr>
          <w:rStyle w:val="italic"/>
          <w:rFonts w:ascii="Palatino Linotype" w:hAnsi="Palatino Linotype"/>
          <w:iCs w:val="0"/>
          <w:sz w:val="20"/>
          <w:szCs w:val="20"/>
        </w:rPr>
        <w:t>Guest</w:t>
      </w:r>
      <w:r w:rsidRPr="00FC3EEC">
        <w:rPr>
          <w:rFonts w:ascii="Palatino Linotype" w:hAnsi="Palatino Linotype"/>
          <w:sz w:val="20"/>
          <w:szCs w:val="20"/>
        </w:rPr>
        <w:t xml:space="preserve"> (1966). This constitutional right, which, of course, includes the right of “entering and abiding in any State in the Union,” </w:t>
      </w:r>
      <w:r w:rsidRPr="00FC3EEC">
        <w:rPr>
          <w:rStyle w:val="italic"/>
          <w:rFonts w:ascii="Palatino Linotype" w:hAnsi="Palatino Linotype"/>
          <w:iCs w:val="0"/>
          <w:sz w:val="20"/>
          <w:szCs w:val="20"/>
        </w:rPr>
        <w:t>Truax</w:t>
      </w:r>
      <w:r w:rsidRPr="00FC3EEC">
        <w:rPr>
          <w:rFonts w:ascii="Palatino Linotype" w:hAnsi="Palatino Linotype"/>
          <w:sz w:val="20"/>
          <w:szCs w:val="20"/>
        </w:rPr>
        <w:t xml:space="preserve"> v. </w:t>
      </w:r>
      <w:r w:rsidRPr="00FC3EEC">
        <w:rPr>
          <w:rStyle w:val="italic"/>
          <w:rFonts w:ascii="Palatino Linotype" w:hAnsi="Palatino Linotype"/>
          <w:iCs w:val="0"/>
          <w:sz w:val="20"/>
          <w:szCs w:val="20"/>
        </w:rPr>
        <w:t>Raich</w:t>
      </w:r>
      <w:r w:rsidRPr="00FC3EEC">
        <w:rPr>
          <w:rFonts w:ascii="Palatino Linotype" w:hAnsi="Palatino Linotype"/>
          <w:sz w:val="20"/>
          <w:szCs w:val="20"/>
        </w:rPr>
        <w:t xml:space="preserve"> (1915), is </w:t>
      </w:r>
      <w:r w:rsidRPr="00FC3EEC">
        <w:rPr>
          <w:rStyle w:val="italic"/>
          <w:rFonts w:ascii="Palatino Linotype" w:hAnsi="Palatino Linotype"/>
          <w:iCs w:val="0"/>
          <w:sz w:val="20"/>
          <w:szCs w:val="20"/>
        </w:rPr>
        <w:t>not</w:t>
      </w:r>
      <w:r w:rsidRPr="00FC3EEC">
        <w:rPr>
          <w:rFonts w:ascii="Palatino Linotype" w:hAnsi="Palatino Linotype"/>
          <w:sz w:val="20"/>
          <w:szCs w:val="20"/>
        </w:rPr>
        <w:t xml:space="preserve"> a mere conditional liberty subject to regulation and control under conventional due process or equal protection standards. “The right to travel freely from State to State finds constitutional protection that is quite independent of the Fourteenth Amendment.” </w:t>
      </w:r>
      <w:r w:rsidRPr="00FC3EEC">
        <w:rPr>
          <w:rStyle w:val="italic"/>
          <w:rFonts w:ascii="Palatino Linotype" w:hAnsi="Palatino Linotype"/>
          <w:iCs w:val="0"/>
          <w:sz w:val="20"/>
          <w:szCs w:val="20"/>
        </w:rPr>
        <w:t>United States</w:t>
      </w:r>
      <w:r w:rsidRPr="00FC3EEC">
        <w:rPr>
          <w:rFonts w:ascii="Palatino Linotype" w:hAnsi="Palatino Linotype"/>
          <w:sz w:val="20"/>
          <w:szCs w:val="20"/>
        </w:rPr>
        <w:t xml:space="preserve"> v. </w:t>
      </w:r>
      <w:r w:rsidRPr="00FC3EEC">
        <w:rPr>
          <w:rStyle w:val="italic"/>
          <w:rFonts w:ascii="Palatino Linotype" w:hAnsi="Palatino Linotype"/>
          <w:iCs w:val="0"/>
          <w:sz w:val="20"/>
          <w:szCs w:val="20"/>
        </w:rPr>
        <w:t>Guest</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p>
    <w:p w14:paraId="2CB9A656" w14:textId="77777777" w:rsidR="00FC3EEC" w:rsidRDefault="00FC3EEC" w:rsidP="00FD37C3">
      <w:pPr>
        <w:pStyle w:val="RTXRNP"/>
        <w:spacing w:line="240" w:lineRule="auto"/>
        <w:ind w:firstLine="720"/>
        <w:rPr>
          <w:rFonts w:ascii="Palatino Linotype" w:hAnsi="Palatino Linotype"/>
          <w:sz w:val="20"/>
          <w:szCs w:val="20"/>
        </w:rPr>
      </w:pPr>
    </w:p>
    <w:p w14:paraId="692F0D54" w14:textId="77777777" w:rsidR="00FC3EEC" w:rsidRPr="00FC3EEC" w:rsidRDefault="00FC3EEC" w:rsidP="00FD37C3">
      <w:pPr>
        <w:pStyle w:val="RTXRNP"/>
        <w:spacing w:line="240" w:lineRule="auto"/>
        <w:ind w:firstLine="720"/>
        <w:rPr>
          <w:rFonts w:ascii="Palatino Linotype" w:hAnsi="Palatino Linotype"/>
          <w:sz w:val="20"/>
          <w:szCs w:val="20"/>
        </w:rPr>
      </w:pPr>
      <w:r w:rsidRPr="00FC3EEC">
        <w:rPr>
          <w:rFonts w:ascii="Palatino Linotype" w:hAnsi="Palatino Linotype"/>
          <w:sz w:val="20"/>
          <w:szCs w:val="20"/>
        </w:rPr>
        <w:t>CHIEF JUSTICE WARREN, with whom JUSTICE BLACK joins, dissenting.</w:t>
      </w:r>
    </w:p>
    <w:p w14:paraId="4D1F326C" w14:textId="77777777" w:rsidR="00FC3EEC" w:rsidRPr="00FC3EEC" w:rsidRDefault="00FC3EEC" w:rsidP="00FD37C3">
      <w:pPr>
        <w:pStyle w:val="RTXRNP"/>
        <w:spacing w:line="240" w:lineRule="auto"/>
        <w:ind w:firstLine="720"/>
        <w:rPr>
          <w:rFonts w:ascii="Palatino Linotype" w:hAnsi="Palatino Linotype"/>
          <w:sz w:val="20"/>
          <w:szCs w:val="20"/>
        </w:rPr>
      </w:pPr>
      <w:r w:rsidRPr="00FC3EEC">
        <w:rPr>
          <w:rFonts w:ascii="Palatino Linotype" w:hAnsi="Palatino Linotype"/>
          <w:sz w:val="20"/>
          <w:szCs w:val="20"/>
        </w:rPr>
        <w:t>In my opinion the issue before us can be simply stated: May Congress, acting under one of its enumerated powers, impose minimal nationwide residence requirements or authorize the States to do so? Since I believe that Congress does have this power and has constitutionally exercised it in these cases, I must dissent.</w:t>
      </w:r>
    </w:p>
    <w:p w14:paraId="40DE2A15" w14:textId="77777777" w:rsidR="00FC3EEC" w:rsidRPr="00FC3EEC" w:rsidRDefault="00FC3EEC" w:rsidP="00FD37C3">
      <w:pPr>
        <w:pStyle w:val="RTXRNP"/>
        <w:spacing w:line="240" w:lineRule="auto"/>
        <w:ind w:firstLine="720"/>
        <w:rPr>
          <w:rFonts w:ascii="Palatino Linotype" w:hAnsi="Palatino Linotype"/>
          <w:sz w:val="20"/>
          <w:szCs w:val="20"/>
        </w:rPr>
      </w:pP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p>
    <w:p w14:paraId="26014118" w14:textId="77777777" w:rsidR="00FC3EEC" w:rsidRPr="00FC3EEC" w:rsidRDefault="00FC3EEC" w:rsidP="00FD37C3">
      <w:pPr>
        <w:pStyle w:val="RTXRNP"/>
        <w:spacing w:line="240" w:lineRule="auto"/>
        <w:ind w:firstLine="720"/>
        <w:rPr>
          <w:rFonts w:ascii="Palatino Linotype" w:hAnsi="Palatino Linotype"/>
          <w:sz w:val="20"/>
          <w:szCs w:val="20"/>
        </w:rPr>
      </w:pPr>
      <w:r w:rsidRPr="00FC3EEC">
        <w:rPr>
          <w:rFonts w:ascii="Palatino Linotype" w:hAnsi="Palatino Linotype"/>
          <w:sz w:val="20"/>
          <w:szCs w:val="20"/>
        </w:rPr>
        <w:lastRenderedPageBreak/>
        <w:t>The Great Depression of the 1930’s exposed the inadequacies of state and local welfare programs and dramatized the need for federal participation in welfare assistance.</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 xml:space="preserve">The primary purpose of the categorical assistance programs was to encourage the States to provide new and greatly enhanced welfare programs. See, </w:t>
      </w:r>
      <w:r w:rsidRPr="00FC3EEC">
        <w:rPr>
          <w:rStyle w:val="italic"/>
          <w:rFonts w:ascii="Palatino Linotype" w:hAnsi="Palatino Linotype"/>
          <w:iCs w:val="0"/>
          <w:sz w:val="20"/>
          <w:szCs w:val="20"/>
        </w:rPr>
        <w:t>e. g</w:t>
      </w:r>
      <w:r w:rsidRPr="00FC3EEC">
        <w:rPr>
          <w:rFonts w:ascii="Palatino Linotype" w:hAnsi="Palatino Linotype"/>
          <w:sz w:val="20"/>
          <w:szCs w:val="20"/>
        </w:rPr>
        <w:t>., S. Rep. No. 628, 74th Cong., 1st Sess., 5–6, 18–19 (1935); H. R. Rep. No. 615, 74th Cong., 1st Sess., 4 (1935). Federal aid would mean an immediate increase in the amount of benefits paid under state programs. But federal aid was to be conditioned upon certain requirements so that the States would remain the basic administrative units of the welfare system and would be unable to shift the welfare burden to local governmental units with inadequate financial resources.</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p>
    <w:p w14:paraId="192B0AEA" w14:textId="77777777" w:rsidR="00FC3EEC" w:rsidRPr="00FC3EEC" w:rsidRDefault="00FC3EEC" w:rsidP="00FD37C3">
      <w:pPr>
        <w:pStyle w:val="RTXRNP"/>
        <w:spacing w:line="240" w:lineRule="auto"/>
        <w:ind w:firstLine="720"/>
        <w:rPr>
          <w:rFonts w:ascii="Palatino Linotype" w:hAnsi="Palatino Linotype"/>
          <w:sz w:val="20"/>
          <w:szCs w:val="20"/>
        </w:rPr>
      </w:pP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The congressional decision to allow the States to impose residence requirements and to enact such a requirement for the District was the subject of considerable discussion. Both those favoring lengthy residence requirements and those opposing all requirements pleaded their case during the congressional hearings on the Social Security Act. Faced with the competing claims of States which feared that abolition of residence requirements would result in an influx of persons seeking higher welfare payments and of organizations which stressed the unfairness of such requirements to transient workers forced by the economic dislocation of the depression to seek work far from their homes, Congress chose a middle course.</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p>
    <w:p w14:paraId="234E7AA4" w14:textId="77777777" w:rsidR="00FC3EEC" w:rsidRPr="00FC3EEC" w:rsidRDefault="00FC3EEC" w:rsidP="00FD37C3">
      <w:pPr>
        <w:pStyle w:val="RTXRNP"/>
        <w:spacing w:line="240" w:lineRule="auto"/>
        <w:ind w:firstLine="720"/>
        <w:rPr>
          <w:rFonts w:ascii="Palatino Linotype" w:hAnsi="Palatino Linotype"/>
          <w:sz w:val="20"/>
          <w:szCs w:val="20"/>
        </w:rPr>
      </w:pP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Residence requirements have remained a part of this combined state-federal welfare program for 34 years. Congress has adhered to its original decision that residence requirements were necessary in the face of repeated attacks against these requirements.</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p>
    <w:p w14:paraId="14C3B1EF" w14:textId="77777777" w:rsidR="00FC3EEC" w:rsidRPr="00FC3EEC" w:rsidRDefault="00FC3EEC" w:rsidP="00FD37C3">
      <w:pPr>
        <w:pStyle w:val="RTXRNP"/>
        <w:spacing w:line="240" w:lineRule="auto"/>
        <w:ind w:firstLine="720"/>
        <w:rPr>
          <w:rFonts w:ascii="Palatino Linotype" w:hAnsi="Palatino Linotype"/>
          <w:sz w:val="20"/>
          <w:szCs w:val="20"/>
        </w:rPr>
      </w:pPr>
      <w:r w:rsidRPr="00FC3EEC">
        <w:rPr>
          <w:rFonts w:ascii="Palatino Linotype" w:hAnsi="Palatino Linotype"/>
          <w:sz w:val="20"/>
          <w:szCs w:val="20"/>
        </w:rPr>
        <w:t xml:space="preserve">Congress, pursuant to its commerce power, has enacted a variety of restrictions upon interstate travel. It has taxed air and rail fares and the gasoline needed to power cars and trucks which move interstate. Many of the federal safety regulations of common carriers which cross state lines burden the right to travel. And Congress has prohibited by criminal statute interstate travel for certain purposes. Although these restrictions operate as a limitation upon free interstate movement of persons, their constitutionality appears well settled. As the Court observed in </w:t>
      </w:r>
      <w:r w:rsidRPr="00FC3EEC">
        <w:rPr>
          <w:rStyle w:val="italic"/>
          <w:rFonts w:ascii="Palatino Linotype" w:hAnsi="Palatino Linotype"/>
          <w:iCs w:val="0"/>
          <w:sz w:val="20"/>
          <w:szCs w:val="20"/>
        </w:rPr>
        <w:t>Zemel</w:t>
      </w:r>
      <w:r w:rsidRPr="00FC3EEC">
        <w:rPr>
          <w:rFonts w:ascii="Palatino Linotype" w:hAnsi="Palatino Linotype"/>
          <w:sz w:val="20"/>
          <w:szCs w:val="20"/>
        </w:rPr>
        <w:t xml:space="preserve"> v. </w:t>
      </w:r>
      <w:r w:rsidRPr="00FC3EEC">
        <w:rPr>
          <w:rStyle w:val="italic"/>
          <w:rFonts w:ascii="Palatino Linotype" w:hAnsi="Palatino Linotype"/>
          <w:iCs w:val="0"/>
          <w:sz w:val="20"/>
          <w:szCs w:val="20"/>
        </w:rPr>
        <w:t>Rusk</w:t>
      </w:r>
      <w:r w:rsidRPr="00FC3EEC">
        <w:rPr>
          <w:rFonts w:ascii="Palatino Linotype" w:hAnsi="Palatino Linotype"/>
          <w:sz w:val="20"/>
          <w:szCs w:val="20"/>
        </w:rPr>
        <w:t xml:space="preserve"> (1965), “the fact that a liberty cannot be inhibited without due process of law does not mean that it can under no circumstances be inhibited.”</w:t>
      </w:r>
    </w:p>
    <w:p w14:paraId="328DD4D3" w14:textId="77777777" w:rsidR="00FC3EEC" w:rsidRPr="00FC3EEC" w:rsidRDefault="00FC3EEC" w:rsidP="00FD37C3">
      <w:pPr>
        <w:pStyle w:val="RTXRNP"/>
        <w:spacing w:line="240" w:lineRule="auto"/>
        <w:ind w:firstLine="720"/>
        <w:rPr>
          <w:rFonts w:ascii="Palatino Linotype" w:hAnsi="Palatino Linotype"/>
          <w:sz w:val="20"/>
          <w:szCs w:val="20"/>
        </w:rPr>
      </w:pP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As already noted, travel itself is not prohibited. Any burden inheres solely in the fact that a potential welfare recipient might take into consideration the loss of welfare benefits for a limited period of time if he changes his residence. Not only is this burden of uncertain degree, but appellees themselves assert there is evidence that few welfare recipients have in fact been deterred by residence requirements.</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p>
    <w:p w14:paraId="062A6292" w14:textId="77777777" w:rsidR="00FC3EEC" w:rsidRPr="00FC3EEC" w:rsidRDefault="00FC3EEC" w:rsidP="00FD37C3">
      <w:pPr>
        <w:pStyle w:val="RTXRNP"/>
        <w:spacing w:line="240" w:lineRule="auto"/>
        <w:ind w:firstLine="720"/>
        <w:rPr>
          <w:rFonts w:ascii="Palatino Linotype" w:hAnsi="Palatino Linotype"/>
          <w:sz w:val="20"/>
          <w:szCs w:val="20"/>
        </w:rPr>
      </w:pP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One fact which does emerge with clarity from the legislative history is Congress’ belief that a program of cooperative federalism combining federal aid with enhanced state participation would result in an increase in the scope of welfare programs and level of benefits.</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 xml:space="preserve">Our cases require only that Congress have a rational basis for finding that a chosen regulatory scheme is necessary to the furtherance of interstate commerce. See, </w:t>
      </w:r>
      <w:r w:rsidRPr="00FC3EEC">
        <w:rPr>
          <w:rStyle w:val="italic"/>
          <w:rFonts w:ascii="Palatino Linotype" w:hAnsi="Palatino Linotype"/>
          <w:iCs w:val="0"/>
          <w:sz w:val="20"/>
          <w:szCs w:val="20"/>
        </w:rPr>
        <w:t>e. g., Katzenbach</w:t>
      </w:r>
      <w:r w:rsidRPr="00FC3EEC">
        <w:rPr>
          <w:rFonts w:ascii="Palatino Linotype" w:hAnsi="Palatino Linotype"/>
          <w:sz w:val="20"/>
          <w:szCs w:val="20"/>
        </w:rPr>
        <w:t xml:space="preserve"> v. </w:t>
      </w:r>
      <w:r w:rsidRPr="00FC3EEC">
        <w:rPr>
          <w:rStyle w:val="italic"/>
          <w:rFonts w:ascii="Palatino Linotype" w:hAnsi="Palatino Linotype"/>
          <w:iCs w:val="0"/>
          <w:sz w:val="20"/>
          <w:szCs w:val="20"/>
        </w:rPr>
        <w:t>McClung</w:t>
      </w:r>
      <w:r w:rsidRPr="00FC3EEC">
        <w:rPr>
          <w:rFonts w:ascii="Palatino Linotype" w:hAnsi="Palatino Linotype"/>
          <w:sz w:val="20"/>
          <w:szCs w:val="20"/>
        </w:rPr>
        <w:t xml:space="preserve"> (1964); </w:t>
      </w:r>
      <w:r w:rsidRPr="00FC3EEC">
        <w:rPr>
          <w:rStyle w:val="italic"/>
          <w:rFonts w:ascii="Palatino Linotype" w:hAnsi="Palatino Linotype"/>
          <w:iCs w:val="0"/>
          <w:sz w:val="20"/>
          <w:szCs w:val="20"/>
        </w:rPr>
        <w:t>Wickard</w:t>
      </w:r>
      <w:r w:rsidRPr="00FC3EEC">
        <w:rPr>
          <w:rFonts w:ascii="Palatino Linotype" w:hAnsi="Palatino Linotype"/>
          <w:sz w:val="20"/>
          <w:szCs w:val="20"/>
        </w:rPr>
        <w:t xml:space="preserve"> v. </w:t>
      </w:r>
      <w:r w:rsidRPr="00FC3EEC">
        <w:rPr>
          <w:rStyle w:val="italic"/>
          <w:rFonts w:ascii="Palatino Linotype" w:hAnsi="Palatino Linotype"/>
          <w:iCs w:val="0"/>
          <w:sz w:val="20"/>
          <w:szCs w:val="20"/>
        </w:rPr>
        <w:t>Filburn</w:t>
      </w:r>
      <w:r w:rsidRPr="00FC3EEC">
        <w:rPr>
          <w:rFonts w:ascii="Palatino Linotype" w:hAnsi="Palatino Linotype"/>
          <w:sz w:val="20"/>
          <w:szCs w:val="20"/>
        </w:rPr>
        <w:t xml:space="preserve"> (1942).</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p>
    <w:p w14:paraId="23142C32" w14:textId="77777777" w:rsidR="00FC3EEC" w:rsidRPr="00FC3EEC" w:rsidRDefault="00FC3EEC" w:rsidP="00FD37C3">
      <w:pPr>
        <w:pStyle w:val="RTXRNP"/>
        <w:spacing w:line="240" w:lineRule="auto"/>
        <w:ind w:firstLine="720"/>
        <w:rPr>
          <w:rFonts w:ascii="Palatino Linotype" w:hAnsi="Palatino Linotype"/>
          <w:sz w:val="20"/>
          <w:szCs w:val="20"/>
        </w:rPr>
      </w:pPr>
      <w:r w:rsidRPr="00FC3EEC">
        <w:rPr>
          <w:rFonts w:ascii="Palatino Linotype" w:hAnsi="Palatino Linotype"/>
          <w:sz w:val="20"/>
          <w:szCs w:val="20"/>
        </w:rPr>
        <w:t>Appellees suggest, however, that Congress was not motivated by rational considerations. Residence requirements are imposed, they insist, for the illegitimate purpose of keeping poor people from migrating. Not only does the legislative history point to an opposite conclusion, but it also must be noted that “into the motives which induced members of Congress to [act]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 xml:space="preserve">this Court may not enquire.” </w:t>
      </w:r>
      <w:r w:rsidRPr="00FC3EEC">
        <w:rPr>
          <w:rStyle w:val="italic"/>
          <w:rFonts w:ascii="Palatino Linotype" w:hAnsi="Palatino Linotype"/>
          <w:iCs w:val="0"/>
          <w:sz w:val="20"/>
          <w:szCs w:val="20"/>
        </w:rPr>
        <w:t>Arizona</w:t>
      </w:r>
      <w:r w:rsidRPr="00FC3EEC">
        <w:rPr>
          <w:rFonts w:ascii="Palatino Linotype" w:hAnsi="Palatino Linotype"/>
          <w:sz w:val="20"/>
          <w:szCs w:val="20"/>
        </w:rPr>
        <w:t xml:space="preserve"> v. </w:t>
      </w:r>
      <w:r w:rsidRPr="00FC3EEC">
        <w:rPr>
          <w:rStyle w:val="italic"/>
          <w:rFonts w:ascii="Palatino Linotype" w:hAnsi="Palatino Linotype"/>
          <w:iCs w:val="0"/>
          <w:sz w:val="20"/>
          <w:szCs w:val="20"/>
        </w:rPr>
        <w:t>California</w:t>
      </w:r>
      <w:r w:rsidRPr="00FC3EEC">
        <w:rPr>
          <w:rFonts w:ascii="Palatino Linotype" w:hAnsi="Palatino Linotype"/>
          <w:sz w:val="20"/>
          <w:szCs w:val="20"/>
        </w:rPr>
        <w:t xml:space="preserve"> (1931). We do not attribute an impermissible purpose to Congress if the result would be to strike down an otherwise valid statute.</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Since the congressional decision is rational and the restriction on travel insubstantial, I conclude that residence requirements can be imposed by Congress as an exercise of its power to control interstate commerce consistent with the constitutionally guaranteed right to travel.</w:t>
      </w:r>
    </w:p>
    <w:p w14:paraId="57F033A2" w14:textId="77777777" w:rsidR="00FC3EEC" w:rsidRPr="00FC3EEC" w:rsidRDefault="00FC3EEC" w:rsidP="00FD37C3">
      <w:pPr>
        <w:pStyle w:val="RTXRNP"/>
        <w:spacing w:line="240" w:lineRule="auto"/>
        <w:ind w:firstLine="720"/>
        <w:rPr>
          <w:rFonts w:ascii="Palatino Linotype" w:hAnsi="Palatino Linotype"/>
          <w:sz w:val="20"/>
          <w:szCs w:val="20"/>
        </w:rPr>
      </w:pP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 xml:space="preserve">Assuming that the constitutionality of § 402 (b) is properly treated by the Court, the cryptic footnote in </w:t>
      </w:r>
      <w:r w:rsidRPr="00FC3EEC">
        <w:rPr>
          <w:rStyle w:val="italic"/>
          <w:rFonts w:ascii="Palatino Linotype" w:hAnsi="Palatino Linotype"/>
          <w:iCs w:val="0"/>
          <w:sz w:val="20"/>
          <w:szCs w:val="20"/>
        </w:rPr>
        <w:t>Katzenbach</w:t>
      </w:r>
      <w:r w:rsidRPr="00FC3EEC">
        <w:rPr>
          <w:rFonts w:ascii="Palatino Linotype" w:hAnsi="Palatino Linotype"/>
          <w:sz w:val="20"/>
          <w:szCs w:val="20"/>
        </w:rPr>
        <w:t xml:space="preserve"> v. </w:t>
      </w:r>
      <w:r w:rsidRPr="00FC3EEC">
        <w:rPr>
          <w:rStyle w:val="italic"/>
          <w:rFonts w:ascii="Palatino Linotype" w:hAnsi="Palatino Linotype"/>
          <w:iCs w:val="0"/>
          <w:sz w:val="20"/>
          <w:szCs w:val="20"/>
        </w:rPr>
        <w:t>Morgan</w:t>
      </w:r>
      <w:r w:rsidRPr="00FC3EEC">
        <w:rPr>
          <w:rFonts w:ascii="Palatino Linotype" w:hAnsi="Palatino Linotype"/>
          <w:sz w:val="20"/>
          <w:szCs w:val="20"/>
        </w:rPr>
        <w:t xml:space="preserve">, 384 U.S. 641, 651–652, n. 10 (1966), does not support its conclusion. </w:t>
      </w:r>
      <w:r w:rsidRPr="00FC3EEC">
        <w:rPr>
          <w:rFonts w:ascii="Palatino Linotype" w:hAnsi="Palatino Linotype"/>
          <w:sz w:val="20"/>
          <w:szCs w:val="20"/>
        </w:rPr>
        <w:lastRenderedPageBreak/>
        <w:t>Footnote 10 indicates that Congress is without power to undercut the equal-protection guarantee of racial equality in the guise of implementing the Fourteenth Amendment. I do not mean to suggest otherwise. However, I do not understand this footnote to operate as a limitation upon Congress’ power to further the flow of interstate commerce by reasonable residence requirements. Although the Court dismisses § 402 (b) with the remark that Congress cannot authorize the States to violate equal protection, I believe that the dispositive issue is whether under its commerce power Congress can impose residence requirements.</w:t>
      </w:r>
    </w:p>
    <w:p w14:paraId="34F9B3E8" w14:textId="77777777" w:rsidR="00FC3EEC" w:rsidRPr="00FC3EEC" w:rsidRDefault="00FC3EEC" w:rsidP="00FD37C3">
      <w:pPr>
        <w:pStyle w:val="RTXRNP"/>
        <w:spacing w:line="240" w:lineRule="auto"/>
        <w:ind w:firstLine="720"/>
        <w:rPr>
          <w:rFonts w:ascii="Palatino Linotype" w:hAnsi="Palatino Linotype"/>
          <w:sz w:val="20"/>
          <w:szCs w:val="20"/>
        </w:rPr>
      </w:pPr>
      <w:r w:rsidRPr="00FC3EEC">
        <w:rPr>
          <w:rFonts w:ascii="Palatino Linotype" w:hAnsi="Palatino Linotype"/>
          <w:sz w:val="20"/>
          <w:szCs w:val="20"/>
        </w:rPr>
        <w:t>Nor can I understand the Court’s implication that other state residence requirements such as those employed in determining eligibility to vote do not present constitutional questions.</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If a State would violate equal protection by denying welfare benefits to those who have recently moved interstate, then it would appear to follow that equal protection would also be denied by depriving those who have recently moved interstate of the fundamental right to vote. There is nothing in the opinion of the Court to explain this dichotomy.</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p>
    <w:p w14:paraId="6A778DE4" w14:textId="77777777" w:rsidR="00FC3EEC" w:rsidRPr="00FC3EEC" w:rsidRDefault="00FC3EEC" w:rsidP="00FD37C3">
      <w:pPr>
        <w:pStyle w:val="RTXRNP"/>
        <w:spacing w:line="240" w:lineRule="auto"/>
        <w:ind w:firstLine="720"/>
        <w:rPr>
          <w:rFonts w:ascii="Palatino Linotype" w:hAnsi="Palatino Linotype"/>
          <w:sz w:val="20"/>
          <w:szCs w:val="20"/>
        </w:rPr>
      </w:pPr>
      <w:r w:rsidRPr="00FC3EEC">
        <w:rPr>
          <w:rFonts w:ascii="Palatino Linotype" w:hAnsi="Palatino Linotype"/>
          <w:sz w:val="20"/>
          <w:szCs w:val="20"/>
        </w:rPr>
        <w:t xml:space="preserve">The era is long past when this Court under the rubric of due process has reviewed the wisdom of a congressional decision that interstate commerce will be fostered by the enactment of certain regulations. Speaking for the Court in </w:t>
      </w:r>
      <w:r w:rsidRPr="00FC3EEC">
        <w:rPr>
          <w:rStyle w:val="italic"/>
          <w:rFonts w:ascii="Palatino Linotype" w:hAnsi="Palatino Linotype"/>
          <w:iCs w:val="0"/>
          <w:sz w:val="20"/>
          <w:szCs w:val="20"/>
        </w:rPr>
        <w:t>Helvering</w:t>
      </w:r>
      <w:r w:rsidRPr="00FC3EEC">
        <w:rPr>
          <w:rFonts w:ascii="Palatino Linotype" w:hAnsi="Palatino Linotype"/>
          <w:sz w:val="20"/>
          <w:szCs w:val="20"/>
        </w:rPr>
        <w:t xml:space="preserve"> v. </w:t>
      </w:r>
      <w:r w:rsidRPr="00FC3EEC">
        <w:rPr>
          <w:rStyle w:val="italic"/>
          <w:rFonts w:ascii="Palatino Linotype" w:hAnsi="Palatino Linotype"/>
          <w:iCs w:val="0"/>
          <w:sz w:val="20"/>
          <w:szCs w:val="20"/>
        </w:rPr>
        <w:t>Davis</w:t>
      </w:r>
      <w:r w:rsidRPr="00FC3EEC">
        <w:rPr>
          <w:rFonts w:ascii="Palatino Linotype" w:hAnsi="Palatino Linotype"/>
          <w:sz w:val="20"/>
          <w:szCs w:val="20"/>
        </w:rPr>
        <w:t xml:space="preserve"> (1937), Justice Cardozo said of another section of the Social Security Act:</w:t>
      </w:r>
    </w:p>
    <w:p w14:paraId="078B5007" w14:textId="77777777" w:rsidR="00FC3EEC" w:rsidRPr="00FC3EEC" w:rsidRDefault="00FC3EEC" w:rsidP="00FD37C3">
      <w:pPr>
        <w:pStyle w:val="REXTextract"/>
        <w:spacing w:line="240" w:lineRule="auto"/>
        <w:ind w:firstLine="720"/>
        <w:rPr>
          <w:rFonts w:ascii="Palatino Linotype" w:hAnsi="Palatino Linotype"/>
          <w:sz w:val="20"/>
          <w:szCs w:val="20"/>
        </w:rPr>
      </w:pPr>
      <w:r w:rsidRPr="00FC3EEC">
        <w:rPr>
          <w:rFonts w:ascii="Palatino Linotype" w:hAnsi="Palatino Linotype"/>
          <w:sz w:val="20"/>
          <w:szCs w:val="20"/>
        </w:rPr>
        <w:t>Whether wisdom or unwisdom resides in the scheme of benefits set forth</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is not for us to say. The answer to such inquiries must come from Congress, not the courts. Our concern here, as often, is with power, not with wisdom.</w:t>
      </w:r>
    </w:p>
    <w:p w14:paraId="0689DB1D" w14:textId="77777777" w:rsidR="00FC3EEC" w:rsidRPr="00FC3EEC" w:rsidRDefault="00FC3EEC" w:rsidP="00FD37C3">
      <w:pPr>
        <w:pStyle w:val="RTX1st"/>
        <w:spacing w:line="240" w:lineRule="auto"/>
        <w:ind w:firstLine="720"/>
        <w:rPr>
          <w:rFonts w:ascii="Palatino Linotype" w:hAnsi="Palatino Linotype"/>
          <w:sz w:val="20"/>
          <w:szCs w:val="20"/>
        </w:rPr>
      </w:pPr>
      <w:r w:rsidRPr="00FC3EEC">
        <w:rPr>
          <w:rFonts w:ascii="Palatino Linotype" w:hAnsi="Palatino Linotype"/>
          <w:sz w:val="20"/>
          <w:szCs w:val="20"/>
        </w:rPr>
        <w:t>I am convinced that Congress does have power to enact residence requirements of reasonable duration or to authorize the States to do so and that it has exercised this power.</w:t>
      </w:r>
    </w:p>
    <w:p w14:paraId="71A78E58" w14:textId="77777777" w:rsidR="00FC3EEC" w:rsidRPr="00FC3EEC" w:rsidRDefault="00FC3EEC" w:rsidP="00FD37C3">
      <w:pPr>
        <w:pStyle w:val="RTXRNP"/>
        <w:spacing w:line="240" w:lineRule="auto"/>
        <w:ind w:firstLine="720"/>
        <w:rPr>
          <w:rFonts w:ascii="Palatino Linotype" w:hAnsi="Palatino Linotype"/>
          <w:sz w:val="20"/>
          <w:szCs w:val="20"/>
        </w:rPr>
      </w:pPr>
      <w:r w:rsidRPr="00FC3EEC">
        <w:rPr>
          <w:rFonts w:ascii="Palatino Linotype" w:hAnsi="Palatino Linotype"/>
          <w:sz w:val="20"/>
          <w:szCs w:val="20"/>
        </w:rPr>
        <w:t>The Court’s decision reveals only the top of the iceberg. Lurking beneath are the multitude of situations in which States have imposed residence requirements including eligibility to vote, to engage in certain professions or occupations or to attend a state-supported university. Although the Court takes pains to avoid acknowledging the ramifications of its decision, its implications cannot be ignored. I dissent.</w:t>
      </w:r>
    </w:p>
    <w:p w14:paraId="440CC99E" w14:textId="77777777" w:rsidR="00FC3EEC" w:rsidRDefault="00FC3EEC" w:rsidP="00FD37C3">
      <w:pPr>
        <w:pStyle w:val="RTXRNP"/>
        <w:spacing w:line="240" w:lineRule="auto"/>
        <w:ind w:firstLine="720"/>
        <w:rPr>
          <w:rFonts w:ascii="Palatino Linotype" w:hAnsi="Palatino Linotype"/>
          <w:sz w:val="20"/>
          <w:szCs w:val="20"/>
        </w:rPr>
      </w:pPr>
    </w:p>
    <w:p w14:paraId="399F91C8" w14:textId="77777777" w:rsidR="00FC3EEC" w:rsidRPr="00FC3EEC" w:rsidRDefault="00FC3EEC" w:rsidP="00FD37C3">
      <w:pPr>
        <w:pStyle w:val="RTXRNP"/>
        <w:spacing w:line="240" w:lineRule="auto"/>
        <w:ind w:firstLine="720"/>
        <w:rPr>
          <w:rFonts w:ascii="Palatino Linotype" w:hAnsi="Palatino Linotype"/>
          <w:sz w:val="20"/>
          <w:szCs w:val="20"/>
        </w:rPr>
      </w:pPr>
      <w:r w:rsidRPr="00FC3EEC">
        <w:rPr>
          <w:rFonts w:ascii="Palatino Linotype" w:hAnsi="Palatino Linotype"/>
          <w:sz w:val="20"/>
          <w:szCs w:val="20"/>
        </w:rPr>
        <w:t>JUSTICE HARLAN, dissenting.</w:t>
      </w:r>
    </w:p>
    <w:p w14:paraId="39A88843" w14:textId="77777777" w:rsidR="00FC3EEC" w:rsidRPr="00FC3EEC" w:rsidRDefault="00FC3EEC" w:rsidP="00FD37C3">
      <w:pPr>
        <w:pStyle w:val="RTXRNP"/>
        <w:spacing w:line="240" w:lineRule="auto"/>
        <w:ind w:firstLine="720"/>
        <w:rPr>
          <w:rFonts w:ascii="Palatino Linotype" w:hAnsi="Palatino Linotype"/>
          <w:sz w:val="20"/>
          <w:szCs w:val="20"/>
        </w:rPr>
      </w:pP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p>
    <w:p w14:paraId="11804DAE" w14:textId="77777777" w:rsidR="00FC3EEC" w:rsidRPr="00FC3EEC" w:rsidRDefault="00FC3EEC" w:rsidP="00FD37C3">
      <w:pPr>
        <w:pStyle w:val="RTXRNP"/>
        <w:spacing w:line="240" w:lineRule="auto"/>
        <w:ind w:firstLine="720"/>
        <w:rPr>
          <w:rFonts w:ascii="Palatino Linotype" w:hAnsi="Palatino Linotype"/>
          <w:sz w:val="20"/>
          <w:szCs w:val="20"/>
        </w:rPr>
      </w:pPr>
      <w:r w:rsidRPr="00FC3EEC">
        <w:rPr>
          <w:rFonts w:ascii="Palatino Linotype" w:hAnsi="Palatino Linotype"/>
          <w:sz w:val="20"/>
          <w:szCs w:val="20"/>
        </w:rPr>
        <w:t>In upholding the equal protection argument, the Court has applied an equal protection doctrine of relatively recent vintage: the rule that statutory classifications which either are based upon certain “suspect” criteria or affect “fundamental rights” will be held to deny equal protection unless justified by a “compelling” governmental interest.</w:t>
      </w:r>
    </w:p>
    <w:p w14:paraId="0230CFCD" w14:textId="77777777" w:rsidR="00FC3EEC" w:rsidRPr="00FC3EEC" w:rsidRDefault="00FC3EEC" w:rsidP="00FD37C3">
      <w:pPr>
        <w:pStyle w:val="RTXRNP"/>
        <w:spacing w:line="240" w:lineRule="auto"/>
        <w:ind w:firstLine="720"/>
        <w:rPr>
          <w:rFonts w:ascii="Palatino Linotype" w:hAnsi="Palatino Linotype"/>
          <w:sz w:val="20"/>
          <w:szCs w:val="20"/>
        </w:rPr>
      </w:pPr>
      <w:r w:rsidRPr="00FC3EEC">
        <w:rPr>
          <w:rFonts w:ascii="Palatino Linotype" w:hAnsi="Palatino Linotype"/>
          <w:sz w:val="20"/>
          <w:szCs w:val="20"/>
        </w:rPr>
        <w:t>The “compelling interest” doctrine, which today is articulated more explicitly than ever before, constitutes an increasingly significant exception to the long-established rule that a statute does not deny equal protection if it is rationally related to a legitimate governmental objective.</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p>
    <w:p w14:paraId="25A098CE" w14:textId="77777777" w:rsidR="00FC3EEC" w:rsidRPr="00FC3EEC" w:rsidRDefault="00FC3EEC" w:rsidP="00FD37C3">
      <w:pPr>
        <w:pStyle w:val="RTXRNP"/>
        <w:spacing w:line="240" w:lineRule="auto"/>
        <w:ind w:firstLine="720"/>
        <w:rPr>
          <w:rFonts w:ascii="Palatino Linotype" w:hAnsi="Palatino Linotype"/>
          <w:sz w:val="20"/>
          <w:szCs w:val="20"/>
        </w:rPr>
      </w:pPr>
      <w:r w:rsidRPr="00FC3EEC">
        <w:rPr>
          <w:rFonts w:ascii="Palatino Linotype" w:hAnsi="Palatino Linotype"/>
          <w:sz w:val="20"/>
          <w:szCs w:val="20"/>
        </w:rPr>
        <w:t xml:space="preserve">I think that this branch of the “compelling interest” doctrine is sound when applied to racial classifications, for historically the Equal Protection Clause was largely a product of the desire to eradicate legal distinctions founded upon race. However, I believe that the more recent extensions have been unwise. For the reasons stated in my dissenting opinion in </w:t>
      </w:r>
      <w:r w:rsidRPr="00FC3EEC">
        <w:rPr>
          <w:rStyle w:val="italic"/>
          <w:rFonts w:ascii="Palatino Linotype" w:hAnsi="Palatino Linotype"/>
          <w:iCs w:val="0"/>
          <w:sz w:val="20"/>
          <w:szCs w:val="20"/>
        </w:rPr>
        <w:t>Harper</w:t>
      </w:r>
      <w:r w:rsidRPr="00FC3EEC">
        <w:rPr>
          <w:rFonts w:ascii="Palatino Linotype" w:hAnsi="Palatino Linotype"/>
          <w:sz w:val="20"/>
          <w:szCs w:val="20"/>
        </w:rPr>
        <w:t xml:space="preserve"> v. </w:t>
      </w:r>
      <w:r w:rsidRPr="00FC3EEC">
        <w:rPr>
          <w:rStyle w:val="italic"/>
          <w:rFonts w:ascii="Palatino Linotype" w:hAnsi="Palatino Linotype"/>
          <w:iCs w:val="0"/>
          <w:sz w:val="20"/>
          <w:szCs w:val="20"/>
        </w:rPr>
        <w:t>Virginia Bd. of Elections</w:t>
      </w:r>
      <w:r w:rsidRPr="00FC3EEC">
        <w:rPr>
          <w:rFonts w:ascii="Palatino Linotype" w:hAnsi="Palatino Linotype"/>
          <w:sz w:val="20"/>
          <w:szCs w:val="20"/>
        </w:rPr>
        <w:t xml:space="preserve"> (1966), I do not consider wealth a “suspect” statutory criterion. And when, as in </w:t>
      </w:r>
      <w:r w:rsidRPr="00FC3EEC">
        <w:rPr>
          <w:rStyle w:val="italic"/>
          <w:rFonts w:ascii="Palatino Linotype" w:hAnsi="Palatino Linotype"/>
          <w:iCs w:val="0"/>
          <w:sz w:val="20"/>
          <w:szCs w:val="20"/>
        </w:rPr>
        <w:t>Williams</w:t>
      </w:r>
      <w:r w:rsidRPr="00FC3EEC">
        <w:rPr>
          <w:rFonts w:ascii="Palatino Linotype" w:hAnsi="Palatino Linotype"/>
          <w:sz w:val="20"/>
          <w:szCs w:val="20"/>
        </w:rPr>
        <w:t xml:space="preserve"> v. </w:t>
      </w:r>
      <w:r w:rsidRPr="00FC3EEC">
        <w:rPr>
          <w:rStyle w:val="italic"/>
          <w:rFonts w:ascii="Palatino Linotype" w:hAnsi="Palatino Linotype"/>
          <w:iCs w:val="0"/>
          <w:sz w:val="20"/>
          <w:szCs w:val="20"/>
        </w:rPr>
        <w:t>Rhodes</w:t>
      </w:r>
      <w:r w:rsidRPr="00FC3EEC">
        <w:rPr>
          <w:rFonts w:ascii="Palatino Linotype" w:hAnsi="Palatino Linotype"/>
          <w:sz w:val="20"/>
          <w:szCs w:val="20"/>
        </w:rPr>
        <w:t xml:space="preserve"> (1968), and the present case, a classification is based upon the exercise of rights guaranteed against state infringement by the Federal Constitution, then there is no need for any resort to the Equal Protection Clause; in such instances, this Court may properly and straightforwardly invalidate any undue burden upon those rights under the Fourteenth Amendment’s Due Process Clause.</w:t>
      </w:r>
    </w:p>
    <w:p w14:paraId="1D12EC8F" w14:textId="77777777" w:rsidR="00FC3EEC" w:rsidRPr="00FC3EEC" w:rsidRDefault="00FC3EEC" w:rsidP="00FD37C3">
      <w:pPr>
        <w:pStyle w:val="RTXRNP"/>
        <w:spacing w:line="240" w:lineRule="auto"/>
        <w:ind w:firstLine="720"/>
        <w:rPr>
          <w:rFonts w:ascii="Palatino Linotype" w:hAnsi="Palatino Linotype"/>
          <w:sz w:val="20"/>
          <w:szCs w:val="20"/>
        </w:rPr>
      </w:pPr>
      <w:r w:rsidRPr="00FC3EEC">
        <w:rPr>
          <w:rFonts w:ascii="Palatino Linotype" w:hAnsi="Palatino Linotype"/>
          <w:sz w:val="20"/>
          <w:szCs w:val="20"/>
        </w:rPr>
        <w:t xml:space="preserve">The second branch of the “compelling interest” principle is even more troublesome. For it has </w:t>
      </w:r>
      <w:r w:rsidRPr="00FC3EEC">
        <w:rPr>
          <w:rFonts w:ascii="Palatino Linotype" w:hAnsi="Palatino Linotype"/>
          <w:sz w:val="20"/>
          <w:szCs w:val="20"/>
        </w:rPr>
        <w:lastRenderedPageBreak/>
        <w:t>been held that a statutory classification is subject to the “compelling interest” test if the result of the classification may be to affect a “fundamental right,” regardless of the basis of the classification.</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p>
    <w:p w14:paraId="7A09ECA2" w14:textId="77777777" w:rsidR="00FC3EEC" w:rsidRPr="00FC3EEC" w:rsidRDefault="00FC3EEC" w:rsidP="00FD37C3">
      <w:pPr>
        <w:pStyle w:val="RTXRNP"/>
        <w:spacing w:line="240" w:lineRule="auto"/>
        <w:ind w:firstLine="720"/>
        <w:rPr>
          <w:rFonts w:ascii="Palatino Linotype" w:hAnsi="Palatino Linotype"/>
          <w:spacing w:val="1"/>
          <w:sz w:val="20"/>
          <w:szCs w:val="20"/>
        </w:rPr>
      </w:pPr>
      <w:r w:rsidRPr="00FC3EEC">
        <w:rPr>
          <w:rFonts w:ascii="Palatino Linotype" w:hAnsi="Palatino Linotype"/>
          <w:spacing w:val="1"/>
          <w:sz w:val="20"/>
          <w:szCs w:val="20"/>
        </w:rPr>
        <w:t>I think this branch of the “compelling interest” doctrine particularly unfortunate and unnecessary. It is unfortunate because it creates an exception which threatens to swallow the standard equal protection rule. Virtually every state statute affects important rights. This Court has repeatedly held, for example, that the traditional equal protection standard is applicable to statutory classifications affecting such fundamental matters as the right to pursue a particular occupation, the right to receive greater or smaller wages or to work more or less hours, and the right to inherit property. Rights such as these are in principle indistinguishable from those involved here, and to extend the “compelling interest” rule to all cases in which such rights are affected would go far toward making this Court a “super-legislature.” This branch of the doctrine is also unnecessary. When the right affected is one assured by the Federal Constitution, any infringement can be dealt with under the Due Process Clause. But when a statute affects only matters not mentioned in the Federal Constitution and is not arbitrary or irrational, I must reiterate that I know of nothing which entitles this Court to pick out particular human activities, characterize them as “fundamental,” and give them added protection under an unusually stringent equal protection test.</w:t>
      </w:r>
    </w:p>
    <w:p w14:paraId="69C7F604" w14:textId="77777777" w:rsidR="00FC3EEC" w:rsidRPr="00FC3EEC" w:rsidRDefault="00FC3EEC" w:rsidP="00FD37C3">
      <w:pPr>
        <w:pStyle w:val="RTXRNP"/>
        <w:spacing w:line="240" w:lineRule="auto"/>
        <w:ind w:firstLine="720"/>
        <w:rPr>
          <w:rFonts w:ascii="Palatino Linotype" w:hAnsi="Palatino Linotype"/>
          <w:sz w:val="20"/>
          <w:szCs w:val="20"/>
        </w:rPr>
      </w:pP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p>
    <w:p w14:paraId="3735D856" w14:textId="77777777" w:rsidR="00FC3EEC" w:rsidRPr="00FC3EEC" w:rsidRDefault="00FC3EEC" w:rsidP="00FD37C3">
      <w:pPr>
        <w:pStyle w:val="RTXRNP"/>
        <w:spacing w:line="240" w:lineRule="auto"/>
        <w:ind w:firstLine="720"/>
        <w:rPr>
          <w:rFonts w:ascii="Palatino Linotype" w:hAnsi="Palatino Linotype"/>
          <w:sz w:val="20"/>
          <w:szCs w:val="20"/>
        </w:rPr>
      </w:pP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In light of this undeniable relation of residence requirements to valid legislative aims, it cannot be said that the requirements are “arbitrary” or “lacking in rational justification.” Hence, I can find no objection to these residence requirements under the Equal Protection Clause of the Fourteenth Amendment or under the analogous standard embodied in the Due Process Clause of the Fifth Amendment.</w:t>
      </w:r>
    </w:p>
    <w:p w14:paraId="27B92FC3" w14:textId="77777777" w:rsidR="00FC3EEC" w:rsidRPr="00FC3EEC" w:rsidRDefault="00FC3EEC" w:rsidP="00FD37C3">
      <w:pPr>
        <w:pStyle w:val="RTXRNP"/>
        <w:spacing w:line="240" w:lineRule="auto"/>
        <w:ind w:firstLine="720"/>
        <w:rPr>
          <w:rFonts w:ascii="Palatino Linotype" w:hAnsi="Palatino Linotype"/>
          <w:sz w:val="20"/>
          <w:szCs w:val="20"/>
        </w:rPr>
      </w:pP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p>
    <w:p w14:paraId="066A217D" w14:textId="77777777" w:rsidR="00FC3EEC" w:rsidRPr="00FC3EEC" w:rsidRDefault="00FC3EEC" w:rsidP="00FD37C3">
      <w:pPr>
        <w:pStyle w:val="RTXRNP"/>
        <w:spacing w:line="240" w:lineRule="auto"/>
        <w:ind w:firstLine="720"/>
        <w:rPr>
          <w:rFonts w:ascii="Palatino Linotype" w:hAnsi="Palatino Linotype"/>
          <w:sz w:val="20"/>
          <w:szCs w:val="20"/>
        </w:rPr>
      </w:pP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I do not minimize the importance of the right to travel interstate. However, the impact of residence conditions upon that right is indirect and apparently quite insubstantial. On the other hand, the governmental purposes served by the requirements are legitimate and real, and the residence requirements are clearly suited to their accomplishment.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r w:rsidRPr="00FC3EEC">
        <w:rPr>
          <w:rFonts w:ascii="Palatino Linotype" w:hAnsi="Palatino Linotype"/>
          <w:sz w:val="20"/>
          <w:szCs w:val="20"/>
        </w:rPr>
        <w:t>.</w:t>
      </w:r>
      <w:r w:rsidRPr="00FC3EEC">
        <w:rPr>
          <w:rFonts w:ascii="Palatino Linotype" w:eastAsia="Arial Unicode MS" w:hAnsi="Palatino Linotype" w:cs="Arial Unicode MS"/>
          <w:sz w:val="20"/>
          <w:szCs w:val="20"/>
        </w:rPr>
        <w:t> </w:t>
      </w:r>
    </w:p>
    <w:p w14:paraId="30935D20" w14:textId="77777777" w:rsidR="00423E6C" w:rsidRPr="00FC3EEC" w:rsidRDefault="00FC3EEC" w:rsidP="00FD37C3">
      <w:pPr>
        <w:ind w:firstLine="720"/>
        <w:rPr>
          <w:rFonts w:ascii="Palatino Linotype" w:hAnsi="Palatino Linotype" w:cs="Times New Roman"/>
          <w:sz w:val="20"/>
          <w:szCs w:val="20"/>
        </w:rPr>
      </w:pPr>
      <w:r w:rsidRPr="00FC3EEC">
        <w:rPr>
          <w:rFonts w:ascii="Palatino Linotype" w:hAnsi="Palatino Linotype"/>
          <w:spacing w:val="1"/>
          <w:sz w:val="20"/>
          <w:szCs w:val="20"/>
        </w:rPr>
        <w:t>I conclude with the following observations. Today’s decision, it seems to me, reflects to an unusual degree the current notion that this Court possesses a peculiar wisdom all its own whose capacity to lead this Nation out of its present troubles is contained only by the limits of judicial ingenuity in contriving new constitutional principles to meet each problem as it arises. For anyone who, like myself, believes that it is an essential function of this Court to maintain the constitutional divisions between state and federal authority and among the three branches of the Federal Government, today’s decision is a step in the wrong direction.</w:t>
      </w:r>
      <w:r w:rsidRPr="00FC3EEC">
        <w:rPr>
          <w:rFonts w:ascii="Palatino Linotype" w:eastAsia="Arial Unicode MS" w:hAnsi="Palatino Linotype" w:cs="Arial Unicode MS"/>
          <w:spacing w:val="1"/>
          <w:sz w:val="20"/>
          <w:szCs w:val="20"/>
        </w:rPr>
        <w:t> </w:t>
      </w:r>
      <w:r w:rsidRPr="00FC3EEC">
        <w:rPr>
          <w:rFonts w:ascii="Palatino Linotype" w:hAnsi="Palatino Linotype"/>
          <w:spacing w:val="1"/>
          <w:sz w:val="20"/>
          <w:szCs w:val="20"/>
        </w:rPr>
        <w:t>.</w:t>
      </w:r>
      <w:r w:rsidRPr="00FC3EEC">
        <w:rPr>
          <w:rFonts w:ascii="Palatino Linotype" w:eastAsia="Arial Unicode MS" w:hAnsi="Palatino Linotype" w:cs="Arial Unicode MS"/>
          <w:spacing w:val="1"/>
          <w:sz w:val="20"/>
          <w:szCs w:val="20"/>
        </w:rPr>
        <w:t> </w:t>
      </w:r>
      <w:r w:rsidRPr="00FC3EEC">
        <w:rPr>
          <w:rFonts w:ascii="Palatino Linotype" w:hAnsi="Palatino Linotype"/>
          <w:spacing w:val="1"/>
          <w:sz w:val="20"/>
          <w:szCs w:val="20"/>
        </w:rPr>
        <w:t>.</w:t>
      </w:r>
      <w:r w:rsidRPr="00FC3EEC">
        <w:rPr>
          <w:rFonts w:ascii="Palatino Linotype" w:eastAsia="Arial Unicode MS" w:hAnsi="Palatino Linotype" w:cs="Arial Unicode MS"/>
          <w:spacing w:val="1"/>
          <w:sz w:val="20"/>
          <w:szCs w:val="20"/>
        </w:rPr>
        <w:t> </w:t>
      </w:r>
      <w:r w:rsidRPr="00FC3EEC">
        <w:rPr>
          <w:rFonts w:ascii="Palatino Linotype" w:hAnsi="Palatino Linotype"/>
          <w:spacing w:val="1"/>
          <w:sz w:val="20"/>
          <w:szCs w:val="20"/>
        </w:rPr>
        <w:t>.</w:t>
      </w:r>
    </w:p>
    <w:sectPr w:rsidR="00423E6C" w:rsidRPr="00FC3EE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56724" w14:textId="77777777" w:rsidR="000E2C12" w:rsidRDefault="000E2C12" w:rsidP="004C67B1">
      <w:r>
        <w:separator/>
      </w:r>
    </w:p>
  </w:endnote>
  <w:endnote w:type="continuationSeparator" w:id="0">
    <w:p w14:paraId="64056BEA" w14:textId="77777777" w:rsidR="000E2C12" w:rsidRDefault="000E2C12" w:rsidP="004C6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533716"/>
      <w:docPartObj>
        <w:docPartGallery w:val="Page Numbers (Bottom of Page)"/>
        <w:docPartUnique/>
      </w:docPartObj>
    </w:sdtPr>
    <w:sdtEndPr>
      <w:rPr>
        <w:noProof/>
      </w:rPr>
    </w:sdtEndPr>
    <w:sdtContent>
      <w:p w14:paraId="37D8113F" w14:textId="567C3149" w:rsidR="004C67B1" w:rsidRDefault="004C67B1">
        <w:pPr>
          <w:pStyle w:val="Footer"/>
          <w:jc w:val="center"/>
        </w:pPr>
        <w:r>
          <w:fldChar w:fldCharType="begin"/>
        </w:r>
        <w:r>
          <w:instrText xml:space="preserve"> PAGE   \* MERGEFORMAT </w:instrText>
        </w:r>
        <w:r>
          <w:fldChar w:fldCharType="separate"/>
        </w:r>
        <w:r w:rsidR="00EB0E79">
          <w:rPr>
            <w:noProof/>
          </w:rPr>
          <w:t>1</w:t>
        </w:r>
        <w:r>
          <w:rPr>
            <w:noProof/>
          </w:rPr>
          <w:fldChar w:fldCharType="end"/>
        </w:r>
      </w:p>
    </w:sdtContent>
  </w:sdt>
  <w:p w14:paraId="771A6344" w14:textId="77777777" w:rsidR="004C67B1" w:rsidRDefault="004C6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94077" w14:textId="77777777" w:rsidR="000E2C12" w:rsidRDefault="000E2C12" w:rsidP="004C67B1">
      <w:r>
        <w:separator/>
      </w:r>
    </w:p>
  </w:footnote>
  <w:footnote w:type="continuationSeparator" w:id="0">
    <w:p w14:paraId="28F7DB0A" w14:textId="77777777" w:rsidR="000E2C12" w:rsidRDefault="000E2C12" w:rsidP="004C67B1">
      <w:r>
        <w:continuationSeparator/>
      </w:r>
    </w:p>
  </w:footnote>
  <w:footnote w:id="1">
    <w:p w14:paraId="392A3AC0" w14:textId="77777777" w:rsidR="00FC3EEC" w:rsidRPr="00FC3EEC" w:rsidRDefault="00FC3EEC" w:rsidP="00FC3EEC">
      <w:pPr>
        <w:pStyle w:val="Footnote"/>
        <w:spacing w:line="240" w:lineRule="auto"/>
        <w:ind w:left="245" w:hanging="245"/>
        <w:rPr>
          <w:rFonts w:ascii="Palatino Linotype" w:hAnsi="Palatino Linotype"/>
          <w:sz w:val="20"/>
          <w:szCs w:val="20"/>
        </w:rPr>
      </w:pPr>
      <w:r w:rsidRPr="00FC3EEC">
        <w:rPr>
          <w:rFonts w:ascii="Palatino Linotype" w:hAnsi="Palatino Linotype"/>
          <w:sz w:val="20"/>
          <w:szCs w:val="20"/>
          <w:vertAlign w:val="superscript"/>
        </w:rPr>
        <w:footnoteRef/>
      </w:r>
      <w:r w:rsidRPr="00FC3EEC">
        <w:rPr>
          <w:rFonts w:ascii="Palatino Linotype" w:hAnsi="Palatino Linotype"/>
          <w:sz w:val="20"/>
          <w:szCs w:val="20"/>
        </w:rPr>
        <w:t xml:space="preserve">. This constitutional challenge cannot be answered by the argument that public assistance benefits are a “privilege” and not a “right.” See </w:t>
      </w:r>
      <w:r w:rsidRPr="00FC3EEC">
        <w:rPr>
          <w:rStyle w:val="italic"/>
          <w:rFonts w:ascii="Palatino Linotype" w:hAnsi="Palatino Linotype"/>
          <w:iCs w:val="0"/>
          <w:sz w:val="20"/>
          <w:szCs w:val="20"/>
        </w:rPr>
        <w:t>Sherbert</w:t>
      </w:r>
      <w:r w:rsidRPr="00FC3EEC">
        <w:rPr>
          <w:rFonts w:ascii="Palatino Linotype" w:hAnsi="Palatino Linotype"/>
          <w:sz w:val="20"/>
          <w:szCs w:val="20"/>
        </w:rPr>
        <w:t xml:space="preserve"> v. </w:t>
      </w:r>
      <w:r w:rsidRPr="00FC3EEC">
        <w:rPr>
          <w:rStyle w:val="italic"/>
          <w:rFonts w:ascii="Palatino Linotype" w:hAnsi="Palatino Linotype"/>
          <w:iCs w:val="0"/>
          <w:sz w:val="20"/>
          <w:szCs w:val="20"/>
        </w:rPr>
        <w:t>Verner</w:t>
      </w:r>
      <w:r w:rsidRPr="00FC3EEC">
        <w:rPr>
          <w:rFonts w:ascii="Palatino Linotype" w:hAnsi="Palatino Linotype"/>
          <w:sz w:val="20"/>
          <w:szCs w:val="20"/>
        </w:rPr>
        <w:t xml:space="preserve"> (1963).</w:t>
      </w:r>
    </w:p>
  </w:footnote>
  <w:footnote w:id="2">
    <w:p w14:paraId="241CA1B5" w14:textId="77777777" w:rsidR="00FC3EEC" w:rsidRPr="00FC3EEC" w:rsidRDefault="00FC3EEC" w:rsidP="00FC3EEC">
      <w:pPr>
        <w:pStyle w:val="Footnote"/>
        <w:spacing w:line="240" w:lineRule="auto"/>
        <w:ind w:left="245" w:hanging="245"/>
        <w:rPr>
          <w:rFonts w:ascii="Palatino Linotype" w:hAnsi="Palatino Linotype"/>
          <w:sz w:val="20"/>
          <w:szCs w:val="20"/>
        </w:rPr>
      </w:pPr>
      <w:r w:rsidRPr="00FC3EEC">
        <w:rPr>
          <w:rFonts w:ascii="Palatino Linotype" w:hAnsi="Palatino Linotype"/>
          <w:sz w:val="20"/>
          <w:szCs w:val="20"/>
          <w:vertAlign w:val="superscript"/>
        </w:rPr>
        <w:footnoteRef/>
      </w:r>
      <w:r w:rsidRPr="00FC3EEC">
        <w:rPr>
          <w:rFonts w:ascii="Palatino Linotype" w:hAnsi="Palatino Linotype"/>
          <w:sz w:val="20"/>
          <w:szCs w:val="20"/>
        </w:rPr>
        <w:t xml:space="preserve">. We imply no view of the validity of waiting-period </w:t>
      </w:r>
      <w:r w:rsidRPr="00FC3EEC">
        <w:rPr>
          <w:rStyle w:val="italic"/>
          <w:rFonts w:ascii="Palatino Linotype" w:hAnsi="Palatino Linotype"/>
          <w:iCs w:val="0"/>
          <w:sz w:val="20"/>
          <w:szCs w:val="20"/>
        </w:rPr>
        <w:t>or</w:t>
      </w:r>
      <w:r w:rsidRPr="00FC3EEC">
        <w:rPr>
          <w:rFonts w:ascii="Palatino Linotype" w:hAnsi="Palatino Linotype"/>
          <w:sz w:val="20"/>
          <w:szCs w:val="20"/>
        </w:rPr>
        <w:t xml:space="preserve"> residence requirements determining eligibility to vote, eligibility for tuition-free education, to obtain a license to practice a profession, to hunt or fish, and so forth. Such requirements may promote compelling state interests on the one hand, or, on the other, may not be penalties upon the exercise of the constitutional right of interstate travel.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7B1"/>
    <w:rsid w:val="00014851"/>
    <w:rsid w:val="000162F0"/>
    <w:rsid w:val="000E2C12"/>
    <w:rsid w:val="00133A5A"/>
    <w:rsid w:val="0013447B"/>
    <w:rsid w:val="001D3966"/>
    <w:rsid w:val="001D41CB"/>
    <w:rsid w:val="00404AC2"/>
    <w:rsid w:val="00423E6C"/>
    <w:rsid w:val="004C03B0"/>
    <w:rsid w:val="004C67B1"/>
    <w:rsid w:val="005F40EA"/>
    <w:rsid w:val="00683143"/>
    <w:rsid w:val="00701BB3"/>
    <w:rsid w:val="007601A5"/>
    <w:rsid w:val="00874350"/>
    <w:rsid w:val="009238A2"/>
    <w:rsid w:val="00C04969"/>
    <w:rsid w:val="00CC59BB"/>
    <w:rsid w:val="00CD6AA2"/>
    <w:rsid w:val="00D06A82"/>
    <w:rsid w:val="00D20BFA"/>
    <w:rsid w:val="00DF6B27"/>
    <w:rsid w:val="00EB0E79"/>
    <w:rsid w:val="00FC1E17"/>
    <w:rsid w:val="00FC3EEC"/>
    <w:rsid w:val="00FD3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BD40A4"/>
  <w15:docId w15:val="{1A4ACC51-2487-49AD-8D78-18392F81E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7B1"/>
    <w:pPr>
      <w:tabs>
        <w:tab w:val="center" w:pos="4680"/>
        <w:tab w:val="right" w:pos="9360"/>
      </w:tabs>
    </w:pPr>
  </w:style>
  <w:style w:type="character" w:customStyle="1" w:styleId="HeaderChar">
    <w:name w:val="Header Char"/>
    <w:basedOn w:val="DefaultParagraphFont"/>
    <w:link w:val="Header"/>
    <w:uiPriority w:val="99"/>
    <w:rsid w:val="004C67B1"/>
  </w:style>
  <w:style w:type="paragraph" w:styleId="Footer">
    <w:name w:val="footer"/>
    <w:basedOn w:val="Normal"/>
    <w:link w:val="FooterChar"/>
    <w:uiPriority w:val="99"/>
    <w:unhideWhenUsed/>
    <w:rsid w:val="004C67B1"/>
    <w:pPr>
      <w:tabs>
        <w:tab w:val="center" w:pos="4680"/>
        <w:tab w:val="right" w:pos="9360"/>
      </w:tabs>
    </w:pPr>
  </w:style>
  <w:style w:type="character" w:customStyle="1" w:styleId="FooterChar">
    <w:name w:val="Footer Char"/>
    <w:basedOn w:val="DefaultParagraphFont"/>
    <w:link w:val="Footer"/>
    <w:uiPriority w:val="99"/>
    <w:rsid w:val="004C67B1"/>
  </w:style>
  <w:style w:type="paragraph" w:customStyle="1" w:styleId="RI1st">
    <w:name w:val="RI 1st"/>
    <w:basedOn w:val="Normal"/>
    <w:uiPriority w:val="99"/>
    <w:rsid w:val="00133A5A"/>
    <w:pPr>
      <w:widowControl w:val="0"/>
      <w:tabs>
        <w:tab w:val="left" w:pos="2040"/>
      </w:tabs>
      <w:autoSpaceDE w:val="0"/>
      <w:autoSpaceDN w:val="0"/>
      <w:adjustRightInd w:val="0"/>
      <w:spacing w:line="480" w:lineRule="auto"/>
      <w:jc w:val="both"/>
      <w:textAlignment w:val="center"/>
    </w:pPr>
    <w:rPr>
      <w:rFonts w:ascii="Times New Roman" w:eastAsia="Times New Roman" w:hAnsi="Times New Roman" w:cs="Times New Roman"/>
      <w:i/>
      <w:iCs/>
      <w:color w:val="000000"/>
      <w:sz w:val="24"/>
      <w:szCs w:val="24"/>
    </w:rPr>
  </w:style>
  <w:style w:type="character" w:customStyle="1" w:styleId="italic">
    <w:name w:val="_italic"/>
    <w:uiPriority w:val="99"/>
    <w:rsid w:val="00133A5A"/>
    <w:rPr>
      <w:i/>
      <w:iCs/>
      <w:w w:val="100"/>
    </w:rPr>
  </w:style>
  <w:style w:type="paragraph" w:customStyle="1" w:styleId="RTXRNP">
    <w:name w:val="RTX RNP"/>
    <w:basedOn w:val="Normal"/>
    <w:uiPriority w:val="99"/>
    <w:rsid w:val="00133A5A"/>
    <w:pPr>
      <w:widowControl w:val="0"/>
      <w:tabs>
        <w:tab w:val="left" w:pos="2040"/>
      </w:tabs>
      <w:autoSpaceDE w:val="0"/>
      <w:autoSpaceDN w:val="0"/>
      <w:adjustRightInd w:val="0"/>
      <w:spacing w:line="480" w:lineRule="auto"/>
      <w:ind w:firstLine="240"/>
      <w:jc w:val="both"/>
      <w:textAlignment w:val="center"/>
    </w:pPr>
    <w:rPr>
      <w:rFonts w:ascii="Times New Roman" w:eastAsia="Times New Roman" w:hAnsi="Times New Roman" w:cs="Times New Roman"/>
      <w:color w:val="000000"/>
      <w:sz w:val="24"/>
      <w:szCs w:val="24"/>
    </w:rPr>
  </w:style>
  <w:style w:type="paragraph" w:customStyle="1" w:styleId="RI">
    <w:name w:val="RI"/>
    <w:basedOn w:val="RI1st"/>
    <w:uiPriority w:val="99"/>
    <w:rsid w:val="004C03B0"/>
    <w:pPr>
      <w:ind w:firstLine="240"/>
    </w:pPr>
  </w:style>
  <w:style w:type="paragraph" w:customStyle="1" w:styleId="H4">
    <w:name w:val="H4"/>
    <w:basedOn w:val="Normal"/>
    <w:uiPriority w:val="99"/>
    <w:rsid w:val="00404AC2"/>
    <w:pPr>
      <w:widowControl w:val="0"/>
      <w:autoSpaceDE w:val="0"/>
      <w:autoSpaceDN w:val="0"/>
      <w:adjustRightInd w:val="0"/>
      <w:spacing w:before="250" w:line="480" w:lineRule="auto"/>
      <w:jc w:val="both"/>
      <w:textAlignment w:val="center"/>
    </w:pPr>
    <w:rPr>
      <w:rFonts w:ascii="Times New Roman" w:eastAsia="Times New Roman" w:hAnsi="Times New Roman" w:cs="Times New Roman"/>
      <w:color w:val="000000"/>
      <w:sz w:val="24"/>
      <w:szCs w:val="24"/>
      <w:lang w:val="en-GB"/>
    </w:rPr>
  </w:style>
  <w:style w:type="paragraph" w:customStyle="1" w:styleId="RTX1st">
    <w:name w:val="RTX 1st"/>
    <w:basedOn w:val="RTXRNP"/>
    <w:uiPriority w:val="99"/>
    <w:rsid w:val="00FC3EEC"/>
    <w:pPr>
      <w:tabs>
        <w:tab w:val="clear" w:pos="2040"/>
        <w:tab w:val="left" w:pos="240"/>
      </w:tabs>
      <w:ind w:firstLine="0"/>
    </w:pPr>
  </w:style>
  <w:style w:type="paragraph" w:customStyle="1" w:styleId="REXTextract">
    <w:name w:val="REXT extract"/>
    <w:basedOn w:val="RTXRNP"/>
    <w:uiPriority w:val="99"/>
    <w:rsid w:val="00FC3EEC"/>
    <w:pPr>
      <w:spacing w:before="125" w:after="125"/>
      <w:ind w:left="240" w:firstLine="0"/>
    </w:pPr>
  </w:style>
  <w:style w:type="paragraph" w:customStyle="1" w:styleId="Footnote">
    <w:name w:val="Footnote"/>
    <w:basedOn w:val="Normal"/>
    <w:uiPriority w:val="99"/>
    <w:rsid w:val="00FC3EEC"/>
    <w:pPr>
      <w:widowControl w:val="0"/>
      <w:autoSpaceDE w:val="0"/>
      <w:autoSpaceDN w:val="0"/>
      <w:adjustRightInd w:val="0"/>
      <w:spacing w:line="480" w:lineRule="auto"/>
      <w:ind w:left="240" w:hanging="240"/>
      <w:textAlignment w:val="center"/>
    </w:pPr>
    <w:rPr>
      <w:rFonts w:ascii="Times New Roman" w:eastAsia="Times New Roman" w:hAnsi="Times New Roman" w:cs="Times New 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3963</Words>
  <Characters>22592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2</cp:revision>
  <dcterms:created xsi:type="dcterms:W3CDTF">2018-07-26T01:44:00Z</dcterms:created>
  <dcterms:modified xsi:type="dcterms:W3CDTF">2018-07-26T01:44:00Z</dcterms:modified>
</cp:coreProperties>
</file>