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B484B" w14:textId="77777777" w:rsidR="00197F5F" w:rsidRPr="00EB420B" w:rsidRDefault="00197F5F" w:rsidP="00197F5F">
      <w:pPr>
        <w:jc w:val="center"/>
        <w:rPr>
          <w:rFonts w:ascii="Palatino Linotype" w:hAnsi="Palatino Linotype"/>
          <w:sz w:val="20"/>
          <w:szCs w:val="20"/>
        </w:rPr>
      </w:pPr>
      <w:r w:rsidRPr="00EB420B">
        <w:rPr>
          <w:rFonts w:ascii="Palatino Linotype" w:hAnsi="Palatino Linotype"/>
          <w:sz w:val="20"/>
          <w:szCs w:val="20"/>
        </w:rPr>
        <w:t>AMERICAN CONSTITUTIONALISM</w:t>
      </w:r>
    </w:p>
    <w:p w14:paraId="58D13126" w14:textId="11ABC0A8" w:rsidR="00197F5F" w:rsidRPr="00EB420B" w:rsidRDefault="00197F5F" w:rsidP="00197F5F">
      <w:pPr>
        <w:jc w:val="center"/>
        <w:rPr>
          <w:rFonts w:ascii="Palatino Linotype" w:hAnsi="Palatino Linotype"/>
          <w:sz w:val="20"/>
          <w:szCs w:val="20"/>
        </w:rPr>
      </w:pPr>
      <w:r>
        <w:rPr>
          <w:rFonts w:ascii="Palatino Linotype" w:hAnsi="Palatino Linotype"/>
          <w:sz w:val="20"/>
          <w:szCs w:val="20"/>
        </w:rPr>
        <w:t>VOLUME I</w:t>
      </w:r>
      <w:r w:rsidRPr="00EB420B">
        <w:rPr>
          <w:rFonts w:ascii="Palatino Linotype" w:hAnsi="Palatino Linotype"/>
          <w:sz w:val="20"/>
          <w:szCs w:val="20"/>
        </w:rPr>
        <w:t xml:space="preserve">:  </w:t>
      </w:r>
      <w:r w:rsidR="00F2673C">
        <w:rPr>
          <w:rFonts w:ascii="Palatino Linotype" w:hAnsi="Palatino Linotype"/>
          <w:sz w:val="20"/>
          <w:szCs w:val="20"/>
        </w:rPr>
        <w:t>STRUCTURES OF GOVERNMENT</w:t>
      </w:r>
    </w:p>
    <w:p w14:paraId="6C5758B7" w14:textId="77777777" w:rsidR="00197F5F" w:rsidRPr="00EB420B" w:rsidRDefault="00197F5F" w:rsidP="00197F5F">
      <w:pPr>
        <w:jc w:val="center"/>
        <w:rPr>
          <w:rFonts w:ascii="Palatino Linotype" w:hAnsi="Palatino Linotype"/>
          <w:sz w:val="20"/>
          <w:szCs w:val="20"/>
        </w:rPr>
      </w:pPr>
      <w:r w:rsidRPr="00EB420B">
        <w:rPr>
          <w:rFonts w:ascii="Palatino Linotype" w:hAnsi="Palatino Linotype"/>
          <w:sz w:val="20"/>
          <w:szCs w:val="20"/>
        </w:rPr>
        <w:t>Howard Gillman • Mark A. Graber • Keith E. Whittington</w:t>
      </w:r>
    </w:p>
    <w:p w14:paraId="6DF3637B" w14:textId="77777777" w:rsidR="00197F5F" w:rsidRPr="00EB420B" w:rsidRDefault="00197F5F" w:rsidP="00197F5F">
      <w:pPr>
        <w:jc w:val="center"/>
        <w:rPr>
          <w:rFonts w:ascii="Palatino Linotype" w:hAnsi="Palatino Linotype"/>
          <w:sz w:val="20"/>
          <w:szCs w:val="20"/>
        </w:rPr>
      </w:pPr>
    </w:p>
    <w:p w14:paraId="2D3C6164" w14:textId="77777777" w:rsidR="00197F5F" w:rsidRPr="00EB420B" w:rsidRDefault="00197F5F" w:rsidP="00197F5F">
      <w:pPr>
        <w:jc w:val="center"/>
        <w:rPr>
          <w:rFonts w:ascii="Palatino Linotype" w:hAnsi="Palatino Linotype"/>
          <w:sz w:val="20"/>
          <w:szCs w:val="20"/>
        </w:rPr>
      </w:pPr>
      <w:r w:rsidRPr="00EB420B">
        <w:rPr>
          <w:rFonts w:ascii="Palatino Linotype" w:hAnsi="Palatino Linotype"/>
          <w:sz w:val="20"/>
          <w:szCs w:val="20"/>
        </w:rPr>
        <w:t>Supplementary Material</w:t>
      </w:r>
    </w:p>
    <w:p w14:paraId="00710EFA" w14:textId="77777777" w:rsidR="00197F5F" w:rsidRPr="00EB420B" w:rsidRDefault="00197F5F" w:rsidP="00197F5F">
      <w:pPr>
        <w:jc w:val="center"/>
        <w:rPr>
          <w:rFonts w:ascii="Palatino Linotype" w:hAnsi="Palatino Linotype"/>
          <w:sz w:val="20"/>
          <w:szCs w:val="20"/>
        </w:rPr>
      </w:pPr>
    </w:p>
    <w:p w14:paraId="0C58318A" w14:textId="01EBC4C0" w:rsidR="00197F5F" w:rsidRPr="00EB420B" w:rsidRDefault="00197F5F" w:rsidP="00197F5F">
      <w:pPr>
        <w:jc w:val="center"/>
        <w:rPr>
          <w:rFonts w:ascii="Palatino Linotype" w:hAnsi="Palatino Linotype"/>
          <w:sz w:val="20"/>
          <w:szCs w:val="20"/>
        </w:rPr>
      </w:pPr>
      <w:r w:rsidRPr="00EB420B">
        <w:rPr>
          <w:rFonts w:ascii="Palatino Linotype" w:hAnsi="Palatino Linotype"/>
          <w:sz w:val="20"/>
          <w:szCs w:val="20"/>
        </w:rPr>
        <w:t>Chapter 11:  The Contemporary Er</w:t>
      </w:r>
      <w:r>
        <w:rPr>
          <w:rFonts w:ascii="Palatino Linotype" w:hAnsi="Palatino Linotype"/>
          <w:sz w:val="20"/>
          <w:szCs w:val="20"/>
        </w:rPr>
        <w:t>a – Federalism</w:t>
      </w:r>
      <w:r w:rsidR="00BA7A88">
        <w:rPr>
          <w:rFonts w:ascii="Palatino Linotype" w:hAnsi="Palatino Linotype"/>
          <w:sz w:val="20"/>
          <w:szCs w:val="20"/>
        </w:rPr>
        <w:t>/Intergovernmental Immunity</w:t>
      </w:r>
    </w:p>
    <w:p w14:paraId="2E712EC3" w14:textId="77777777" w:rsidR="00197F5F" w:rsidRPr="00EB420B" w:rsidRDefault="00197F5F" w:rsidP="00197F5F">
      <w:pPr>
        <w:jc w:val="center"/>
        <w:rPr>
          <w:rFonts w:ascii="Palatino Linotype" w:hAnsi="Palatino Linotype"/>
          <w:sz w:val="20"/>
          <w:szCs w:val="20"/>
        </w:rPr>
      </w:pPr>
    </w:p>
    <w:p w14:paraId="471BB396" w14:textId="77777777" w:rsidR="00197F5F" w:rsidRPr="00EB420B" w:rsidRDefault="002714A2"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3EB8D7D1" w:rsidR="00197F5F" w:rsidRPr="00EB420B" w:rsidRDefault="00197F5F" w:rsidP="00197F5F">
      <w:pPr>
        <w:jc w:val="center"/>
        <w:rPr>
          <w:rFonts w:ascii="Palatino Linotype" w:eastAsia="Times New Roman" w:hAnsi="Palatino Linotype" w:cs="Times New Roman"/>
          <w:sz w:val="20"/>
          <w:szCs w:val="20"/>
        </w:rPr>
      </w:pPr>
      <w:r w:rsidRPr="00197F5F">
        <w:rPr>
          <w:rFonts w:ascii="Palatino Linotype" w:eastAsia="Times New Roman" w:hAnsi="Palatino Linotype" w:cs="Times New Roman"/>
          <w:b/>
          <w:sz w:val="20"/>
          <w:szCs w:val="20"/>
        </w:rPr>
        <w:t>Dawson v. Steager</w:t>
      </w:r>
      <w:r w:rsidRPr="00197F5F">
        <w:rPr>
          <w:rFonts w:ascii="Palatino Linotype" w:eastAsia="Times New Roman" w:hAnsi="Palatino Linotype" w:cs="Times New Roman"/>
          <w:sz w:val="20"/>
          <w:szCs w:val="20"/>
        </w:rPr>
        <w:t>, ___ U.S. ___ (2019)</w:t>
      </w:r>
    </w:p>
    <w:p w14:paraId="4E3BC67E" w14:textId="0B32234F" w:rsidR="00197F5F" w:rsidRDefault="002714A2"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Default="00197F5F" w:rsidP="00CC2A34">
      <w:pPr>
        <w:rPr>
          <w:rFonts w:ascii="Palatino Linotype" w:eastAsia="Times New Roman" w:hAnsi="Palatino Linotype" w:cs="Times New Roman"/>
          <w:sz w:val="20"/>
          <w:szCs w:val="20"/>
        </w:rPr>
      </w:pPr>
    </w:p>
    <w:p w14:paraId="2B70BF3D" w14:textId="247094FA" w:rsidR="00C267E7" w:rsidRPr="00197F5F" w:rsidRDefault="00C267E7" w:rsidP="00CC2A34">
      <w:pPr>
        <w:rPr>
          <w:rFonts w:ascii="Palatino Linotype" w:eastAsia="Times New Roman" w:hAnsi="Palatino Linotype" w:cs="Times New Roman"/>
          <w:sz w:val="20"/>
          <w:szCs w:val="20"/>
        </w:rPr>
      </w:pPr>
      <w:r w:rsidRPr="00197F5F">
        <w:rPr>
          <w:rFonts w:ascii="Palatino Linotype" w:eastAsia="Times New Roman" w:hAnsi="Palatino Linotype" w:cs="Times New Roman"/>
          <w:i/>
          <w:iCs/>
          <w:sz w:val="20"/>
          <w:szCs w:val="20"/>
        </w:rPr>
        <w:t xml:space="preserve">James Dawson was a West Virginia resident who spend his career working for the federal government in the U.S. Marshall Service.  When he retired, he discovered that West Virginia taxed his pension benefits even though West Virginia </w:t>
      </w:r>
      <w:r w:rsidR="002714A2">
        <w:rPr>
          <w:rFonts w:ascii="Palatino Linotype" w:eastAsia="Times New Roman" w:hAnsi="Palatino Linotype" w:cs="Times New Roman"/>
          <w:i/>
          <w:iCs/>
          <w:sz w:val="20"/>
          <w:szCs w:val="20"/>
        </w:rPr>
        <w:t>could</w:t>
      </w:r>
      <w:r w:rsidRPr="00197F5F">
        <w:rPr>
          <w:rFonts w:ascii="Palatino Linotype" w:eastAsia="Times New Roman" w:hAnsi="Palatino Linotype" w:cs="Times New Roman"/>
          <w:i/>
          <w:iCs/>
          <w:sz w:val="20"/>
          <w:szCs w:val="20"/>
        </w:rPr>
        <w:t xml:space="preserve"> not tax the pension benefits of retired state law enforcement agents.  Dawson filed a suit against Dale Steager, the West Virginia State Tax Commissioner, claiming that West Virginia tax policy violated </w:t>
      </w:r>
      <w:hyperlink r:id="rId7" w:history="1">
        <w:r w:rsidRPr="00197F5F">
          <w:rPr>
            <w:rStyle w:val="Hyperlink"/>
            <w:rFonts w:ascii="Palatino Linotype" w:hAnsi="Palatino Linotype" w:cs="Times New Roman"/>
            <w:i/>
            <w:iCs/>
            <w:color w:val="auto"/>
            <w:sz w:val="20"/>
            <w:szCs w:val="20"/>
            <w:u w:val="none"/>
            <w:bdr w:val="none" w:sz="0" w:space="0" w:color="auto" w:frame="1"/>
          </w:rPr>
          <w:t>4 U.S.C. § 111</w:t>
        </w:r>
      </w:hyperlink>
      <w:r w:rsidRPr="00197F5F">
        <w:rPr>
          <w:rFonts w:ascii="Palatino Linotype" w:hAnsi="Palatino Linotype" w:cs="Times New Roman"/>
          <w:i/>
          <w:iCs/>
          <w:sz w:val="20"/>
          <w:szCs w:val="20"/>
          <w:shd w:val="clear" w:color="auto" w:fill="FFFFFF"/>
        </w:rPr>
        <w:t>. That provision of the federal code permits state federal employees, but only if federal employees are treated no differently that state employees.  The local state court declared the state tax policy unconstitutional, but that decision was reversed by the Supreme Court of Appeals of West Virginia.  Dawson appealed to the Supreme Court of the United States.</w:t>
      </w:r>
    </w:p>
    <w:p w14:paraId="00D4B274" w14:textId="44F9CE82" w:rsidR="00C267E7" w:rsidRPr="00197F5F" w:rsidRDefault="00C267E7" w:rsidP="00CC2A34">
      <w:pPr>
        <w:rPr>
          <w:rFonts w:ascii="Palatino Linotype" w:hAnsi="Palatino Linotype" w:cs="Times New Roman"/>
          <w:i/>
          <w:iCs/>
          <w:sz w:val="20"/>
          <w:szCs w:val="20"/>
        </w:rPr>
      </w:pPr>
      <w:r w:rsidRPr="00197F5F">
        <w:rPr>
          <w:rFonts w:ascii="Palatino Linotype" w:hAnsi="Palatino Linotype" w:cs="Times New Roman"/>
          <w:i/>
          <w:iCs/>
          <w:sz w:val="20"/>
          <w:szCs w:val="20"/>
          <w:shd w:val="clear" w:color="auto" w:fill="FFFFFF"/>
        </w:rPr>
        <w:tab/>
        <w:t xml:space="preserve">The Supreme Court unanimously </w:t>
      </w:r>
      <w:r w:rsidR="002714A2">
        <w:rPr>
          <w:rFonts w:ascii="Palatino Linotype" w:hAnsi="Palatino Linotype" w:cs="Times New Roman"/>
          <w:i/>
          <w:iCs/>
          <w:sz w:val="20"/>
          <w:szCs w:val="20"/>
          <w:shd w:val="clear" w:color="auto" w:fill="FFFFFF"/>
        </w:rPr>
        <w:t>found</w:t>
      </w:r>
      <w:r w:rsidRPr="00197F5F">
        <w:rPr>
          <w:rFonts w:ascii="Palatino Linotype" w:hAnsi="Palatino Linotype" w:cs="Times New Roman"/>
          <w:i/>
          <w:iCs/>
          <w:sz w:val="20"/>
          <w:szCs w:val="20"/>
          <w:shd w:val="clear" w:color="auto" w:fill="FFFFFF"/>
        </w:rPr>
        <w:t xml:space="preserve"> the West Virginia law illegal.  Justice Neil Gorsuch’s majority opinion declared that states could not tax federal law enforcement agents differently than state law enforcement agents.  Both the brevity of Gorsuch’s opinion and the Court’s unanimity suggest this was an easy case.  Was West Virginia trying to get away with something</w:t>
      </w:r>
      <w:r w:rsidR="002714A2">
        <w:rPr>
          <w:rFonts w:ascii="Palatino Linotype" w:hAnsi="Palatino Linotype" w:cs="Times New Roman"/>
          <w:i/>
          <w:iCs/>
          <w:sz w:val="20"/>
          <w:szCs w:val="20"/>
          <w:shd w:val="clear" w:color="auto" w:fill="FFFFFF"/>
        </w:rPr>
        <w:t>,</w:t>
      </w:r>
      <w:r w:rsidRPr="00197F5F">
        <w:rPr>
          <w:rFonts w:ascii="Palatino Linotype" w:hAnsi="Palatino Linotype" w:cs="Times New Roman"/>
          <w:i/>
          <w:iCs/>
          <w:sz w:val="20"/>
          <w:szCs w:val="20"/>
          <w:shd w:val="clear" w:color="auto" w:fill="FFFFFF"/>
        </w:rPr>
        <w:t xml:space="preserve"> or is the case more complex that t</w:t>
      </w:r>
      <w:r w:rsidR="002714A2">
        <w:rPr>
          <w:rFonts w:ascii="Palatino Linotype" w:hAnsi="Palatino Linotype" w:cs="Times New Roman"/>
          <w:i/>
          <w:iCs/>
          <w:sz w:val="20"/>
          <w:szCs w:val="20"/>
          <w:shd w:val="clear" w:color="auto" w:fill="FFFFFF"/>
        </w:rPr>
        <w:t xml:space="preserve">he Gorsuch opinion suggests? </w:t>
      </w:r>
      <w:r w:rsidRPr="00197F5F">
        <w:rPr>
          <w:rFonts w:ascii="Palatino Linotype" w:hAnsi="Palatino Linotype" w:cs="Times New Roman"/>
          <w:i/>
          <w:iCs/>
          <w:sz w:val="20"/>
          <w:szCs w:val="20"/>
          <w:shd w:val="clear" w:color="auto" w:fill="FFFFFF"/>
        </w:rPr>
        <w:t xml:space="preserve">Although Gorsuch interprets federal law, he indicates that </w:t>
      </w:r>
      <w:hyperlink r:id="rId8" w:history="1">
        <w:r w:rsidRPr="00197F5F">
          <w:rPr>
            <w:rStyle w:val="Hyperlink"/>
            <w:rFonts w:ascii="Palatino Linotype" w:hAnsi="Palatino Linotype" w:cs="Times New Roman"/>
            <w:i/>
            <w:iCs/>
            <w:color w:val="auto"/>
            <w:sz w:val="20"/>
            <w:szCs w:val="20"/>
            <w:u w:val="none"/>
            <w:bdr w:val="none" w:sz="0" w:space="0" w:color="auto" w:frame="1"/>
          </w:rPr>
          <w:t>4 U.S.C. § 111</w:t>
        </w:r>
      </w:hyperlink>
      <w:r w:rsidRPr="00197F5F">
        <w:rPr>
          <w:rFonts w:ascii="Palatino Linotype" w:hAnsi="Palatino Linotype" w:cs="Times New Roman"/>
          <w:i/>
          <w:iCs/>
          <w:sz w:val="20"/>
          <w:szCs w:val="20"/>
          <w:shd w:val="clear" w:color="auto" w:fill="FFFFFF"/>
        </w:rPr>
        <w:t xml:space="preserve"> has roots in </w:t>
      </w:r>
      <w:r w:rsidRPr="00197F5F">
        <w:rPr>
          <w:rFonts w:ascii="Palatino Linotype" w:hAnsi="Palatino Linotype" w:cs="Times New Roman"/>
          <w:sz w:val="20"/>
          <w:szCs w:val="20"/>
          <w:shd w:val="clear" w:color="auto" w:fill="FFFFFF"/>
        </w:rPr>
        <w:t>McCulloch v. Maryland (</w:t>
      </w:r>
      <w:r w:rsidRPr="00197F5F">
        <w:rPr>
          <w:rFonts w:ascii="Palatino Linotype" w:hAnsi="Palatino Linotype" w:cs="Times New Roman"/>
          <w:i/>
          <w:iCs/>
          <w:sz w:val="20"/>
          <w:szCs w:val="20"/>
          <w:shd w:val="clear" w:color="auto" w:fill="FFFFFF"/>
        </w:rPr>
        <w:t xml:space="preserve">1819).  Suppose Congress repealed </w:t>
      </w:r>
      <w:hyperlink r:id="rId9" w:history="1">
        <w:r w:rsidRPr="00197F5F">
          <w:rPr>
            <w:rStyle w:val="Hyperlink"/>
            <w:rFonts w:ascii="Palatino Linotype" w:hAnsi="Palatino Linotype" w:cs="Times New Roman"/>
            <w:i/>
            <w:iCs/>
            <w:color w:val="auto"/>
            <w:sz w:val="20"/>
            <w:szCs w:val="20"/>
            <w:u w:val="none"/>
            <w:bdr w:val="none" w:sz="0" w:space="0" w:color="auto" w:frame="1"/>
          </w:rPr>
          <w:t>4 U.S.C. § 111</w:t>
        </w:r>
      </w:hyperlink>
      <w:r w:rsidR="002714A2">
        <w:rPr>
          <w:rStyle w:val="Hyperlink"/>
          <w:rFonts w:ascii="Palatino Linotype" w:hAnsi="Palatino Linotype" w:cs="Times New Roman"/>
          <w:i/>
          <w:iCs/>
          <w:color w:val="auto"/>
          <w:sz w:val="20"/>
          <w:szCs w:val="20"/>
          <w:u w:val="none"/>
          <w:bdr w:val="none" w:sz="0" w:space="0" w:color="auto" w:frame="1"/>
        </w:rPr>
        <w:t>,</w:t>
      </w:r>
      <w:r w:rsidRPr="00197F5F">
        <w:rPr>
          <w:rFonts w:ascii="Palatino Linotype" w:hAnsi="Palatino Linotype" w:cs="Times New Roman"/>
          <w:i/>
          <w:iCs/>
          <w:sz w:val="20"/>
          <w:szCs w:val="20"/>
          <w:shd w:val="clear" w:color="auto" w:fill="FFFFFF"/>
        </w:rPr>
        <w:t xml:space="preserve"> and Dawson had to make a constitutional argument.  Would the result </w:t>
      </w:r>
      <w:r w:rsidR="002714A2">
        <w:rPr>
          <w:rFonts w:ascii="Palatino Linotype" w:hAnsi="Palatino Linotype" w:cs="Times New Roman"/>
          <w:i/>
          <w:iCs/>
          <w:sz w:val="20"/>
          <w:szCs w:val="20"/>
          <w:shd w:val="clear" w:color="auto" w:fill="FFFFFF"/>
        </w:rPr>
        <w:t xml:space="preserve">had been </w:t>
      </w:r>
      <w:bookmarkStart w:id="0" w:name="_GoBack"/>
      <w:bookmarkEnd w:id="0"/>
      <w:r w:rsidRPr="00197F5F">
        <w:rPr>
          <w:rFonts w:ascii="Palatino Linotype" w:hAnsi="Palatino Linotype" w:cs="Times New Roman"/>
          <w:i/>
          <w:iCs/>
          <w:sz w:val="20"/>
          <w:szCs w:val="20"/>
          <w:shd w:val="clear" w:color="auto" w:fill="FFFFFF"/>
        </w:rPr>
        <w:t>any different?</w:t>
      </w:r>
    </w:p>
    <w:p w14:paraId="26ABC046" w14:textId="77777777" w:rsidR="00C267E7" w:rsidRPr="00197F5F" w:rsidRDefault="00C267E7" w:rsidP="00CC2A34">
      <w:pPr>
        <w:rPr>
          <w:rFonts w:ascii="Palatino Linotype" w:eastAsia="Times New Roman" w:hAnsi="Palatino Linotype" w:cs="Times New Roman"/>
          <w:sz w:val="20"/>
          <w:szCs w:val="20"/>
        </w:rPr>
      </w:pPr>
    </w:p>
    <w:p w14:paraId="16160CA7" w14:textId="3629E8CC" w:rsidR="00CC2A34" w:rsidRPr="00197F5F" w:rsidRDefault="00CC2A34" w:rsidP="00CC2A34">
      <w:pPr>
        <w:rPr>
          <w:rFonts w:ascii="Palatino Linotype" w:eastAsia="Times New Roman" w:hAnsi="Palatino Linotype" w:cs="Times New Roman"/>
          <w:color w:val="3D3D3D"/>
          <w:sz w:val="20"/>
          <w:szCs w:val="20"/>
        </w:rPr>
      </w:pPr>
      <w:r w:rsidRPr="00197F5F">
        <w:rPr>
          <w:rFonts w:ascii="Palatino Linotype" w:eastAsia="Times New Roman" w:hAnsi="Palatino Linotype" w:cs="Times New Roman"/>
          <w:sz w:val="20"/>
          <w:szCs w:val="20"/>
        </w:rPr>
        <w:t xml:space="preserve">Justice </w:t>
      </w:r>
      <w:hyperlink r:id="rId10" w:history="1">
        <w:r w:rsidRPr="00197F5F">
          <w:rPr>
            <w:rFonts w:ascii="Palatino Linotype" w:eastAsia="Times New Roman" w:hAnsi="Palatino Linotype" w:cs="Times New Roman"/>
            <w:sz w:val="20"/>
            <w:szCs w:val="20"/>
          </w:rPr>
          <w:t>GORSUCH</w:t>
        </w:r>
      </w:hyperlink>
      <w:r w:rsidRPr="00197F5F">
        <w:rPr>
          <w:rFonts w:ascii="Palatino Linotype" w:eastAsia="Times New Roman" w:hAnsi="Palatino Linotype" w:cs="Times New Roman"/>
          <w:sz w:val="20"/>
          <w:szCs w:val="20"/>
        </w:rPr>
        <w:t xml:space="preserve"> delivered the </w:t>
      </w:r>
      <w:r w:rsidRPr="00197F5F">
        <w:rPr>
          <w:rFonts w:ascii="Palatino Linotype" w:eastAsia="Times New Roman" w:hAnsi="Palatino Linotype" w:cs="Times New Roman"/>
          <w:color w:val="3D3D3D"/>
          <w:sz w:val="20"/>
          <w:szCs w:val="20"/>
        </w:rPr>
        <w:t>opinion of the Court.</w:t>
      </w:r>
    </w:p>
    <w:p w14:paraId="53008871" w14:textId="77777777" w:rsidR="00CC2A34" w:rsidRPr="00197F5F" w:rsidRDefault="00CC2A34" w:rsidP="00CC2A34">
      <w:pPr>
        <w:rPr>
          <w:rFonts w:ascii="Palatino Linotype" w:eastAsia="Times New Roman" w:hAnsi="Palatino Linotype" w:cs="Times New Roman"/>
          <w:b/>
          <w:bCs/>
          <w:color w:val="3C6848"/>
          <w:sz w:val="20"/>
          <w:szCs w:val="20"/>
          <w:bdr w:val="single" w:sz="12" w:space="0" w:color="86B392" w:frame="1"/>
        </w:rPr>
      </w:pPr>
    </w:p>
    <w:p w14:paraId="30A14C63" w14:textId="77777777" w:rsidR="00CC2A34" w:rsidRPr="00197F5F" w:rsidRDefault="00CC2A34" w:rsidP="00CC2A34">
      <w:pPr>
        <w:rPr>
          <w:rFonts w:ascii="Palatino Linotype" w:eastAsia="Times New Roman" w:hAnsi="Palatino Linotype" w:cs="Times New Roman"/>
          <w:sz w:val="20"/>
          <w:szCs w:val="20"/>
        </w:rPr>
      </w:pPr>
      <w:r w:rsidRPr="00197F5F">
        <w:rPr>
          <w:rFonts w:ascii="Palatino Linotype" w:eastAsia="Times New Roman" w:hAnsi="Palatino Linotype" w:cs="Times New Roman"/>
          <w:sz w:val="20"/>
          <w:szCs w:val="20"/>
        </w:rPr>
        <w:t xml:space="preserve">. . . . </w:t>
      </w:r>
    </w:p>
    <w:p w14:paraId="59F48DA7" w14:textId="4993C502" w:rsidR="00CC2A34" w:rsidRPr="00197F5F" w:rsidRDefault="00CC2A34" w:rsidP="00CC2A34">
      <w:pPr>
        <w:ind w:firstLine="720"/>
        <w:rPr>
          <w:rFonts w:ascii="Palatino Linotype" w:eastAsia="Times New Roman" w:hAnsi="Palatino Linotype" w:cs="Times New Roman"/>
          <w:sz w:val="20"/>
          <w:szCs w:val="20"/>
        </w:rPr>
      </w:pPr>
      <w:r w:rsidRPr="00197F5F">
        <w:rPr>
          <w:rFonts w:ascii="Palatino Linotype" w:eastAsia="Times New Roman" w:hAnsi="Palatino Linotype" w:cs="Times New Roman"/>
          <w:sz w:val="20"/>
          <w:szCs w:val="20"/>
        </w:rPr>
        <w:t xml:space="preserve">In </w:t>
      </w:r>
      <w:r w:rsidRPr="00197F5F">
        <w:rPr>
          <w:rFonts w:ascii="Palatino Linotype" w:eastAsia="Times New Roman" w:hAnsi="Palatino Linotype" w:cs="Times New Roman"/>
          <w:i/>
          <w:iCs/>
          <w:sz w:val="20"/>
          <w:szCs w:val="20"/>
        </w:rPr>
        <w:t>McCulloch v. Maryland</w:t>
      </w:r>
      <w:r w:rsidRPr="00197F5F">
        <w:rPr>
          <w:rFonts w:ascii="Palatino Linotype" w:eastAsia="Times New Roman" w:hAnsi="Palatino Linotype" w:cs="Times New Roman"/>
          <w:sz w:val="20"/>
          <w:szCs w:val="20"/>
        </w:rPr>
        <w:t xml:space="preserve"> (1819), this Court invoked the Constitution’s Supremacy Clause to invalidate Maryland’s effort to levy a tax on the Bank of the United States. Chief Justice Marshall explained that “the power to tax involves the power to destroy,” and he reasoned that if States could tax the Bank they could “defeat” the federal legislative policy establishing it.” For the next few decades, this Court interpreted </w:t>
      </w:r>
      <w:hyperlink r:id="rId11" w:history="1">
        <w:r w:rsidRPr="00197F5F">
          <w:rPr>
            <w:rFonts w:ascii="Palatino Linotype" w:eastAsia="Times New Roman" w:hAnsi="Palatino Linotype" w:cs="Times New Roman"/>
            <w:i/>
            <w:iCs/>
            <w:sz w:val="20"/>
            <w:szCs w:val="20"/>
          </w:rPr>
          <w:t>McCulloch</w:t>
        </w:r>
      </w:hyperlink>
      <w:r w:rsidRPr="00197F5F">
        <w:rPr>
          <w:rFonts w:ascii="Palatino Linotype" w:eastAsia="Times New Roman" w:hAnsi="Palatino Linotype" w:cs="Times New Roman"/>
          <w:sz w:val="20"/>
          <w:szCs w:val="20"/>
        </w:rPr>
        <w:t xml:space="preserve"> “to bar most taxation by one sovereign of the employees of another.” In time, though, the Court softened its stance and upheld neutral income taxes—those that treated federal and state employees with an even hand. So eventually the intergovernmental tax immunity doctrine came to be understood to bar only </w:t>
      </w:r>
      <w:r w:rsidRPr="00197F5F">
        <w:rPr>
          <w:rFonts w:ascii="Palatino Linotype" w:eastAsia="Times New Roman" w:hAnsi="Palatino Linotype" w:cs="Times New Roman"/>
          <w:i/>
          <w:iCs/>
          <w:sz w:val="20"/>
          <w:szCs w:val="20"/>
        </w:rPr>
        <w:t>discriminatory</w:t>
      </w:r>
      <w:r w:rsidRPr="00197F5F">
        <w:rPr>
          <w:rFonts w:ascii="Palatino Linotype" w:eastAsia="Times New Roman" w:hAnsi="Palatino Linotype" w:cs="Times New Roman"/>
          <w:sz w:val="20"/>
          <w:szCs w:val="20"/>
        </w:rPr>
        <w:t xml:space="preserve"> taxes. It was this understanding that Congress “consciously ... drew upon” when adopting </w:t>
      </w:r>
      <w:hyperlink r:id="rId12" w:history="1">
        <w:r w:rsidRPr="00197F5F">
          <w:rPr>
            <w:rFonts w:ascii="Palatino Linotype" w:eastAsia="Times New Roman" w:hAnsi="Palatino Linotype" w:cs="Times New Roman"/>
            <w:sz w:val="20"/>
            <w:szCs w:val="20"/>
          </w:rPr>
          <w:t>§ 111</w:t>
        </w:r>
      </w:hyperlink>
      <w:r w:rsidRPr="00197F5F">
        <w:rPr>
          <w:rFonts w:ascii="Palatino Linotype" w:eastAsia="Times New Roman" w:hAnsi="Palatino Linotype" w:cs="Times New Roman"/>
          <w:sz w:val="20"/>
          <w:szCs w:val="20"/>
        </w:rPr>
        <w:t xml:space="preserve"> in 1939..</w:t>
      </w:r>
    </w:p>
    <w:p w14:paraId="638CC31A" w14:textId="77777777" w:rsidR="00CC2A34" w:rsidRPr="00197F5F" w:rsidRDefault="00CC2A34" w:rsidP="00CC2A34">
      <w:pPr>
        <w:ind w:firstLine="720"/>
        <w:rPr>
          <w:rFonts w:ascii="Palatino Linotype" w:eastAsia="Times New Roman" w:hAnsi="Palatino Linotype" w:cs="Times New Roman"/>
          <w:sz w:val="20"/>
          <w:szCs w:val="20"/>
        </w:rPr>
      </w:pPr>
      <w:r w:rsidRPr="00197F5F">
        <w:rPr>
          <w:rFonts w:ascii="Palatino Linotype" w:eastAsia="Times New Roman" w:hAnsi="Palatino Linotype" w:cs="Times New Roman"/>
          <w:sz w:val="20"/>
          <w:szCs w:val="20"/>
        </w:rPr>
        <w:t>. . . .</w:t>
      </w:r>
    </w:p>
    <w:p w14:paraId="4E486080" w14:textId="58ACA836" w:rsidR="00CC2A34" w:rsidRPr="00197F5F" w:rsidRDefault="00CC2A34" w:rsidP="00CC2A34">
      <w:pPr>
        <w:ind w:firstLine="720"/>
        <w:rPr>
          <w:rFonts w:ascii="Palatino Linotype" w:eastAsia="Times New Roman" w:hAnsi="Palatino Linotype" w:cs="Times New Roman"/>
          <w:sz w:val="20"/>
          <w:szCs w:val="20"/>
        </w:rPr>
      </w:pPr>
      <w:r w:rsidRPr="00197F5F">
        <w:rPr>
          <w:rFonts w:ascii="Palatino Linotype" w:eastAsia="Times New Roman" w:hAnsi="Palatino Linotype" w:cs="Times New Roman"/>
          <w:sz w:val="20"/>
          <w:szCs w:val="20"/>
        </w:rPr>
        <w:t xml:space="preserve">. . . .  A State violates </w:t>
      </w:r>
      <w:hyperlink r:id="rId13" w:history="1">
        <w:r w:rsidRPr="00197F5F">
          <w:rPr>
            <w:rFonts w:ascii="Palatino Linotype" w:eastAsia="Times New Roman" w:hAnsi="Palatino Linotype" w:cs="Times New Roman"/>
            <w:sz w:val="20"/>
            <w:szCs w:val="20"/>
          </w:rPr>
          <w:t>§ 111</w:t>
        </w:r>
      </w:hyperlink>
      <w:r w:rsidRPr="00197F5F">
        <w:rPr>
          <w:rFonts w:ascii="Palatino Linotype" w:eastAsia="Times New Roman" w:hAnsi="Palatino Linotype" w:cs="Times New Roman"/>
          <w:sz w:val="20"/>
          <w:szCs w:val="20"/>
        </w:rPr>
        <w:t xml:space="preserve"> when it treats retired state employees more favorably than retired federal employees and no “significant differences between the two classes” justify the differential treatment.. Here, West Virginia expressly affords state law enforcement retirees a tax benefit that federal retirees cannot receive. And before us everyone accepts the trial court’s factual finding that there </w:t>
      </w:r>
      <w:r w:rsidRPr="00197F5F">
        <w:rPr>
          <w:rFonts w:ascii="Palatino Linotype" w:eastAsia="Times New Roman" w:hAnsi="Palatino Linotype" w:cs="Times New Roman"/>
          <w:b/>
          <w:bCs/>
          <w:sz w:val="20"/>
          <w:szCs w:val="20"/>
          <w:bdr w:val="single" w:sz="12" w:space="0" w:color="86B392" w:frame="1"/>
        </w:rPr>
        <w:object w:dxaOrig="9360" w:dyaOrig="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14" o:title=""/>
          </v:shape>
          <w:control r:id="rId15" w:name="DefaultOcxName3" w:shapeid="_x0000_i1030"/>
        </w:object>
      </w:r>
      <w:r w:rsidRPr="00197F5F">
        <w:rPr>
          <w:rFonts w:ascii="Palatino Linotype" w:eastAsia="Times New Roman" w:hAnsi="Palatino Linotype" w:cs="Times New Roman"/>
          <w:sz w:val="20"/>
          <w:szCs w:val="20"/>
        </w:rPr>
        <w:t xml:space="preserve">aren’t any “significant differences” between Mr. Dawson’s former job responsibilities and those of the tax-exempt state law enforcement retirees. Given all this, we have little difficulty concluding that West </w:t>
      </w:r>
      <w:r w:rsidRPr="00197F5F">
        <w:rPr>
          <w:rFonts w:ascii="Palatino Linotype" w:eastAsia="Times New Roman" w:hAnsi="Palatino Linotype" w:cs="Times New Roman"/>
          <w:sz w:val="20"/>
          <w:szCs w:val="20"/>
        </w:rPr>
        <w:lastRenderedPageBreak/>
        <w:t xml:space="preserve">Virginia’s law unlawfully “discriminate[s]” against Mr. Dawson “because of the source of [his] pay or compensation,” just as </w:t>
      </w:r>
      <w:hyperlink r:id="rId16" w:history="1">
        <w:r w:rsidRPr="00197F5F">
          <w:rPr>
            <w:rFonts w:ascii="Palatino Linotype" w:eastAsia="Times New Roman" w:hAnsi="Palatino Linotype" w:cs="Times New Roman"/>
            <w:sz w:val="20"/>
            <w:szCs w:val="20"/>
          </w:rPr>
          <w:t>§ 111</w:t>
        </w:r>
      </w:hyperlink>
      <w:r w:rsidRPr="00197F5F">
        <w:rPr>
          <w:rFonts w:ascii="Palatino Linotype" w:eastAsia="Times New Roman" w:hAnsi="Palatino Linotype" w:cs="Times New Roman"/>
          <w:sz w:val="20"/>
          <w:szCs w:val="20"/>
        </w:rPr>
        <w:t xml:space="preserve"> forbids.</w:t>
      </w:r>
    </w:p>
    <w:p w14:paraId="2C00D482" w14:textId="77777777" w:rsidR="00CC2A34" w:rsidRPr="00197F5F" w:rsidRDefault="00CC2A34" w:rsidP="00CC2A34">
      <w:pPr>
        <w:ind w:firstLine="720"/>
        <w:rPr>
          <w:rFonts w:ascii="Palatino Linotype" w:eastAsia="Times New Roman" w:hAnsi="Palatino Linotype" w:cs="Times New Roman"/>
          <w:sz w:val="20"/>
          <w:szCs w:val="20"/>
        </w:rPr>
      </w:pPr>
      <w:r w:rsidRPr="00197F5F">
        <w:rPr>
          <w:rFonts w:ascii="Palatino Linotype" w:eastAsia="Times New Roman" w:hAnsi="Palatino Linotype" w:cs="Times New Roman"/>
          <w:sz w:val="20"/>
          <w:szCs w:val="20"/>
        </w:rPr>
        <w:t xml:space="preserve">. . . . </w:t>
      </w:r>
    </w:p>
    <w:p w14:paraId="235DA3E0" w14:textId="1AC8D10E" w:rsidR="00CC2A34" w:rsidRPr="00197F5F" w:rsidRDefault="00CC2A34" w:rsidP="00CC2A34">
      <w:pPr>
        <w:ind w:firstLine="720"/>
        <w:rPr>
          <w:rFonts w:ascii="Palatino Linotype" w:eastAsia="Times New Roman" w:hAnsi="Palatino Linotype" w:cs="Times New Roman"/>
          <w:sz w:val="20"/>
          <w:szCs w:val="20"/>
        </w:rPr>
      </w:pPr>
      <w:r w:rsidRPr="00197F5F">
        <w:rPr>
          <w:rFonts w:ascii="Palatino Linotype" w:eastAsia="Times New Roman" w:hAnsi="Palatino Linotype" w:cs="Times New Roman"/>
          <w:sz w:val="20"/>
          <w:szCs w:val="20"/>
        </w:rPr>
        <w:t xml:space="preserve">. . . .  </w:t>
      </w:r>
      <w:hyperlink r:id="rId17" w:history="1">
        <w:r w:rsidRPr="00197F5F">
          <w:rPr>
            <w:rFonts w:ascii="Palatino Linotype" w:eastAsia="Times New Roman" w:hAnsi="Palatino Linotype" w:cs="Times New Roman"/>
            <w:sz w:val="20"/>
            <w:szCs w:val="20"/>
          </w:rPr>
          <w:t>Section 111</w:t>
        </w:r>
      </w:hyperlink>
      <w:r w:rsidRPr="00197F5F">
        <w:rPr>
          <w:rFonts w:ascii="Palatino Linotype" w:eastAsia="Times New Roman" w:hAnsi="Palatino Linotype" w:cs="Times New Roman"/>
          <w:sz w:val="20"/>
          <w:szCs w:val="20"/>
        </w:rPr>
        <w:t xml:space="preserve"> disallows </w:t>
      </w:r>
      <w:r w:rsidRPr="00197F5F">
        <w:rPr>
          <w:rFonts w:ascii="Palatino Linotype" w:eastAsia="Times New Roman" w:hAnsi="Palatino Linotype" w:cs="Times New Roman"/>
          <w:i/>
          <w:iCs/>
          <w:sz w:val="20"/>
          <w:szCs w:val="20"/>
        </w:rPr>
        <w:t xml:space="preserve">any </w:t>
      </w:r>
      <w:r w:rsidRPr="00197F5F">
        <w:rPr>
          <w:rFonts w:ascii="Palatino Linotype" w:eastAsia="Times New Roman" w:hAnsi="Palatino Linotype" w:cs="Times New Roman"/>
          <w:sz w:val="20"/>
          <w:szCs w:val="20"/>
        </w:rPr>
        <w:t xml:space="preserve">state tax that discriminates against a federal officer or employee—not just those that seem to us especially cumbersome. . . . That’s not to say the breadth or narrowness of a state tax exemption is irrelevant. Under </w:t>
      </w:r>
      <w:hyperlink r:id="rId18" w:history="1">
        <w:r w:rsidRPr="00197F5F">
          <w:rPr>
            <w:rFonts w:ascii="Palatino Linotype" w:eastAsia="Times New Roman" w:hAnsi="Palatino Linotype" w:cs="Times New Roman"/>
            <w:sz w:val="20"/>
            <w:szCs w:val="20"/>
          </w:rPr>
          <w:t>§ 111</w:t>
        </w:r>
      </w:hyperlink>
      <w:r w:rsidRPr="00197F5F">
        <w:rPr>
          <w:rFonts w:ascii="Palatino Linotype" w:eastAsia="Times New Roman" w:hAnsi="Palatino Linotype" w:cs="Times New Roman"/>
          <w:sz w:val="20"/>
          <w:szCs w:val="20"/>
        </w:rPr>
        <w:t xml:space="preserve">, the scope of a State’s tax exemption may affect the scope of its resulting duties. So if a State exempts from taxation all state employees, it must likewise exempt all federal employees. Conversely, if the State decides to exempt only a narrow subset of state retirees, the State can comply with </w:t>
      </w:r>
      <w:hyperlink r:id="rId19" w:history="1">
        <w:r w:rsidRPr="00197F5F">
          <w:rPr>
            <w:rFonts w:ascii="Palatino Linotype" w:eastAsia="Times New Roman" w:hAnsi="Palatino Linotype" w:cs="Times New Roman"/>
            <w:sz w:val="20"/>
            <w:szCs w:val="20"/>
          </w:rPr>
          <w:t>§ 111</w:t>
        </w:r>
      </w:hyperlink>
      <w:r w:rsidRPr="00197F5F">
        <w:rPr>
          <w:rFonts w:ascii="Palatino Linotype" w:eastAsia="Times New Roman" w:hAnsi="Palatino Linotype" w:cs="Times New Roman"/>
          <w:sz w:val="20"/>
          <w:szCs w:val="20"/>
        </w:rPr>
        <w:t xml:space="preserve"> by exempting only the comparable class of federal retirees. But the narrowness of a discriminatory state tax law has never been enough to render it necessarily lawful.</w:t>
      </w:r>
    </w:p>
    <w:p w14:paraId="5A648CB5" w14:textId="0AC79C38" w:rsidR="00CC2A34" w:rsidRPr="00197F5F" w:rsidRDefault="00CC2A34" w:rsidP="00CC2A34">
      <w:pPr>
        <w:ind w:firstLine="720"/>
        <w:rPr>
          <w:rFonts w:ascii="Palatino Linotype" w:eastAsia="Times New Roman" w:hAnsi="Palatino Linotype" w:cs="Times New Roman"/>
          <w:sz w:val="20"/>
          <w:szCs w:val="20"/>
        </w:rPr>
      </w:pPr>
      <w:r w:rsidRPr="00197F5F">
        <w:rPr>
          <w:rFonts w:ascii="Palatino Linotype" w:eastAsia="Times New Roman" w:hAnsi="Palatino Linotype" w:cs="Times New Roman"/>
          <w:sz w:val="20"/>
          <w:szCs w:val="20"/>
        </w:rPr>
        <w:t xml:space="preserve">. . . . Echoing the West Virginia Supreme Court of Appeals, the State argues that we should uphold its statute because it isn’t intended to harm federal retirees, only to help certain state retirees. But under the terms of </w:t>
      </w:r>
      <w:hyperlink r:id="rId20" w:history="1">
        <w:r w:rsidRPr="00197F5F">
          <w:rPr>
            <w:rFonts w:ascii="Palatino Linotype" w:eastAsia="Times New Roman" w:hAnsi="Palatino Linotype" w:cs="Times New Roman"/>
            <w:sz w:val="20"/>
            <w:szCs w:val="20"/>
          </w:rPr>
          <w:t>§ 111</w:t>
        </w:r>
      </w:hyperlink>
      <w:r w:rsidRPr="00197F5F">
        <w:rPr>
          <w:rFonts w:ascii="Palatino Linotype" w:eastAsia="Times New Roman" w:hAnsi="Palatino Linotype" w:cs="Times New Roman"/>
          <w:sz w:val="20"/>
          <w:szCs w:val="20"/>
        </w:rPr>
        <w:t xml:space="preserve">, the “State’s interest in adopting the discriminatory tax, no matter how substantial, is simply irrelevant.”  </w:t>
      </w:r>
    </w:p>
    <w:p w14:paraId="5F293B88" w14:textId="77777777" w:rsidR="00CC2A34" w:rsidRPr="00197F5F" w:rsidRDefault="00CC2A34" w:rsidP="00CC2A34">
      <w:pPr>
        <w:ind w:firstLine="720"/>
        <w:rPr>
          <w:rFonts w:ascii="Palatino Linotype" w:eastAsia="Times New Roman" w:hAnsi="Palatino Linotype" w:cs="Times New Roman"/>
          <w:sz w:val="20"/>
          <w:szCs w:val="20"/>
        </w:rPr>
      </w:pPr>
      <w:r w:rsidRPr="00197F5F">
        <w:rPr>
          <w:rFonts w:ascii="Palatino Linotype" w:eastAsia="Times New Roman" w:hAnsi="Palatino Linotype" w:cs="Times New Roman"/>
          <w:sz w:val="20"/>
          <w:szCs w:val="20"/>
        </w:rPr>
        <w:t>. . . .</w:t>
      </w:r>
    </w:p>
    <w:p w14:paraId="13B2CE71" w14:textId="251C7664" w:rsidR="00CC2A34" w:rsidRPr="00197F5F" w:rsidRDefault="00CC2A34" w:rsidP="00CC2A34">
      <w:pPr>
        <w:ind w:firstLine="720"/>
        <w:rPr>
          <w:rFonts w:ascii="Palatino Linotype" w:eastAsia="Times New Roman" w:hAnsi="Palatino Linotype" w:cs="Times New Roman"/>
          <w:sz w:val="20"/>
          <w:szCs w:val="20"/>
        </w:rPr>
      </w:pPr>
      <w:r w:rsidRPr="00197F5F">
        <w:rPr>
          <w:rFonts w:ascii="Palatino Linotype" w:eastAsia="Times New Roman" w:hAnsi="Palatino Linotype" w:cs="Times New Roman"/>
          <w:sz w:val="20"/>
          <w:szCs w:val="20"/>
        </w:rPr>
        <w:t>. . . . Whether a State treats similarly situated state and federal employees differently depends on how the State has defined the favored class. So if the State defines the favored class by reference to job responsibilities, a similarly situated federal worker will be one who performs comparable duties. But if the State defines the class by reference to some other criteria, our attention should naturally turn there. If a State gives a tax benefit to all retirees over a certain age, for example, the comparable federal retiree would be someone who is also over that age.</w:t>
      </w:r>
    </w:p>
    <w:p w14:paraId="4DA6747B" w14:textId="0CE79501" w:rsidR="00CC2A34" w:rsidRPr="00197F5F" w:rsidRDefault="00CC2A34" w:rsidP="00CC2A34">
      <w:pPr>
        <w:ind w:firstLine="720"/>
        <w:rPr>
          <w:rFonts w:ascii="Palatino Linotype" w:eastAsia="Times New Roman" w:hAnsi="Palatino Linotype" w:cs="Times New Roman"/>
          <w:sz w:val="20"/>
          <w:szCs w:val="20"/>
        </w:rPr>
      </w:pPr>
      <w:r w:rsidRPr="00197F5F">
        <w:rPr>
          <w:rFonts w:ascii="Palatino Linotype" w:eastAsia="Times New Roman" w:hAnsi="Palatino Linotype" w:cs="Times New Roman"/>
          <w:sz w:val="20"/>
          <w:szCs w:val="20"/>
        </w:rPr>
        <w:t xml:space="preserve">So how has West Virginia chosen to define the favored class in this case? The state statute singles out for preferential treatment retirement plans associated with West Virginia police, firefighters, and deputy sheriffs. The distinguishing characteristic of these plans is the nature of the jobs previously held by retirees who may participate in them; thus, a similarly situated federal retiree is someone who had similar job responsibilities to a state police officer, firefighter, or deputy sheriff. The state trial court correctly focused on this point of comparison and found no “significant differences” between Mr. Dawson’s former job responsibilities as a U. S. Marshal and those of the state law enforcement retirees who qualify for the tax exemption. . . . </w:t>
      </w:r>
    </w:p>
    <w:p w14:paraId="0D1088E8" w14:textId="79478378" w:rsidR="00CC2A34" w:rsidRPr="00197F5F" w:rsidRDefault="00CC2A34" w:rsidP="00CC2A34">
      <w:pPr>
        <w:ind w:firstLine="720"/>
        <w:rPr>
          <w:rFonts w:ascii="Palatino Linotype" w:eastAsia="Times New Roman" w:hAnsi="Palatino Linotype" w:cs="Times New Roman"/>
          <w:sz w:val="20"/>
          <w:szCs w:val="20"/>
        </w:rPr>
      </w:pPr>
      <w:r w:rsidRPr="00197F5F">
        <w:rPr>
          <w:rFonts w:ascii="Palatino Linotype" w:eastAsia="Times New Roman" w:hAnsi="Palatino Linotype" w:cs="Times New Roman"/>
          <w:sz w:val="20"/>
          <w:szCs w:val="20"/>
        </w:rPr>
        <w:t xml:space="preserve">. . . . Under </w:t>
      </w:r>
      <w:hyperlink r:id="rId21" w:history="1">
        <w:r w:rsidRPr="00197F5F">
          <w:rPr>
            <w:rFonts w:ascii="Palatino Linotype" w:eastAsia="Times New Roman" w:hAnsi="Palatino Linotype" w:cs="Times New Roman"/>
            <w:sz w:val="20"/>
            <w:szCs w:val="20"/>
          </w:rPr>
          <w:t>§ 111</w:t>
        </w:r>
      </w:hyperlink>
      <w:r w:rsidRPr="00197F5F">
        <w:rPr>
          <w:rFonts w:ascii="Palatino Linotype" w:eastAsia="Times New Roman" w:hAnsi="Palatino Linotype" w:cs="Times New Roman"/>
          <w:sz w:val="20"/>
          <w:szCs w:val="20"/>
        </w:rPr>
        <w:t xml:space="preserve">, the relevant question isn’t whether federal retirees are similarly situated to state retirees who </w:t>
      </w:r>
      <w:r w:rsidRPr="00197F5F">
        <w:rPr>
          <w:rFonts w:ascii="Palatino Linotype" w:eastAsia="Times New Roman" w:hAnsi="Palatino Linotype" w:cs="Times New Roman"/>
          <w:i/>
          <w:iCs/>
          <w:sz w:val="20"/>
          <w:szCs w:val="20"/>
        </w:rPr>
        <w:t>don’t</w:t>
      </w:r>
      <w:r w:rsidRPr="00197F5F">
        <w:rPr>
          <w:rFonts w:ascii="Palatino Linotype" w:eastAsia="Times New Roman" w:hAnsi="Palatino Linotype" w:cs="Times New Roman"/>
          <w:sz w:val="20"/>
          <w:szCs w:val="20"/>
        </w:rPr>
        <w:t xml:space="preserve"> receive a tax benefit; the relevant question is whether they are similarly situated to those who </w:t>
      </w:r>
      <w:r w:rsidRPr="00197F5F">
        <w:rPr>
          <w:rFonts w:ascii="Palatino Linotype" w:eastAsia="Times New Roman" w:hAnsi="Palatino Linotype" w:cs="Times New Roman"/>
          <w:i/>
          <w:iCs/>
          <w:sz w:val="20"/>
          <w:szCs w:val="20"/>
        </w:rPr>
        <w:t>do.</w:t>
      </w:r>
      <w:r w:rsidRPr="00197F5F">
        <w:rPr>
          <w:rFonts w:ascii="Palatino Linotype" w:eastAsia="Times New Roman" w:hAnsi="Palatino Linotype" w:cs="Times New Roman"/>
          <w:sz w:val="20"/>
          <w:szCs w:val="20"/>
        </w:rPr>
        <w:t xml:space="preserve"> . . . .While the State was free to draw whatever classifications it wished, the statute it enacted does not classify persons or groups based on the relative generosity of their pension benefits. Instead, it extends a special tax benefit to retirees who served as West Virginia police officers, firefighters, or deputy sheriffs—and it categorically denies that same benefit to retirees who served in similar federal law enforcement positions. Even if Mr. Dawson’s pension turned out to be </w:t>
      </w:r>
      <w:r w:rsidRPr="00197F5F">
        <w:rPr>
          <w:rFonts w:ascii="Palatino Linotype" w:eastAsia="Times New Roman" w:hAnsi="Palatino Linotype" w:cs="Times New Roman"/>
          <w:i/>
          <w:iCs/>
          <w:sz w:val="20"/>
          <w:szCs w:val="20"/>
        </w:rPr>
        <w:t>identical</w:t>
      </w:r>
      <w:r w:rsidRPr="00197F5F">
        <w:rPr>
          <w:rFonts w:ascii="Palatino Linotype" w:eastAsia="Times New Roman" w:hAnsi="Palatino Linotype" w:cs="Times New Roman"/>
          <w:sz w:val="20"/>
          <w:szCs w:val="20"/>
        </w:rPr>
        <w:t xml:space="preserve"> to a state law enforcement officer’s pension, the law as written would deny him a tax exemption. West Virginia’s law thus discriminates “because of the source of ... compensation or pay” in violation of </w:t>
      </w:r>
      <w:hyperlink r:id="rId22" w:history="1">
        <w:r w:rsidRPr="00197F5F">
          <w:rPr>
            <w:rFonts w:ascii="Palatino Linotype" w:eastAsia="Times New Roman" w:hAnsi="Palatino Linotype" w:cs="Times New Roman"/>
            <w:sz w:val="20"/>
            <w:szCs w:val="20"/>
          </w:rPr>
          <w:t>§ 111</w:t>
        </w:r>
      </w:hyperlink>
      <w:r w:rsidRPr="00197F5F">
        <w:rPr>
          <w:rFonts w:ascii="Palatino Linotype" w:eastAsia="Times New Roman" w:hAnsi="Palatino Linotype" w:cs="Times New Roman"/>
          <w:sz w:val="20"/>
          <w:szCs w:val="20"/>
        </w:rPr>
        <w:t xml:space="preserve">. . . . </w:t>
      </w:r>
    </w:p>
    <w:p w14:paraId="43BD15C7" w14:textId="77777777" w:rsidR="00381C07" w:rsidRPr="00197F5F" w:rsidRDefault="00381C07" w:rsidP="00CC2A34">
      <w:pPr>
        <w:ind w:firstLine="720"/>
        <w:rPr>
          <w:rFonts w:ascii="Palatino Linotype" w:hAnsi="Palatino Linotype" w:cs="Times New Roman"/>
          <w:sz w:val="20"/>
          <w:szCs w:val="20"/>
        </w:rPr>
      </w:pPr>
    </w:p>
    <w:sectPr w:rsidR="00381C07" w:rsidRPr="00197F5F">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2B918F" w14:textId="77777777" w:rsidR="005B027F" w:rsidRDefault="005B027F" w:rsidP="005B027F">
      <w:r>
        <w:separator/>
      </w:r>
    </w:p>
  </w:endnote>
  <w:endnote w:type="continuationSeparator" w:id="0">
    <w:p w14:paraId="6A3D77F3" w14:textId="77777777" w:rsidR="005B027F" w:rsidRDefault="005B027F"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21119" w14:textId="77777777" w:rsidR="005B027F" w:rsidRDefault="005B02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4059730"/>
      <w:docPartObj>
        <w:docPartGallery w:val="Page Numbers (Bottom of Page)"/>
        <w:docPartUnique/>
      </w:docPartObj>
    </w:sdtPr>
    <w:sdtEndPr>
      <w:rPr>
        <w:noProof/>
      </w:rPr>
    </w:sdtEndPr>
    <w:sdtContent>
      <w:p w14:paraId="6427ED9E" w14:textId="53A016DE" w:rsidR="005B027F" w:rsidRDefault="005B027F">
        <w:pPr>
          <w:pStyle w:val="Footer"/>
          <w:jc w:val="center"/>
        </w:pPr>
        <w:r>
          <w:fldChar w:fldCharType="begin"/>
        </w:r>
        <w:r>
          <w:instrText xml:space="preserve"> PAGE   \* MERGEFORMAT </w:instrText>
        </w:r>
        <w:r>
          <w:fldChar w:fldCharType="separate"/>
        </w:r>
        <w:r w:rsidR="002714A2">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5D5CC" w14:textId="77777777" w:rsidR="005B027F" w:rsidRDefault="005B02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5EEFC" w14:textId="77777777" w:rsidR="005B027F" w:rsidRDefault="005B027F" w:rsidP="005B027F">
      <w:r>
        <w:separator/>
      </w:r>
    </w:p>
  </w:footnote>
  <w:footnote w:type="continuationSeparator" w:id="0">
    <w:p w14:paraId="79B6456A" w14:textId="77777777" w:rsidR="005B027F" w:rsidRDefault="005B027F" w:rsidP="005B02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BBB20" w14:textId="77777777" w:rsidR="005B027F" w:rsidRDefault="005B02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B5D83" w14:textId="77777777" w:rsidR="005B027F" w:rsidRDefault="005B02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A34"/>
    <w:rsid w:val="00197F5F"/>
    <w:rsid w:val="002714A2"/>
    <w:rsid w:val="00381C07"/>
    <w:rsid w:val="005B027F"/>
    <w:rsid w:val="00BA7A88"/>
    <w:rsid w:val="00C267E7"/>
    <w:rsid w:val="00CC2A34"/>
    <w:rsid w:val="00F26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161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L&amp;pubNum=1000546&amp;cite=4USCAS111&amp;originatingDoc=I215b0bc634f411e9bc5c825c4b9add2e&amp;refType=LQ&amp;originationContext=document&amp;transitionType=DocumentItem&amp;contextData=(sc.Search)" TargetMode="External"/><Relationship Id="rId13" Type="http://schemas.openxmlformats.org/officeDocument/2006/relationships/hyperlink" Target="https://1.next.westlaw.com/Link/Document/FullText?findType=L&amp;pubNum=1000546&amp;cite=4USCAS111&amp;originatingDoc=I215b0bc634f411e9bc5c825c4b9add2e&amp;refType=LQ&amp;originationContext=document&amp;transitionType=DocumentItem&amp;contextData=(sc.Search)" TargetMode="External"/><Relationship Id="rId18" Type="http://schemas.openxmlformats.org/officeDocument/2006/relationships/hyperlink" Target="https://1.next.westlaw.com/Link/Document/FullText?findType=L&amp;pubNum=1000546&amp;cite=4USCAS111&amp;originatingDoc=I215b0bc634f411e9bc5c825c4b9add2e&amp;refType=LQ&amp;originationContext=document&amp;transitionType=DocumentItem&amp;contextData=(sc.Search)"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1.next.westlaw.com/Link/Document/FullText?findType=L&amp;pubNum=1000546&amp;cite=4USCAS111&amp;originatingDoc=I215b0bc634f411e9bc5c825c4b9add2e&amp;refType=LQ&amp;originationContext=document&amp;transitionType=DocumentItem&amp;contextData=(sc.Search)" TargetMode="External"/><Relationship Id="rId7" Type="http://schemas.openxmlformats.org/officeDocument/2006/relationships/hyperlink" Target="https://1.next.westlaw.com/Link/Document/FullText?findType=L&amp;pubNum=1000546&amp;cite=4USCAS111&amp;originatingDoc=I215b0bc634f411e9bc5c825c4b9add2e&amp;refType=LQ&amp;originationContext=document&amp;transitionType=DocumentItem&amp;contextData=(sc.Search)" TargetMode="External"/><Relationship Id="rId12" Type="http://schemas.openxmlformats.org/officeDocument/2006/relationships/hyperlink" Target="https://1.next.westlaw.com/Link/Document/FullText?findType=L&amp;pubNum=1000546&amp;cite=4USCAS111&amp;originatingDoc=I215b0bc634f411e9bc5c825c4b9add2e&amp;refType=LQ&amp;originationContext=document&amp;transitionType=DocumentItem&amp;contextData=(sc.Search)" TargetMode="External"/><Relationship Id="rId17" Type="http://schemas.openxmlformats.org/officeDocument/2006/relationships/hyperlink" Target="https://1.next.westlaw.com/Link/Document/FullText?findType=L&amp;pubNum=1000546&amp;cite=4USCAS111&amp;originatingDoc=I215b0bc634f411e9bc5c825c4b9add2e&amp;refType=LQ&amp;originationContext=document&amp;transitionType=DocumentItem&amp;contextData=(sc.Search)" TargetMode="External"/><Relationship Id="rId25"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https://1.next.westlaw.com/Link/Document/FullText?findType=L&amp;pubNum=1000546&amp;cite=4USCAS111&amp;originatingDoc=I215b0bc634f411e9bc5c825c4b9add2e&amp;refType=LQ&amp;originationContext=document&amp;transitionType=DocumentItem&amp;contextData=(sc.Search)" TargetMode="External"/><Relationship Id="rId20" Type="http://schemas.openxmlformats.org/officeDocument/2006/relationships/hyperlink" Target="https://1.next.westlaw.com/Link/Document/FullText?findType=L&amp;pubNum=1000546&amp;cite=4USCAS111&amp;originatingDoc=I215b0bc634f411e9bc5c825c4b9add2e&amp;refType=LQ&amp;originationContext=document&amp;transitionType=DocumentItem&amp;contextData=(sc.Search)"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1.next.westlaw.com/Link/Document/FullText?findType=Y&amp;serNum=1800123335&amp;pubNum=0000780&amp;originatingDoc=I215b0bc634f411e9bc5c825c4b9add2e&amp;refType=RP&amp;originationContext=document&amp;transitionType=DocumentItem&amp;contextData=(sc.Search)"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ontrol" Target="activeX/activeX1.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1.next.westlaw.com/Link/Document/FullText?findType=h&amp;pubNum=176284&amp;cite=0183411701&amp;originatingDoc=I215b0bc634f411e9bc5c825c4b9add2e&amp;refType=RQ&amp;originationContext=document&amp;transitionType=DocumentItem&amp;contextData=(sc.Search)&amp;analyticGuid=I215b0bc634f411e9bc5c825c4b9add2e" TargetMode="External"/><Relationship Id="rId19" Type="http://schemas.openxmlformats.org/officeDocument/2006/relationships/hyperlink" Target="https://1.next.westlaw.com/Link/Document/FullText?findType=L&amp;pubNum=1000546&amp;cite=4USCAS111&amp;originatingDoc=I215b0bc634f411e9bc5c825c4b9add2e&amp;refType=LQ&amp;originationContext=document&amp;transitionType=DocumentItem&amp;contextData=(sc.Search)" TargetMode="External"/><Relationship Id="rId4" Type="http://schemas.openxmlformats.org/officeDocument/2006/relationships/webSettings" Target="webSettings.xml"/><Relationship Id="rId9" Type="http://schemas.openxmlformats.org/officeDocument/2006/relationships/hyperlink" Target="https://1.next.westlaw.com/Link/Document/FullText?findType=L&amp;pubNum=1000546&amp;cite=4USCAS111&amp;originatingDoc=I215b0bc634f411e9bc5c825c4b9add2e&amp;refType=LQ&amp;originationContext=document&amp;transitionType=DocumentItem&amp;contextData=(sc.Search)" TargetMode="External"/><Relationship Id="rId14" Type="http://schemas.openxmlformats.org/officeDocument/2006/relationships/image" Target="media/image1.wmf"/><Relationship Id="rId22" Type="http://schemas.openxmlformats.org/officeDocument/2006/relationships/hyperlink" Target="https://1.next.westlaw.com/Link/Document/FullText?findType=L&amp;pubNum=1000546&amp;cite=4USCAS111&amp;originatingDoc=I215b0bc634f411e9bc5c825c4b9add2e&amp;refType=LQ&amp;originationContext=document&amp;transitionType=DocumentItem&amp;contextData=(sc.Search)" TargetMode="External"/><Relationship Id="rId27" Type="http://schemas.openxmlformats.org/officeDocument/2006/relationships/header" Target="header3.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KEEFE, Patrick</cp:lastModifiedBy>
  <cp:revision>6</cp:revision>
  <dcterms:created xsi:type="dcterms:W3CDTF">2019-08-09T19:25:00Z</dcterms:created>
  <dcterms:modified xsi:type="dcterms:W3CDTF">2019-08-30T19:00:00Z</dcterms:modified>
</cp:coreProperties>
</file>