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E22127" w:rsidRDefault="004B0267" w:rsidP="004B0267">
      <w:pPr>
        <w:jc w:val="center"/>
        <w:rPr>
          <w:rFonts w:ascii="Palatino Linotype" w:hAnsi="Palatino Linotype"/>
          <w:sz w:val="20"/>
          <w:szCs w:val="20"/>
        </w:rPr>
      </w:pPr>
      <w:r w:rsidRPr="00E22127">
        <w:rPr>
          <w:rFonts w:ascii="Palatino Linotype" w:hAnsi="Palatino Linotype"/>
          <w:sz w:val="20"/>
          <w:szCs w:val="20"/>
        </w:rPr>
        <w:t>AMERICAN CONSTITUTIONALISM</w:t>
      </w:r>
    </w:p>
    <w:p w14:paraId="66C7FC64" w14:textId="77777777" w:rsidR="004B0267" w:rsidRPr="00E22127" w:rsidRDefault="004B0267" w:rsidP="004B0267">
      <w:pPr>
        <w:jc w:val="center"/>
        <w:rPr>
          <w:rFonts w:ascii="Palatino Linotype" w:hAnsi="Palatino Linotype"/>
          <w:sz w:val="20"/>
          <w:szCs w:val="20"/>
        </w:rPr>
      </w:pPr>
      <w:r w:rsidRPr="00E22127">
        <w:rPr>
          <w:rFonts w:ascii="Palatino Linotype" w:hAnsi="Palatino Linotype"/>
          <w:sz w:val="20"/>
          <w:szCs w:val="20"/>
        </w:rPr>
        <w:t>VOLUME II: RIGHTS AND LIBERTIES</w:t>
      </w:r>
    </w:p>
    <w:p w14:paraId="212A7BA5" w14:textId="77777777" w:rsidR="004B0267" w:rsidRPr="00E22127" w:rsidRDefault="004B0267" w:rsidP="004B0267">
      <w:pPr>
        <w:jc w:val="center"/>
        <w:rPr>
          <w:rFonts w:ascii="Palatino Linotype" w:hAnsi="Palatino Linotype"/>
          <w:sz w:val="20"/>
          <w:szCs w:val="20"/>
        </w:rPr>
      </w:pPr>
      <w:r w:rsidRPr="00E22127">
        <w:rPr>
          <w:rFonts w:ascii="Palatino Linotype" w:hAnsi="Palatino Linotype"/>
          <w:sz w:val="20"/>
          <w:szCs w:val="20"/>
        </w:rPr>
        <w:t>Howard Gillman • Mark A. Graber • Keith E. Whittington</w:t>
      </w:r>
    </w:p>
    <w:p w14:paraId="75D63152" w14:textId="77777777" w:rsidR="004B0267" w:rsidRPr="00E22127" w:rsidRDefault="004B0267" w:rsidP="004B0267">
      <w:pPr>
        <w:jc w:val="center"/>
        <w:rPr>
          <w:rFonts w:ascii="Palatino Linotype" w:hAnsi="Palatino Linotype"/>
          <w:sz w:val="20"/>
          <w:szCs w:val="20"/>
        </w:rPr>
      </w:pPr>
    </w:p>
    <w:p w14:paraId="352F0276" w14:textId="77777777" w:rsidR="004B0267" w:rsidRPr="00E22127" w:rsidRDefault="004B0267" w:rsidP="004B0267">
      <w:pPr>
        <w:jc w:val="center"/>
        <w:rPr>
          <w:rFonts w:ascii="Palatino Linotype" w:hAnsi="Palatino Linotype"/>
          <w:sz w:val="20"/>
          <w:szCs w:val="20"/>
        </w:rPr>
      </w:pPr>
      <w:r w:rsidRPr="00E22127">
        <w:rPr>
          <w:rFonts w:ascii="Palatino Linotype" w:hAnsi="Palatino Linotype"/>
          <w:sz w:val="20"/>
          <w:szCs w:val="20"/>
        </w:rPr>
        <w:t>Supplementary Material</w:t>
      </w:r>
    </w:p>
    <w:p w14:paraId="677E4374" w14:textId="77777777" w:rsidR="004B0267" w:rsidRPr="00E22127" w:rsidRDefault="004B0267" w:rsidP="004B0267">
      <w:pPr>
        <w:jc w:val="center"/>
        <w:rPr>
          <w:rFonts w:ascii="Palatino Linotype" w:hAnsi="Palatino Linotype"/>
          <w:sz w:val="20"/>
          <w:szCs w:val="20"/>
        </w:rPr>
      </w:pPr>
    </w:p>
    <w:p w14:paraId="71EEAA21" w14:textId="59136D98" w:rsidR="004B0267" w:rsidRPr="00E22127" w:rsidRDefault="004B0267" w:rsidP="004B0267">
      <w:pPr>
        <w:jc w:val="center"/>
        <w:rPr>
          <w:rFonts w:ascii="Palatino Linotype" w:hAnsi="Palatino Linotype"/>
          <w:sz w:val="20"/>
          <w:szCs w:val="20"/>
        </w:rPr>
      </w:pPr>
      <w:r w:rsidRPr="00E22127">
        <w:rPr>
          <w:rFonts w:ascii="Palatino Linotype" w:hAnsi="Palatino Linotype"/>
          <w:sz w:val="20"/>
          <w:szCs w:val="20"/>
        </w:rPr>
        <w:t>Chapter 1</w:t>
      </w:r>
      <w:r w:rsidR="003D6240" w:rsidRPr="00E22127">
        <w:rPr>
          <w:rFonts w:ascii="Palatino Linotype" w:hAnsi="Palatino Linotype"/>
          <w:sz w:val="20"/>
          <w:szCs w:val="20"/>
        </w:rPr>
        <w:t>2</w:t>
      </w:r>
      <w:r w:rsidRPr="00E22127">
        <w:rPr>
          <w:rFonts w:ascii="Palatino Linotype" w:hAnsi="Palatino Linotype"/>
          <w:sz w:val="20"/>
          <w:szCs w:val="20"/>
        </w:rPr>
        <w:t>: The Contemporary Era—Democratic Rights/Free Speech</w:t>
      </w:r>
      <w:r w:rsidR="00007C2B" w:rsidRPr="00E22127">
        <w:rPr>
          <w:rFonts w:ascii="Palatino Linotype" w:hAnsi="Palatino Linotype"/>
          <w:sz w:val="20"/>
          <w:szCs w:val="20"/>
        </w:rPr>
        <w:t>/Advocacy</w:t>
      </w:r>
    </w:p>
    <w:p w14:paraId="376CAB86" w14:textId="30D46A74" w:rsidR="00101523" w:rsidRPr="00E22127" w:rsidRDefault="00101523" w:rsidP="00101523">
      <w:pPr>
        <w:jc w:val="both"/>
        <w:rPr>
          <w:rFonts w:ascii="Palatino Linotype" w:hAnsi="Palatino Linotype"/>
          <w:sz w:val="20"/>
          <w:szCs w:val="20"/>
        </w:rPr>
      </w:pPr>
    </w:p>
    <w:p w14:paraId="5EFCFE15" w14:textId="77777777" w:rsidR="000E2F1A" w:rsidRPr="00E22127" w:rsidRDefault="00760D58">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16EAC2F" w:rsidR="00760334" w:rsidRPr="00E22127" w:rsidRDefault="00E00B0C" w:rsidP="000E2F1A">
      <w:pPr>
        <w:jc w:val="center"/>
        <w:rPr>
          <w:rFonts w:ascii="Palatino Linotype" w:hAnsi="Palatino Linotype" w:cs="Times New Roman"/>
          <w:sz w:val="20"/>
          <w:szCs w:val="20"/>
        </w:rPr>
      </w:pPr>
      <w:r w:rsidRPr="00E22127">
        <w:rPr>
          <w:rFonts w:ascii="Palatino Linotype" w:hAnsi="Palatino Linotype" w:cs="Times New Roman"/>
          <w:b/>
          <w:sz w:val="20"/>
          <w:szCs w:val="20"/>
        </w:rPr>
        <w:t>Trump v. Trump</w:t>
      </w:r>
      <w:r w:rsidR="00393A7B" w:rsidRPr="00E22127">
        <w:rPr>
          <w:rFonts w:ascii="Palatino Linotype" w:hAnsi="Palatino Linotype" w:cs="Times New Roman"/>
          <w:b/>
          <w:sz w:val="20"/>
          <w:szCs w:val="20"/>
        </w:rPr>
        <w:t xml:space="preserve">, </w:t>
      </w:r>
      <w:r w:rsidRPr="00E22127">
        <w:rPr>
          <w:rFonts w:ascii="Palatino Linotype" w:hAnsi="Palatino Linotype" w:cs="Times New Roman"/>
          <w:b/>
          <w:sz w:val="20"/>
          <w:szCs w:val="20"/>
        </w:rPr>
        <w:t>N.Y.S. 3d</w:t>
      </w:r>
      <w:r w:rsidR="001246B5" w:rsidRPr="00E22127">
        <w:rPr>
          <w:rFonts w:ascii="Palatino Linotype" w:hAnsi="Palatino Linotype" w:cs="Times New Roman"/>
          <w:sz w:val="20"/>
          <w:szCs w:val="20"/>
        </w:rPr>
        <w:t xml:space="preserve"> (</w:t>
      </w:r>
      <w:r w:rsidRPr="00E22127">
        <w:rPr>
          <w:rFonts w:ascii="Palatino Linotype" w:hAnsi="Palatino Linotype" w:cs="Times New Roman"/>
          <w:sz w:val="20"/>
          <w:szCs w:val="20"/>
        </w:rPr>
        <w:t>NY 2020</w:t>
      </w:r>
      <w:r w:rsidR="000E2F1A" w:rsidRPr="00E22127">
        <w:rPr>
          <w:rFonts w:ascii="Palatino Linotype" w:hAnsi="Palatino Linotype" w:cs="Times New Roman"/>
          <w:sz w:val="20"/>
          <w:szCs w:val="20"/>
        </w:rPr>
        <w:t>)</w:t>
      </w:r>
    </w:p>
    <w:p w14:paraId="301125D3" w14:textId="77777777" w:rsidR="000E2F1A" w:rsidRPr="00E22127" w:rsidRDefault="00760D58">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22127" w:rsidRDefault="000E2F1A">
      <w:pPr>
        <w:rPr>
          <w:rFonts w:ascii="Palatino Linotype" w:hAnsi="Palatino Linotype" w:cs="Times New Roman"/>
          <w:sz w:val="20"/>
          <w:szCs w:val="20"/>
        </w:rPr>
      </w:pPr>
    </w:p>
    <w:p w14:paraId="23B79ECC" w14:textId="1FD24610" w:rsidR="00A83D3C" w:rsidRPr="00E22127" w:rsidRDefault="00DB1569" w:rsidP="004F7FE7">
      <w:pPr>
        <w:ind w:firstLine="720"/>
        <w:jc w:val="both"/>
        <w:rPr>
          <w:rFonts w:ascii="Palatino Linotype" w:hAnsi="Palatino Linotype" w:cs="Times New Roman"/>
          <w:i/>
          <w:sz w:val="20"/>
          <w:szCs w:val="20"/>
        </w:rPr>
      </w:pPr>
      <w:r w:rsidRPr="00E22127">
        <w:rPr>
          <w:rFonts w:ascii="Palatino Linotype" w:hAnsi="Palatino Linotype" w:cs="Times New Roman"/>
          <w:i/>
          <w:sz w:val="20"/>
          <w:szCs w:val="20"/>
        </w:rPr>
        <w:t xml:space="preserve">Mary Trump was a niece of President Donald Trump. In 2020, Simon &amp; Schuster was preparing to publish a book by Mary Trump about the president and the Trump family called, </w:t>
      </w:r>
      <w:r w:rsidRPr="00E22127">
        <w:rPr>
          <w:rFonts w:ascii="Palatino Linotype" w:hAnsi="Palatino Linotype" w:cs="Times New Roman"/>
          <w:sz w:val="20"/>
          <w:szCs w:val="20"/>
        </w:rPr>
        <w:t>Too Much and Never Enough</w:t>
      </w:r>
      <w:r w:rsidRPr="00E22127">
        <w:rPr>
          <w:rFonts w:ascii="Palatino Linotype" w:hAnsi="Palatino Linotype" w:cs="Times New Roman"/>
          <w:i/>
          <w:sz w:val="20"/>
          <w:szCs w:val="20"/>
        </w:rPr>
        <w:t xml:space="preserve">. Donald Trump’s brother, Robert Trump, sought </w:t>
      </w:r>
      <w:proofErr w:type="spellStart"/>
      <w:r w:rsidRPr="00E22127">
        <w:rPr>
          <w:rFonts w:ascii="Palatino Linotype" w:hAnsi="Palatino Linotype" w:cs="Times New Roman"/>
          <w:i/>
          <w:sz w:val="20"/>
          <w:szCs w:val="20"/>
        </w:rPr>
        <w:t>a</w:t>
      </w:r>
      <w:proofErr w:type="spellEnd"/>
      <w:r w:rsidRPr="00E22127">
        <w:rPr>
          <w:rFonts w:ascii="Palatino Linotype" w:hAnsi="Palatino Linotype" w:cs="Times New Roman"/>
          <w:i/>
          <w:sz w:val="20"/>
          <w:szCs w:val="20"/>
        </w:rPr>
        <w:t xml:space="preserve"> injunction in the New York courts barring publication of the book on the grounds that it violated a nondisclosure agreement that Mary Trump had signed</w:t>
      </w:r>
      <w:r w:rsidR="00AF5D85" w:rsidRPr="00E22127">
        <w:rPr>
          <w:rFonts w:ascii="Palatino Linotype" w:hAnsi="Palatino Linotype" w:cs="Times New Roman"/>
          <w:i/>
          <w:sz w:val="20"/>
          <w:szCs w:val="20"/>
        </w:rPr>
        <w:t xml:space="preserve"> as part of earlier litigation involving a family estate</w:t>
      </w:r>
      <w:r w:rsidRPr="00E22127">
        <w:rPr>
          <w:rFonts w:ascii="Palatino Linotype" w:hAnsi="Palatino Linotype" w:cs="Times New Roman"/>
          <w:i/>
          <w:sz w:val="20"/>
          <w:szCs w:val="20"/>
        </w:rPr>
        <w:t xml:space="preserve">. </w:t>
      </w:r>
      <w:r w:rsidR="00543076" w:rsidRPr="00E22127">
        <w:rPr>
          <w:rFonts w:ascii="Palatino Linotype" w:hAnsi="Palatino Linotype" w:cs="Times New Roman"/>
          <w:i/>
          <w:sz w:val="20"/>
          <w:szCs w:val="20"/>
        </w:rPr>
        <w:t xml:space="preserve">Mary Trump objected that the injunction would be an unconstitutional prior restraint on her writing, and the trial court ultimately agreed. </w:t>
      </w:r>
      <w:r w:rsidR="00AF5D85" w:rsidRPr="00E22127">
        <w:rPr>
          <w:rFonts w:ascii="Palatino Linotype" w:hAnsi="Palatino Linotype" w:cs="Times New Roman"/>
          <w:i/>
          <w:sz w:val="20"/>
          <w:szCs w:val="20"/>
        </w:rPr>
        <w:t xml:space="preserve">If Mary Trump had violated her contractual nondisclosure agreement with other family members, the appropriate judicial relief could not be an injunction barring publication of a book of public interest. </w:t>
      </w:r>
      <w:r w:rsidR="00543076" w:rsidRPr="00E22127">
        <w:rPr>
          <w:rFonts w:ascii="Palatino Linotype" w:hAnsi="Palatino Linotype" w:cs="Times New Roman"/>
          <w:i/>
          <w:sz w:val="20"/>
          <w:szCs w:val="20"/>
        </w:rPr>
        <w:t>The book, which was highly critical of the president, was released to the public days later.</w:t>
      </w:r>
    </w:p>
    <w:p w14:paraId="04EBCA6B" w14:textId="77777777" w:rsidR="000E2F1A" w:rsidRPr="00E22127" w:rsidRDefault="000E2F1A" w:rsidP="004F7FE7">
      <w:pPr>
        <w:jc w:val="both"/>
        <w:rPr>
          <w:rFonts w:ascii="Palatino Linotype" w:hAnsi="Palatino Linotype" w:cs="Times New Roman"/>
          <w:sz w:val="20"/>
          <w:szCs w:val="20"/>
        </w:rPr>
      </w:pPr>
    </w:p>
    <w:p w14:paraId="42A8B9A1" w14:textId="4912CA6D" w:rsidR="00300BF4" w:rsidRPr="00E22127" w:rsidRDefault="00B16A22" w:rsidP="00300BF4">
      <w:pPr>
        <w:jc w:val="both"/>
        <w:rPr>
          <w:rFonts w:ascii="Palatino Linotype" w:hAnsi="Palatino Linotype" w:cs="Times New Roman"/>
          <w:sz w:val="20"/>
          <w:szCs w:val="20"/>
        </w:rPr>
      </w:pPr>
      <w:r w:rsidRPr="00E22127">
        <w:rPr>
          <w:rFonts w:ascii="Palatino Linotype" w:hAnsi="Palatino Linotype" w:cs="Times New Roman"/>
          <w:sz w:val="20"/>
          <w:szCs w:val="20"/>
        </w:rPr>
        <w:t>JUSTICE</w:t>
      </w:r>
      <w:r w:rsidR="00DB1569" w:rsidRPr="00E22127">
        <w:rPr>
          <w:rFonts w:ascii="Palatino Linotype" w:hAnsi="Palatino Linotype" w:cs="Times New Roman"/>
          <w:sz w:val="20"/>
          <w:szCs w:val="20"/>
        </w:rPr>
        <w:t xml:space="preserve"> GREENWALD</w:t>
      </w:r>
      <w:r w:rsidR="00A62C6F" w:rsidRPr="00E22127">
        <w:rPr>
          <w:rFonts w:ascii="Palatino Linotype" w:hAnsi="Palatino Linotype" w:cs="Times New Roman"/>
          <w:sz w:val="20"/>
          <w:szCs w:val="20"/>
        </w:rPr>
        <w:t>.</w:t>
      </w:r>
    </w:p>
    <w:p w14:paraId="3620AC36" w14:textId="11C3FACA" w:rsidR="00E1544F" w:rsidRPr="00E22127" w:rsidRDefault="000E2F1A" w:rsidP="00F306DB">
      <w:pPr>
        <w:ind w:firstLine="720"/>
        <w:jc w:val="both"/>
        <w:rPr>
          <w:rFonts w:ascii="Palatino Linotype" w:hAnsi="Palatino Linotype" w:cs="Times New Roman"/>
          <w:sz w:val="20"/>
          <w:szCs w:val="20"/>
        </w:rPr>
      </w:pPr>
      <w:r w:rsidRPr="00E22127">
        <w:rPr>
          <w:rFonts w:ascii="Palatino Linotype" w:hAnsi="Palatino Linotype" w:cs="Times New Roman"/>
          <w:sz w:val="20"/>
          <w:szCs w:val="20"/>
        </w:rPr>
        <w:t>. . . .</w:t>
      </w:r>
    </w:p>
    <w:p w14:paraId="02352203" w14:textId="6D952F0A" w:rsidR="00B16A22" w:rsidRPr="00E22127" w:rsidRDefault="00B16A22" w:rsidP="00526805">
      <w:pPr>
        <w:ind w:firstLine="720"/>
        <w:jc w:val="both"/>
        <w:rPr>
          <w:rFonts w:ascii="Palatino Linotype" w:hAnsi="Palatino Linotype"/>
          <w:sz w:val="20"/>
          <w:szCs w:val="20"/>
        </w:rPr>
      </w:pPr>
      <w:r w:rsidRPr="00E22127">
        <w:rPr>
          <w:rFonts w:ascii="Palatino Linotype" w:hAnsi="Palatino Linotype"/>
          <w:sz w:val="20"/>
          <w:szCs w:val="20"/>
        </w:rPr>
        <w:t xml:space="preserve">While the Agreement is deemed a contract, there simply are some things one cannot contract for, such as a </w:t>
      </w:r>
      <w:r w:rsidRPr="00E22127">
        <w:rPr>
          <w:rStyle w:val="Strong"/>
          <w:rFonts w:ascii="Palatino Linotype" w:hAnsi="Palatino Linotype"/>
          <w:sz w:val="20"/>
          <w:szCs w:val="20"/>
        </w:rPr>
        <w:t>right to injunctive relief.</w:t>
      </w:r>
      <w:r w:rsidRPr="00E22127">
        <w:rPr>
          <w:rFonts w:ascii="Palatino Linotype" w:hAnsi="Palatino Linotype"/>
          <w:sz w:val="20"/>
          <w:szCs w:val="20"/>
        </w:rPr>
        <w:t xml:space="preserve"> This must be determined by a court and supported by the movant sustaining all three (3) requirements for a preliminary injunction to be granted</w:t>
      </w:r>
      <w:proofErr w:type="gramStart"/>
      <w:r w:rsidRPr="00E22127">
        <w:rPr>
          <w:rFonts w:ascii="Palatino Linotype" w:hAnsi="Palatino Linotype"/>
          <w:sz w:val="20"/>
          <w:szCs w:val="20"/>
        </w:rPr>
        <w:t>. . . .</w:t>
      </w:r>
      <w:proofErr w:type="gramEnd"/>
      <w:r w:rsidRPr="00E22127">
        <w:rPr>
          <w:rFonts w:ascii="Palatino Linotype" w:hAnsi="Palatino Linotype"/>
          <w:sz w:val="20"/>
          <w:szCs w:val="20"/>
        </w:rPr>
        <w:t xml:space="preserve"> </w:t>
      </w:r>
    </w:p>
    <w:p w14:paraId="0F3A802E" w14:textId="333F9376" w:rsidR="00B16A22" w:rsidRPr="00E22127" w:rsidRDefault="00B16A22" w:rsidP="00526805">
      <w:pPr>
        <w:ind w:firstLine="720"/>
        <w:jc w:val="both"/>
        <w:rPr>
          <w:rFonts w:ascii="Palatino Linotype" w:hAnsi="Palatino Linotype"/>
          <w:sz w:val="20"/>
          <w:szCs w:val="20"/>
        </w:rPr>
      </w:pPr>
      <w:r w:rsidRPr="00E22127">
        <w:rPr>
          <w:rFonts w:ascii="Palatino Linotype" w:hAnsi="Palatino Linotype"/>
          <w:sz w:val="20"/>
          <w:szCs w:val="20"/>
        </w:rPr>
        <w:t>. . . .</w:t>
      </w:r>
    </w:p>
    <w:p w14:paraId="2908F0AF" w14:textId="3DFBD4B8" w:rsidR="00B16A22" w:rsidRPr="00E22127" w:rsidRDefault="00B16A22" w:rsidP="00526805">
      <w:pPr>
        <w:ind w:firstLine="720"/>
        <w:jc w:val="both"/>
        <w:rPr>
          <w:rFonts w:ascii="Palatino Linotype" w:hAnsi="Palatino Linotype"/>
          <w:sz w:val="20"/>
          <w:szCs w:val="20"/>
        </w:rPr>
      </w:pPr>
      <w:r w:rsidRPr="00E22127">
        <w:rPr>
          <w:rFonts w:ascii="Palatino Linotype" w:hAnsi="Palatino Linotype"/>
          <w:sz w:val="20"/>
          <w:szCs w:val="20"/>
        </w:rPr>
        <w:t xml:space="preserve">Generally, it would be balancing the equities between the plaintiff/ movant and the defendant to determine if the preliminary injunction were to be granted. However, there may be public policy considerations to consider when ruling on a preliminary injunction, especially in a case such as this matter before the court, when it is alleged the information, the speech contained in the Book concerns a sitting President of the United States, who incidentally is not the plaintiff. What standing does ROBERT S. </w:t>
      </w:r>
      <w:r w:rsidRPr="00E22127">
        <w:rPr>
          <w:rStyle w:val="cosearchterm"/>
          <w:rFonts w:ascii="Palatino Linotype" w:hAnsi="Palatino Linotype"/>
          <w:sz w:val="20"/>
          <w:szCs w:val="20"/>
        </w:rPr>
        <w:t>TRUMP</w:t>
      </w:r>
      <w:r w:rsidRPr="00E22127">
        <w:rPr>
          <w:rFonts w:ascii="Palatino Linotype" w:hAnsi="Palatino Linotype"/>
          <w:sz w:val="20"/>
          <w:szCs w:val="20"/>
        </w:rPr>
        <w:t xml:space="preserve"> have to act on his brother's behalf, if that is how he is approaching this lawsuit. Who really stands to “lose” (or gain?), if the Book continues to be published and distributed as it is claimed by S &amp; S? Is it plaintiff?</w:t>
      </w:r>
    </w:p>
    <w:p w14:paraId="011C696B" w14:textId="3D9466F3" w:rsidR="00B16A22" w:rsidRPr="00E22127" w:rsidRDefault="00B16A22" w:rsidP="00526805">
      <w:pPr>
        <w:ind w:firstLine="720"/>
        <w:jc w:val="both"/>
        <w:rPr>
          <w:rFonts w:ascii="Palatino Linotype" w:hAnsi="Palatino Linotype"/>
          <w:sz w:val="20"/>
          <w:szCs w:val="20"/>
        </w:rPr>
      </w:pPr>
      <w:r w:rsidRPr="00E22127">
        <w:rPr>
          <w:rFonts w:ascii="Palatino Linotype" w:hAnsi="Palatino Linotype"/>
          <w:sz w:val="20"/>
          <w:szCs w:val="20"/>
        </w:rPr>
        <w:t xml:space="preserve">It is also important in this matter for the court, in balancing the equities, to be cognizant of the public's interest in the Book. As stated in Justice </w:t>
      </w:r>
      <w:proofErr w:type="spellStart"/>
      <w:r w:rsidRPr="00E22127">
        <w:rPr>
          <w:rFonts w:ascii="Palatino Linotype" w:hAnsi="Palatino Linotype"/>
          <w:sz w:val="20"/>
          <w:szCs w:val="20"/>
        </w:rPr>
        <w:t>Scheinkman's</w:t>
      </w:r>
      <w:proofErr w:type="spellEnd"/>
      <w:r w:rsidRPr="00E22127">
        <w:rPr>
          <w:rFonts w:ascii="Palatino Linotype" w:hAnsi="Palatino Linotype"/>
          <w:sz w:val="20"/>
          <w:szCs w:val="20"/>
        </w:rPr>
        <w:t xml:space="preserve"> Decision and Order on Application:</w:t>
      </w:r>
    </w:p>
    <w:p w14:paraId="013E50D9" w14:textId="4DD3A885" w:rsidR="00B16A22" w:rsidRPr="00E22127" w:rsidRDefault="00B16A22" w:rsidP="00526805">
      <w:pPr>
        <w:ind w:firstLine="720"/>
        <w:jc w:val="both"/>
        <w:rPr>
          <w:rFonts w:ascii="Palatino Linotype" w:hAnsi="Palatino Linotype"/>
          <w:sz w:val="20"/>
          <w:szCs w:val="20"/>
        </w:rPr>
      </w:pPr>
    </w:p>
    <w:p w14:paraId="4BF4DD6B" w14:textId="51BD45FF" w:rsidR="00B16A22" w:rsidRPr="00E22127" w:rsidRDefault="00B16A22" w:rsidP="001D46A5">
      <w:pPr>
        <w:ind w:left="720" w:right="720"/>
        <w:jc w:val="both"/>
        <w:rPr>
          <w:rStyle w:val="Emphasis"/>
          <w:rFonts w:ascii="Palatino Linotype" w:hAnsi="Palatino Linotype"/>
          <w:i w:val="0"/>
          <w:sz w:val="20"/>
          <w:szCs w:val="20"/>
        </w:rPr>
      </w:pPr>
      <w:r w:rsidRPr="00E22127">
        <w:rPr>
          <w:rStyle w:val="Emphasis"/>
          <w:rFonts w:ascii="Palatino Linotype" w:hAnsi="Palatino Linotype"/>
          <w:i w:val="0"/>
          <w:sz w:val="20"/>
          <w:szCs w:val="20"/>
        </w:rPr>
        <w:t>The passage of time and changes in circumstances may have rendered at least some of the restrained information less significant than it was at the time and, conversely, whatever legitimate public interest there may have been in the family disputes of a real estate developer and his relatives may be considerably heightened by that real estate developer now being President of the United States and a current candidate for re-election.</w:t>
      </w:r>
    </w:p>
    <w:p w14:paraId="65332991" w14:textId="761408F4" w:rsidR="00B16A22" w:rsidRPr="00E22127" w:rsidRDefault="00B16A22" w:rsidP="00526805">
      <w:pPr>
        <w:ind w:firstLine="720"/>
        <w:jc w:val="both"/>
        <w:rPr>
          <w:rStyle w:val="Emphasis"/>
          <w:rFonts w:ascii="Palatino Linotype" w:hAnsi="Palatino Linotype"/>
          <w:i w:val="0"/>
          <w:sz w:val="20"/>
          <w:szCs w:val="20"/>
        </w:rPr>
      </w:pPr>
    </w:p>
    <w:p w14:paraId="79A87518" w14:textId="0F901B25" w:rsidR="00B16A22"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t xml:space="preserve">To reiterate the court's position, the Agreement was a stipulation that settled multiple lawsuits and in exchange consideration was paid out, no specific consideration was paid for confidentiality. Further, what was confidential was the financial aspect of the Agreement, which may not be so interesting now as it might have been in 2001. On the other </w:t>
      </w:r>
      <w:proofErr w:type="gramStart"/>
      <w:r w:rsidRPr="00E22127">
        <w:rPr>
          <w:rFonts w:ascii="Palatino Linotype" w:hAnsi="Palatino Linotype"/>
          <w:sz w:val="20"/>
          <w:szCs w:val="20"/>
        </w:rPr>
        <w:t>hand</w:t>
      </w:r>
      <w:proofErr w:type="gramEnd"/>
      <w:r w:rsidRPr="00E22127">
        <w:rPr>
          <w:rFonts w:ascii="Palatino Linotype" w:hAnsi="Palatino Linotype"/>
          <w:sz w:val="20"/>
          <w:szCs w:val="20"/>
        </w:rPr>
        <w:t xml:space="preserve"> the non-confidential part of the Agreement, the </w:t>
      </w:r>
      <w:r w:rsidRPr="00E22127">
        <w:rPr>
          <w:rStyle w:val="cosearchterm"/>
          <w:rFonts w:ascii="Palatino Linotype" w:hAnsi="Palatino Linotype"/>
          <w:sz w:val="20"/>
          <w:szCs w:val="20"/>
        </w:rPr>
        <w:t>Trump</w:t>
      </w:r>
      <w:r w:rsidRPr="00E22127">
        <w:rPr>
          <w:rFonts w:ascii="Palatino Linotype" w:hAnsi="Palatino Linotype"/>
          <w:sz w:val="20"/>
          <w:szCs w:val="20"/>
        </w:rPr>
        <w:t xml:space="preserve"> family relationships may be more interesting now in 2020 with a Presidential election on the horizon.</w:t>
      </w:r>
    </w:p>
    <w:p w14:paraId="266E236C" w14:textId="500BA51E" w:rsidR="001D46A5"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lastRenderedPageBreak/>
        <w:t xml:space="preserve">If the public does in fact have an interest in the Book, but plaintiff argues it should not be published because MARY L. </w:t>
      </w:r>
      <w:r w:rsidRPr="00E22127">
        <w:rPr>
          <w:rStyle w:val="cosearchterm"/>
          <w:rFonts w:ascii="Palatino Linotype" w:hAnsi="Palatino Linotype"/>
          <w:sz w:val="20"/>
          <w:szCs w:val="20"/>
        </w:rPr>
        <w:t>TRUMP's</w:t>
      </w:r>
      <w:r w:rsidRPr="00E22127">
        <w:rPr>
          <w:rFonts w:ascii="Palatino Linotype" w:hAnsi="Palatino Linotype"/>
          <w:sz w:val="20"/>
          <w:szCs w:val="20"/>
        </w:rPr>
        <w:t xml:space="preserve"> contract with S &amp; S breaches the Agreement, in whose favor does the balancing of the equities tip? The application for injunctive relief by plaintiff consisted of his one page, 7 paragraph Affidavit that stated his residency and that he signed and has complied with the Agreement and has not consented to the Book. His counsel affirmed that he gave prior notice to MARY L. </w:t>
      </w:r>
      <w:r w:rsidRPr="00E22127">
        <w:rPr>
          <w:rStyle w:val="cosearchterm"/>
          <w:rFonts w:ascii="Palatino Linotype" w:hAnsi="Palatino Linotype"/>
          <w:sz w:val="20"/>
          <w:szCs w:val="20"/>
        </w:rPr>
        <w:t>TRUMP</w:t>
      </w:r>
      <w:r w:rsidRPr="00E22127">
        <w:rPr>
          <w:rFonts w:ascii="Palatino Linotype" w:hAnsi="Palatino Linotype"/>
          <w:sz w:val="20"/>
          <w:szCs w:val="20"/>
        </w:rPr>
        <w:t xml:space="preserve"> and S &amp; S to the application for injunctive relief. The supporting Memorandum of Law detailed the history of the Agreement, a timeline for the Book's publication and argument to support the injunctive relief application. No mention of the public interest, </w:t>
      </w:r>
      <w:r w:rsidRPr="00E22127">
        <w:rPr>
          <w:rStyle w:val="cosearchterm"/>
          <w:rFonts w:ascii="Palatino Linotype" w:hAnsi="Palatino Linotype"/>
          <w:sz w:val="20"/>
          <w:szCs w:val="20"/>
        </w:rPr>
        <w:t>First</w:t>
      </w:r>
      <w:r w:rsidRPr="00E22127">
        <w:rPr>
          <w:rFonts w:ascii="Palatino Linotype" w:hAnsi="Palatino Linotype"/>
          <w:sz w:val="20"/>
          <w:szCs w:val="20"/>
        </w:rPr>
        <w:t xml:space="preserve"> </w:t>
      </w:r>
      <w:r w:rsidRPr="00E22127">
        <w:rPr>
          <w:rStyle w:val="cosearchterm"/>
          <w:rFonts w:ascii="Palatino Linotype" w:hAnsi="Palatino Linotype"/>
          <w:sz w:val="20"/>
          <w:szCs w:val="20"/>
        </w:rPr>
        <w:t>Amendment</w:t>
      </w:r>
      <w:r w:rsidRPr="00E22127">
        <w:rPr>
          <w:rFonts w:ascii="Palatino Linotype" w:hAnsi="Palatino Linotype"/>
          <w:sz w:val="20"/>
          <w:szCs w:val="20"/>
        </w:rPr>
        <w:t xml:space="preserve"> or </w:t>
      </w:r>
      <w:r w:rsidRPr="00E22127">
        <w:rPr>
          <w:rStyle w:val="cosearchterm"/>
          <w:rFonts w:ascii="Palatino Linotype" w:hAnsi="Palatino Linotype"/>
          <w:sz w:val="20"/>
          <w:szCs w:val="20"/>
        </w:rPr>
        <w:t>prior</w:t>
      </w:r>
      <w:r w:rsidRPr="00E22127">
        <w:rPr>
          <w:rFonts w:ascii="Palatino Linotype" w:hAnsi="Palatino Linotype"/>
          <w:sz w:val="20"/>
          <w:szCs w:val="20"/>
        </w:rPr>
        <w:t xml:space="preserve"> </w:t>
      </w:r>
      <w:r w:rsidRPr="00E22127">
        <w:rPr>
          <w:rStyle w:val="cosearchterm"/>
          <w:rFonts w:ascii="Palatino Linotype" w:hAnsi="Palatino Linotype"/>
          <w:sz w:val="20"/>
          <w:szCs w:val="20"/>
        </w:rPr>
        <w:t>restraint</w:t>
      </w:r>
      <w:r w:rsidRPr="00E22127">
        <w:rPr>
          <w:rFonts w:ascii="Palatino Linotype" w:hAnsi="Palatino Linotype"/>
          <w:sz w:val="20"/>
          <w:szCs w:val="20"/>
        </w:rPr>
        <w:t xml:space="preserve"> was made at the time the TRO was granted.</w:t>
      </w:r>
    </w:p>
    <w:p w14:paraId="69CA46F6" w14:textId="085C9B74" w:rsidR="001D46A5"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t xml:space="preserve">Thereafter at the appellate level and in this Court in opposition, besides refuting plaintiff's application for a preliminary injunction, MARY L. </w:t>
      </w:r>
      <w:r w:rsidRPr="00E22127">
        <w:rPr>
          <w:rStyle w:val="cosearchterm"/>
          <w:rFonts w:ascii="Palatino Linotype" w:hAnsi="Palatino Linotype"/>
          <w:sz w:val="20"/>
          <w:szCs w:val="20"/>
        </w:rPr>
        <w:t>TRUMP's</w:t>
      </w:r>
      <w:r w:rsidRPr="00E22127">
        <w:rPr>
          <w:rFonts w:ascii="Palatino Linotype" w:hAnsi="Palatino Linotype"/>
          <w:sz w:val="20"/>
          <w:szCs w:val="20"/>
        </w:rPr>
        <w:t xml:space="preserve"> papers contain a virtual history of </w:t>
      </w:r>
      <w:r w:rsidRPr="00E22127">
        <w:rPr>
          <w:rStyle w:val="cosearchterm"/>
          <w:rFonts w:ascii="Palatino Linotype" w:hAnsi="Palatino Linotype"/>
          <w:sz w:val="20"/>
          <w:szCs w:val="20"/>
        </w:rPr>
        <w:t>First</w:t>
      </w:r>
      <w:r w:rsidRPr="00E22127">
        <w:rPr>
          <w:rFonts w:ascii="Palatino Linotype" w:hAnsi="Palatino Linotype"/>
          <w:sz w:val="20"/>
          <w:szCs w:val="20"/>
        </w:rPr>
        <w:t xml:space="preserve"> </w:t>
      </w:r>
      <w:r w:rsidRPr="00E22127">
        <w:rPr>
          <w:rStyle w:val="cosearchterm"/>
          <w:rFonts w:ascii="Palatino Linotype" w:hAnsi="Palatino Linotype"/>
          <w:sz w:val="20"/>
          <w:szCs w:val="20"/>
        </w:rPr>
        <w:t>Amendment</w:t>
      </w:r>
      <w:r w:rsidRPr="00E22127">
        <w:rPr>
          <w:rFonts w:ascii="Palatino Linotype" w:hAnsi="Palatino Linotype"/>
          <w:sz w:val="20"/>
          <w:szCs w:val="20"/>
        </w:rPr>
        <w:t xml:space="preserve"> Rights and “</w:t>
      </w:r>
      <w:r w:rsidRPr="00E22127">
        <w:rPr>
          <w:rStyle w:val="cosearchterm"/>
          <w:rFonts w:ascii="Palatino Linotype" w:hAnsi="Palatino Linotype"/>
          <w:sz w:val="20"/>
          <w:szCs w:val="20"/>
        </w:rPr>
        <w:t>prior</w:t>
      </w:r>
      <w:r w:rsidRPr="00E22127">
        <w:rPr>
          <w:rFonts w:ascii="Palatino Linotype" w:hAnsi="Palatino Linotype"/>
          <w:sz w:val="20"/>
          <w:szCs w:val="20"/>
        </w:rPr>
        <w:t xml:space="preserve"> </w:t>
      </w:r>
      <w:r w:rsidRPr="00E22127">
        <w:rPr>
          <w:rStyle w:val="cosearchterm"/>
          <w:rFonts w:ascii="Palatino Linotype" w:hAnsi="Palatino Linotype"/>
          <w:sz w:val="20"/>
          <w:szCs w:val="20"/>
        </w:rPr>
        <w:t>restraint</w:t>
      </w:r>
      <w:r w:rsidRPr="00E22127">
        <w:rPr>
          <w:rFonts w:ascii="Palatino Linotype" w:hAnsi="Palatino Linotype"/>
          <w:sz w:val="20"/>
          <w:szCs w:val="20"/>
        </w:rPr>
        <w:t xml:space="preserve">” caselaw. What follows herein is a brief synopsis of the law, in no way meant to be a complete recitation of all the caselaw and quotations provided by the attorneys for MARY L. </w:t>
      </w:r>
      <w:r w:rsidRPr="00E22127">
        <w:rPr>
          <w:rStyle w:val="cosearchterm"/>
          <w:rFonts w:ascii="Palatino Linotype" w:hAnsi="Palatino Linotype"/>
          <w:sz w:val="20"/>
          <w:szCs w:val="20"/>
        </w:rPr>
        <w:t>TRUMP</w:t>
      </w:r>
      <w:r w:rsidRPr="00E22127">
        <w:rPr>
          <w:rFonts w:ascii="Palatino Linotype" w:hAnsi="Palatino Linotype"/>
          <w:sz w:val="20"/>
          <w:szCs w:val="20"/>
        </w:rPr>
        <w:t>. It is proclaimed, the enjoining of the publication of the Book is classic “</w:t>
      </w:r>
      <w:r w:rsidRPr="00E22127">
        <w:rPr>
          <w:rStyle w:val="cosearchterm"/>
          <w:rFonts w:ascii="Palatino Linotype" w:hAnsi="Palatino Linotype"/>
          <w:sz w:val="20"/>
          <w:szCs w:val="20"/>
        </w:rPr>
        <w:t>prior</w:t>
      </w:r>
      <w:r w:rsidRPr="00E22127">
        <w:rPr>
          <w:rFonts w:ascii="Palatino Linotype" w:hAnsi="Palatino Linotype"/>
          <w:sz w:val="20"/>
          <w:szCs w:val="20"/>
        </w:rPr>
        <w:t xml:space="preserve"> </w:t>
      </w:r>
      <w:r w:rsidRPr="00E22127">
        <w:rPr>
          <w:rStyle w:val="cosearchterm"/>
          <w:rFonts w:ascii="Palatino Linotype" w:hAnsi="Palatino Linotype"/>
          <w:sz w:val="20"/>
          <w:szCs w:val="20"/>
        </w:rPr>
        <w:t>restraint</w:t>
      </w:r>
      <w:r w:rsidRPr="00E22127">
        <w:rPr>
          <w:rFonts w:ascii="Palatino Linotype" w:hAnsi="Palatino Linotype"/>
          <w:sz w:val="20"/>
          <w:szCs w:val="20"/>
        </w:rPr>
        <w:t xml:space="preserve">” and cannot be tolerated. The Book is characterized as “political speech” </w:t>
      </w:r>
      <w:r w:rsidR="006637FB" w:rsidRPr="00E22127">
        <w:rPr>
          <w:rFonts w:ascii="Palatino Linotype" w:hAnsi="Palatino Linotype"/>
          <w:i/>
          <w:sz w:val="20"/>
          <w:szCs w:val="20"/>
        </w:rPr>
        <w:t>Procter &amp; Gamble v. Bankers Trust Co.</w:t>
      </w:r>
      <w:r w:rsidR="006637FB" w:rsidRPr="00E22127">
        <w:rPr>
          <w:rFonts w:ascii="Palatino Linotype" w:hAnsi="Palatino Linotype"/>
          <w:sz w:val="20"/>
          <w:szCs w:val="20"/>
        </w:rPr>
        <w:t xml:space="preserve"> (6</w:t>
      </w:r>
      <w:r w:rsidR="006637FB" w:rsidRPr="00E22127">
        <w:rPr>
          <w:rFonts w:ascii="Palatino Linotype" w:hAnsi="Palatino Linotype"/>
          <w:sz w:val="20"/>
          <w:szCs w:val="20"/>
          <w:vertAlign w:val="superscript"/>
        </w:rPr>
        <w:t>th</w:t>
      </w:r>
      <w:r w:rsidR="006637FB" w:rsidRPr="00E22127">
        <w:rPr>
          <w:rFonts w:ascii="Palatino Linotype" w:hAnsi="Palatino Linotype"/>
          <w:sz w:val="20"/>
          <w:szCs w:val="20"/>
        </w:rPr>
        <w:t xml:space="preserve"> Cir. 1996). “Freedom of speech” is invoked. </w:t>
      </w:r>
      <w:r w:rsidR="006637FB" w:rsidRPr="00E22127">
        <w:rPr>
          <w:rFonts w:ascii="Palatino Linotype" w:hAnsi="Palatino Linotype"/>
          <w:i/>
          <w:sz w:val="20"/>
          <w:szCs w:val="20"/>
        </w:rPr>
        <w:t>New York Times v. Sullivan</w:t>
      </w:r>
      <w:r w:rsidR="006637FB" w:rsidRPr="00E22127">
        <w:rPr>
          <w:rFonts w:ascii="Palatino Linotype" w:hAnsi="Palatino Linotype"/>
          <w:sz w:val="20"/>
          <w:szCs w:val="20"/>
        </w:rPr>
        <w:t xml:space="preserve"> (1964). Prior restraint is deemed to be unconstitutional. </w:t>
      </w:r>
      <w:r w:rsidR="006637FB" w:rsidRPr="00E22127">
        <w:rPr>
          <w:rFonts w:ascii="Palatino Linotype" w:hAnsi="Palatino Linotype"/>
          <w:i/>
          <w:sz w:val="20"/>
          <w:szCs w:val="20"/>
        </w:rPr>
        <w:t xml:space="preserve">Nebraska Press Association v. Stuart </w:t>
      </w:r>
      <w:r w:rsidR="006637FB" w:rsidRPr="00E22127">
        <w:rPr>
          <w:rFonts w:ascii="Palatino Linotype" w:hAnsi="Palatino Linotype"/>
          <w:sz w:val="20"/>
          <w:szCs w:val="20"/>
        </w:rPr>
        <w:t>(</w:t>
      </w:r>
      <w:proofErr w:type="gramStart"/>
      <w:r w:rsidR="006637FB" w:rsidRPr="00E22127">
        <w:rPr>
          <w:rFonts w:ascii="Palatino Linotype" w:hAnsi="Palatino Linotype"/>
          <w:sz w:val="20"/>
          <w:szCs w:val="20"/>
        </w:rPr>
        <w:t>1976). . .</w:t>
      </w:r>
      <w:proofErr w:type="gramEnd"/>
      <w:r w:rsidR="006637FB" w:rsidRPr="00E22127">
        <w:rPr>
          <w:rFonts w:ascii="Palatino Linotype" w:hAnsi="Palatino Linotype"/>
          <w:sz w:val="20"/>
          <w:szCs w:val="20"/>
        </w:rPr>
        <w:t xml:space="preserve"> . If the government is the one seeking to enjoin speech “public injury”, must be shown. Injunctions </w:t>
      </w:r>
      <w:proofErr w:type="gramStart"/>
      <w:r w:rsidR="006637FB" w:rsidRPr="00E22127">
        <w:rPr>
          <w:rFonts w:ascii="Palatino Linotype" w:hAnsi="Palatino Linotype"/>
          <w:sz w:val="20"/>
          <w:szCs w:val="20"/>
        </w:rPr>
        <w:t>are seen as</w:t>
      </w:r>
      <w:proofErr w:type="gramEnd"/>
      <w:r w:rsidR="006637FB" w:rsidRPr="00E22127">
        <w:rPr>
          <w:rFonts w:ascii="Palatino Linotype" w:hAnsi="Palatino Linotype"/>
          <w:sz w:val="20"/>
          <w:szCs w:val="20"/>
        </w:rPr>
        <w:t xml:space="preserve"> “state power”. There is a significant presumption against the constitutional validity of </w:t>
      </w:r>
      <w:r w:rsidR="006637FB" w:rsidRPr="00E22127">
        <w:rPr>
          <w:rStyle w:val="cosearchterm"/>
          <w:rFonts w:ascii="Palatino Linotype" w:hAnsi="Palatino Linotype"/>
          <w:sz w:val="20"/>
          <w:szCs w:val="20"/>
        </w:rPr>
        <w:t>prior</w:t>
      </w:r>
      <w:r w:rsidR="006637FB" w:rsidRPr="00E22127">
        <w:rPr>
          <w:rFonts w:ascii="Palatino Linotype" w:hAnsi="Palatino Linotype"/>
          <w:sz w:val="20"/>
          <w:szCs w:val="20"/>
        </w:rPr>
        <w:t xml:space="preserve"> </w:t>
      </w:r>
      <w:r w:rsidR="006637FB" w:rsidRPr="00E22127">
        <w:rPr>
          <w:rStyle w:val="cosearchterm"/>
          <w:rFonts w:ascii="Palatino Linotype" w:hAnsi="Palatino Linotype"/>
          <w:sz w:val="20"/>
          <w:szCs w:val="20"/>
        </w:rPr>
        <w:t xml:space="preserve">restraints. . . “the essence of censorship.” </w:t>
      </w:r>
      <w:r w:rsidR="006637FB" w:rsidRPr="00E22127">
        <w:rPr>
          <w:rStyle w:val="cosearchterm"/>
          <w:rFonts w:ascii="Palatino Linotype" w:hAnsi="Palatino Linotype"/>
          <w:i/>
          <w:sz w:val="20"/>
          <w:szCs w:val="20"/>
        </w:rPr>
        <w:t>Near v. Minnesota ex rel. Olson</w:t>
      </w:r>
      <w:r w:rsidR="006637FB" w:rsidRPr="00E22127">
        <w:rPr>
          <w:rStyle w:val="cosearchterm"/>
          <w:rFonts w:ascii="Palatino Linotype" w:hAnsi="Palatino Linotype"/>
          <w:sz w:val="20"/>
          <w:szCs w:val="20"/>
        </w:rPr>
        <w:t xml:space="preserve"> (1931).</w:t>
      </w:r>
    </w:p>
    <w:p w14:paraId="75E23C2D" w14:textId="41467366" w:rsidR="001D46A5"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t xml:space="preserve">Besides arguing </w:t>
      </w:r>
      <w:r w:rsidRPr="00E22127">
        <w:rPr>
          <w:rStyle w:val="cosearchterm"/>
          <w:rFonts w:ascii="Palatino Linotype" w:hAnsi="Palatino Linotype"/>
          <w:sz w:val="20"/>
          <w:szCs w:val="20"/>
        </w:rPr>
        <w:t>First</w:t>
      </w:r>
      <w:r w:rsidRPr="00E22127">
        <w:rPr>
          <w:rFonts w:ascii="Palatino Linotype" w:hAnsi="Palatino Linotype"/>
          <w:sz w:val="20"/>
          <w:szCs w:val="20"/>
        </w:rPr>
        <w:t xml:space="preserve"> </w:t>
      </w:r>
      <w:r w:rsidRPr="00E22127">
        <w:rPr>
          <w:rStyle w:val="cosearchterm"/>
          <w:rFonts w:ascii="Palatino Linotype" w:hAnsi="Palatino Linotype"/>
          <w:sz w:val="20"/>
          <w:szCs w:val="20"/>
        </w:rPr>
        <w:t>Amendment</w:t>
      </w:r>
      <w:r w:rsidRPr="00E22127">
        <w:rPr>
          <w:rFonts w:ascii="Palatino Linotype" w:hAnsi="Palatino Linotype"/>
          <w:sz w:val="20"/>
          <w:szCs w:val="20"/>
        </w:rPr>
        <w:t xml:space="preserve"> defenses, MARY L. </w:t>
      </w:r>
      <w:r w:rsidRPr="00E22127">
        <w:rPr>
          <w:rStyle w:val="cosearchterm"/>
          <w:rFonts w:ascii="Palatino Linotype" w:hAnsi="Palatino Linotype"/>
          <w:sz w:val="20"/>
          <w:szCs w:val="20"/>
        </w:rPr>
        <w:t>TRUMP</w:t>
      </w:r>
      <w:r w:rsidRPr="00E22127">
        <w:rPr>
          <w:rFonts w:ascii="Palatino Linotype" w:hAnsi="Palatino Linotype"/>
          <w:sz w:val="20"/>
          <w:szCs w:val="20"/>
        </w:rPr>
        <w:t xml:space="preserve"> also asserted the invalidity of the Agreement and questioned its terms. Further assertions are made that </w:t>
      </w:r>
      <w:r w:rsidRPr="00E22127">
        <w:rPr>
          <w:rStyle w:val="cosearchterm"/>
          <w:rFonts w:ascii="Palatino Linotype" w:hAnsi="Palatino Linotype"/>
          <w:sz w:val="20"/>
          <w:szCs w:val="20"/>
        </w:rPr>
        <w:t>First</w:t>
      </w:r>
      <w:r w:rsidRPr="00E22127">
        <w:rPr>
          <w:rFonts w:ascii="Palatino Linotype" w:hAnsi="Palatino Linotype"/>
          <w:sz w:val="20"/>
          <w:szCs w:val="20"/>
        </w:rPr>
        <w:t xml:space="preserve"> </w:t>
      </w:r>
      <w:r w:rsidRPr="00E22127">
        <w:rPr>
          <w:rStyle w:val="cosearchterm"/>
          <w:rFonts w:ascii="Palatino Linotype" w:hAnsi="Palatino Linotype"/>
          <w:sz w:val="20"/>
          <w:szCs w:val="20"/>
        </w:rPr>
        <w:t>Amendment</w:t>
      </w:r>
      <w:r w:rsidRPr="00E22127">
        <w:rPr>
          <w:rFonts w:ascii="Palatino Linotype" w:hAnsi="Palatino Linotype"/>
          <w:sz w:val="20"/>
          <w:szCs w:val="20"/>
        </w:rPr>
        <w:t xml:space="preserve"> prohibitions against </w:t>
      </w:r>
      <w:r w:rsidRPr="00E22127">
        <w:rPr>
          <w:rStyle w:val="cosearchterm"/>
          <w:rFonts w:ascii="Palatino Linotype" w:hAnsi="Palatino Linotype"/>
          <w:sz w:val="20"/>
          <w:szCs w:val="20"/>
        </w:rPr>
        <w:t>prior</w:t>
      </w:r>
      <w:r w:rsidRPr="00E22127">
        <w:rPr>
          <w:rFonts w:ascii="Palatino Linotype" w:hAnsi="Palatino Linotype"/>
          <w:sz w:val="20"/>
          <w:szCs w:val="20"/>
        </w:rPr>
        <w:t xml:space="preserve"> </w:t>
      </w:r>
      <w:r w:rsidRPr="00E22127">
        <w:rPr>
          <w:rStyle w:val="cosearchterm"/>
          <w:rFonts w:ascii="Palatino Linotype" w:hAnsi="Palatino Linotype"/>
          <w:sz w:val="20"/>
          <w:szCs w:val="20"/>
        </w:rPr>
        <w:t>restraint</w:t>
      </w:r>
      <w:r w:rsidRPr="00E22127">
        <w:rPr>
          <w:rFonts w:ascii="Palatino Linotype" w:hAnsi="Palatino Linotype"/>
          <w:sz w:val="20"/>
          <w:szCs w:val="20"/>
        </w:rPr>
        <w:t xml:space="preserve"> are not defeated by contractual agreements. </w:t>
      </w:r>
      <w:r w:rsidRPr="00E22127">
        <w:rPr>
          <w:rFonts w:ascii="Palatino Linotype" w:hAnsi="Palatino Linotype"/>
          <w:i/>
          <w:sz w:val="20"/>
          <w:szCs w:val="20"/>
        </w:rPr>
        <w:t>Shelley v. Kraemer</w:t>
      </w:r>
      <w:r w:rsidRPr="00E22127">
        <w:rPr>
          <w:rFonts w:ascii="Palatino Linotype" w:hAnsi="Palatino Linotype"/>
          <w:sz w:val="20"/>
          <w:szCs w:val="20"/>
        </w:rPr>
        <w:t xml:space="preserve"> (</w:t>
      </w:r>
      <w:proofErr w:type="gramStart"/>
      <w:r w:rsidRPr="00E22127">
        <w:rPr>
          <w:rFonts w:ascii="Palatino Linotype" w:hAnsi="Palatino Linotype"/>
          <w:sz w:val="20"/>
          <w:szCs w:val="20"/>
        </w:rPr>
        <w:t>1948). . .</w:t>
      </w:r>
      <w:proofErr w:type="gramEnd"/>
      <w:r w:rsidRPr="00E22127">
        <w:rPr>
          <w:rFonts w:ascii="Palatino Linotype" w:hAnsi="Palatino Linotype"/>
          <w:sz w:val="20"/>
          <w:szCs w:val="20"/>
        </w:rPr>
        <w:t xml:space="preserve"> .</w:t>
      </w:r>
    </w:p>
    <w:p w14:paraId="46C5DCA2" w14:textId="7D61DF09" w:rsidR="001D46A5"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t xml:space="preserve">Even where litigation is involved, where injunctive relief is sought to prevent the participants from discussing a case with the news media, the relief sought has been denied. </w:t>
      </w:r>
      <w:r w:rsidRPr="00E22127">
        <w:rPr>
          <w:rFonts w:ascii="Palatino Linotype" w:hAnsi="Palatino Linotype"/>
          <w:i/>
          <w:sz w:val="20"/>
          <w:szCs w:val="20"/>
        </w:rPr>
        <w:t>CBS, Inc. v. Young</w:t>
      </w:r>
      <w:r w:rsidRPr="00E22127">
        <w:rPr>
          <w:rFonts w:ascii="Palatino Linotype" w:hAnsi="Palatino Linotype"/>
          <w:sz w:val="20"/>
          <w:szCs w:val="20"/>
        </w:rPr>
        <w:t xml:space="preserve"> (6</w:t>
      </w:r>
      <w:r w:rsidRPr="00E22127">
        <w:rPr>
          <w:rFonts w:ascii="Palatino Linotype" w:hAnsi="Palatino Linotype"/>
          <w:sz w:val="20"/>
          <w:szCs w:val="20"/>
          <w:vertAlign w:val="superscript"/>
        </w:rPr>
        <w:t>th</w:t>
      </w:r>
      <w:r w:rsidRPr="00E22127">
        <w:rPr>
          <w:rFonts w:ascii="Palatino Linotype" w:hAnsi="Palatino Linotype"/>
          <w:sz w:val="20"/>
          <w:szCs w:val="20"/>
        </w:rPr>
        <w:t xml:space="preserve"> Cir. 1975).</w:t>
      </w:r>
    </w:p>
    <w:p w14:paraId="2EB656DB" w14:textId="53595504" w:rsidR="001D46A5"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t xml:space="preserve">Speech is so important, that courts have ignored how the information has been obtained, and still denied injunctive relief. </w:t>
      </w:r>
      <w:r w:rsidRPr="00E22127">
        <w:rPr>
          <w:rFonts w:ascii="Palatino Linotype" w:hAnsi="Palatino Linotype"/>
          <w:i/>
          <w:sz w:val="20"/>
          <w:szCs w:val="20"/>
        </w:rPr>
        <w:t>New York Times Co. v. United States</w:t>
      </w:r>
      <w:r w:rsidRPr="00E22127">
        <w:rPr>
          <w:rFonts w:ascii="Palatino Linotype" w:hAnsi="Palatino Linotype"/>
          <w:sz w:val="20"/>
          <w:szCs w:val="20"/>
        </w:rPr>
        <w:t xml:space="preserve"> (1971).</w:t>
      </w:r>
    </w:p>
    <w:p w14:paraId="251F69E0" w14:textId="63E64151" w:rsidR="001D46A5"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t>. . . .</w:t>
      </w:r>
    </w:p>
    <w:p w14:paraId="13649B2B" w14:textId="220144C4" w:rsidR="001D46A5"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t xml:space="preserve">The instant application herein for a preliminary injunction was made with the imperfect knowledge whether the Book had been published. Courts have held that pre-publication censorship will </w:t>
      </w:r>
      <w:proofErr w:type="gramStart"/>
      <w:r w:rsidRPr="00E22127">
        <w:rPr>
          <w:rFonts w:ascii="Palatino Linotype" w:hAnsi="Palatino Linotype"/>
          <w:sz w:val="20"/>
          <w:szCs w:val="20"/>
        </w:rPr>
        <w:t>“ be</w:t>
      </w:r>
      <w:proofErr w:type="gramEnd"/>
      <w:r w:rsidRPr="00E22127">
        <w:rPr>
          <w:rFonts w:ascii="Palatino Linotype" w:hAnsi="Palatino Linotype"/>
          <w:sz w:val="20"/>
          <w:szCs w:val="20"/>
        </w:rPr>
        <w:t xml:space="preserve"> constitutionally tolerated only upon ‘a showing on the record that such expression will immediately and irreparably create public injury’.” </w:t>
      </w:r>
      <w:proofErr w:type="spellStart"/>
      <w:r w:rsidRPr="00E22127">
        <w:rPr>
          <w:rFonts w:ascii="Palatino Linotype" w:hAnsi="Palatino Linotype"/>
          <w:i/>
          <w:sz w:val="20"/>
          <w:szCs w:val="20"/>
        </w:rPr>
        <w:t>Porco</w:t>
      </w:r>
      <w:proofErr w:type="spellEnd"/>
      <w:r w:rsidRPr="00E22127">
        <w:rPr>
          <w:rFonts w:ascii="Palatino Linotype" w:hAnsi="Palatino Linotype"/>
          <w:i/>
          <w:sz w:val="20"/>
          <w:szCs w:val="20"/>
        </w:rPr>
        <w:t xml:space="preserve"> v. Lifetime Entertainment Services, LLC</w:t>
      </w:r>
      <w:r w:rsidRPr="00E22127">
        <w:rPr>
          <w:rFonts w:ascii="Palatino Linotype" w:hAnsi="Palatino Linotype"/>
          <w:sz w:val="20"/>
          <w:szCs w:val="20"/>
        </w:rPr>
        <w:t xml:space="preserve"> (NY 2014); </w:t>
      </w:r>
      <w:r w:rsidRPr="00E22127">
        <w:rPr>
          <w:rFonts w:ascii="Palatino Linotype" w:hAnsi="Palatino Linotype"/>
          <w:i/>
          <w:sz w:val="20"/>
          <w:szCs w:val="20"/>
        </w:rPr>
        <w:t>CBS Inc. v. Davis</w:t>
      </w:r>
      <w:r w:rsidRPr="00E22127">
        <w:rPr>
          <w:rFonts w:ascii="Palatino Linotype" w:hAnsi="Palatino Linotype"/>
          <w:sz w:val="20"/>
          <w:szCs w:val="20"/>
        </w:rPr>
        <w:t xml:space="preserve"> (</w:t>
      </w:r>
      <w:proofErr w:type="gramStart"/>
      <w:r w:rsidRPr="00E22127">
        <w:rPr>
          <w:rFonts w:ascii="Palatino Linotype" w:hAnsi="Palatino Linotype"/>
          <w:sz w:val="20"/>
          <w:szCs w:val="20"/>
        </w:rPr>
        <w:t>1994). . .</w:t>
      </w:r>
      <w:proofErr w:type="gramEnd"/>
      <w:r w:rsidRPr="00E22127">
        <w:rPr>
          <w:rFonts w:ascii="Palatino Linotype" w:hAnsi="Palatino Linotype"/>
          <w:sz w:val="20"/>
          <w:szCs w:val="20"/>
        </w:rPr>
        <w:t xml:space="preserve"> .</w:t>
      </w:r>
    </w:p>
    <w:p w14:paraId="25B7CABA" w14:textId="2FD982F3" w:rsidR="001D46A5"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t>. . . .</w:t>
      </w:r>
    </w:p>
    <w:p w14:paraId="468170EE" w14:textId="5A3B9118" w:rsidR="001D46A5" w:rsidRPr="00E22127" w:rsidRDefault="001D46A5" w:rsidP="00526805">
      <w:pPr>
        <w:ind w:firstLine="720"/>
        <w:jc w:val="both"/>
        <w:rPr>
          <w:rFonts w:ascii="Palatino Linotype" w:hAnsi="Palatino Linotype"/>
          <w:sz w:val="20"/>
          <w:szCs w:val="20"/>
        </w:rPr>
      </w:pPr>
      <w:r w:rsidRPr="00E22127">
        <w:rPr>
          <w:rFonts w:ascii="Palatino Linotype" w:hAnsi="Palatino Linotype"/>
          <w:sz w:val="20"/>
          <w:szCs w:val="20"/>
        </w:rPr>
        <w:t xml:space="preserve">In the matter entitled </w:t>
      </w:r>
      <w:r w:rsidRPr="00E22127">
        <w:rPr>
          <w:rFonts w:ascii="Palatino Linotype" w:hAnsi="Palatino Linotype"/>
          <w:i/>
          <w:sz w:val="20"/>
          <w:szCs w:val="20"/>
        </w:rPr>
        <w:t xml:space="preserve">Ronnie Van </w:t>
      </w:r>
      <w:proofErr w:type="spellStart"/>
      <w:r w:rsidRPr="00E22127">
        <w:rPr>
          <w:rFonts w:ascii="Palatino Linotype" w:hAnsi="Palatino Linotype"/>
          <w:i/>
          <w:sz w:val="20"/>
          <w:szCs w:val="20"/>
        </w:rPr>
        <w:t>Zant</w:t>
      </w:r>
      <w:proofErr w:type="spellEnd"/>
      <w:r w:rsidRPr="00E22127">
        <w:rPr>
          <w:rFonts w:ascii="Palatino Linotype" w:hAnsi="Palatino Linotype"/>
          <w:i/>
          <w:sz w:val="20"/>
          <w:szCs w:val="20"/>
        </w:rPr>
        <w:t>, Inc. v. Cleopatra Records, Inc.</w:t>
      </w:r>
      <w:r w:rsidRPr="00E22127">
        <w:rPr>
          <w:rFonts w:ascii="Palatino Linotype" w:hAnsi="Palatino Linotype"/>
          <w:sz w:val="20"/>
          <w:szCs w:val="20"/>
        </w:rPr>
        <w:t xml:space="preserve"> (2</w:t>
      </w:r>
      <w:r w:rsidRPr="00E22127">
        <w:rPr>
          <w:rFonts w:ascii="Palatino Linotype" w:hAnsi="Palatino Linotype"/>
          <w:sz w:val="20"/>
          <w:szCs w:val="20"/>
          <w:vertAlign w:val="superscript"/>
        </w:rPr>
        <w:t>nd</w:t>
      </w:r>
      <w:r w:rsidRPr="00E22127">
        <w:rPr>
          <w:rFonts w:ascii="Palatino Linotype" w:hAnsi="Palatino Linotype"/>
          <w:sz w:val="20"/>
          <w:szCs w:val="20"/>
        </w:rPr>
        <w:t xml:space="preserve"> Cir. 2018), the United States Court of Appeals, Second Circuit vacated an injunction, reasoning that although the injunction was as a result of a private agreement (as is sought herein), what was to be enjoined was a:</w:t>
      </w:r>
    </w:p>
    <w:p w14:paraId="3A3A3523" w14:textId="7CF18B63" w:rsidR="001D46A5" w:rsidRPr="00E22127" w:rsidRDefault="001D46A5" w:rsidP="00526805">
      <w:pPr>
        <w:ind w:firstLine="720"/>
        <w:jc w:val="both"/>
        <w:rPr>
          <w:rFonts w:ascii="Palatino Linotype" w:hAnsi="Palatino Linotype"/>
          <w:sz w:val="20"/>
          <w:szCs w:val="20"/>
        </w:rPr>
      </w:pPr>
    </w:p>
    <w:p w14:paraId="597D620E" w14:textId="23795C59" w:rsidR="001D46A5" w:rsidRPr="00E22127" w:rsidRDefault="001D46A5" w:rsidP="006637FB">
      <w:pPr>
        <w:ind w:left="720" w:right="720"/>
        <w:jc w:val="both"/>
        <w:rPr>
          <w:rStyle w:val="Emphasis"/>
          <w:rFonts w:ascii="Palatino Linotype" w:hAnsi="Palatino Linotype"/>
          <w:i w:val="0"/>
          <w:sz w:val="20"/>
          <w:szCs w:val="20"/>
        </w:rPr>
      </w:pPr>
      <w:r w:rsidRPr="00E22127">
        <w:rPr>
          <w:rStyle w:val="Emphasis"/>
          <w:rFonts w:ascii="Palatino Linotype" w:hAnsi="Palatino Linotype"/>
          <w:i w:val="0"/>
          <w:sz w:val="20"/>
          <w:szCs w:val="20"/>
        </w:rPr>
        <w:t xml:space="preserve">“viewing of an expressive work prior to its public availability, and courts should always be hesitant to approve such an injunction. “Any </w:t>
      </w:r>
      <w:r w:rsidRPr="00E22127">
        <w:rPr>
          <w:rStyle w:val="cosearchterm"/>
          <w:rFonts w:ascii="Palatino Linotype" w:hAnsi="Palatino Linotype"/>
          <w:i/>
          <w:iCs/>
          <w:sz w:val="20"/>
          <w:szCs w:val="20"/>
        </w:rPr>
        <w:t>prior</w:t>
      </w:r>
      <w:r w:rsidRPr="00E22127">
        <w:rPr>
          <w:rStyle w:val="Emphasis"/>
          <w:rFonts w:ascii="Palatino Linotype" w:hAnsi="Palatino Linotype"/>
          <w:i w:val="0"/>
          <w:sz w:val="20"/>
          <w:szCs w:val="20"/>
        </w:rPr>
        <w:t xml:space="preserve"> </w:t>
      </w:r>
      <w:r w:rsidRPr="00E22127">
        <w:rPr>
          <w:rStyle w:val="cosearchterm"/>
          <w:rFonts w:ascii="Palatino Linotype" w:hAnsi="Palatino Linotype"/>
          <w:i/>
          <w:iCs/>
          <w:sz w:val="20"/>
          <w:szCs w:val="20"/>
        </w:rPr>
        <w:t>restraint</w:t>
      </w:r>
      <w:r w:rsidRPr="00E22127">
        <w:rPr>
          <w:rStyle w:val="Emphasis"/>
          <w:rFonts w:ascii="Palatino Linotype" w:hAnsi="Palatino Linotype"/>
          <w:i w:val="0"/>
          <w:sz w:val="20"/>
          <w:szCs w:val="20"/>
        </w:rPr>
        <w:t xml:space="preserve"> on expression comes to [the Supreme] Court with a heavy presumption against its constitutional validity.”</w:t>
      </w:r>
      <w:r w:rsidRPr="00E22127">
        <w:rPr>
          <w:rStyle w:val="Emphasis"/>
          <w:rFonts w:ascii="Palatino Linotype" w:hAnsi="Palatino Linotype"/>
          <w:sz w:val="20"/>
          <w:szCs w:val="20"/>
        </w:rPr>
        <w:t xml:space="preserve"> Organization for a Better Austin v. Keefe </w:t>
      </w:r>
      <w:r w:rsidRPr="00E22127">
        <w:rPr>
          <w:rStyle w:val="Emphasis"/>
          <w:rFonts w:ascii="Palatino Linotype" w:hAnsi="Palatino Linotype"/>
          <w:i w:val="0"/>
          <w:sz w:val="20"/>
          <w:szCs w:val="20"/>
        </w:rPr>
        <w:t>(</w:t>
      </w:r>
      <w:proofErr w:type="gramStart"/>
      <w:r w:rsidRPr="00E22127">
        <w:rPr>
          <w:rStyle w:val="Emphasis"/>
          <w:rFonts w:ascii="Palatino Linotype" w:hAnsi="Palatino Linotype"/>
          <w:i w:val="0"/>
          <w:sz w:val="20"/>
          <w:szCs w:val="20"/>
        </w:rPr>
        <w:t>1971). . .</w:t>
      </w:r>
      <w:proofErr w:type="gramEnd"/>
      <w:r w:rsidRPr="00E22127">
        <w:rPr>
          <w:rStyle w:val="Emphasis"/>
          <w:rFonts w:ascii="Palatino Linotype" w:hAnsi="Palatino Linotype"/>
          <w:i w:val="0"/>
          <w:sz w:val="20"/>
          <w:szCs w:val="20"/>
        </w:rPr>
        <w:t xml:space="preserve"> .</w:t>
      </w:r>
    </w:p>
    <w:p w14:paraId="01D87C55" w14:textId="67FD9949" w:rsidR="001D46A5" w:rsidRPr="00E22127" w:rsidRDefault="001D46A5" w:rsidP="00526805">
      <w:pPr>
        <w:ind w:firstLine="720"/>
        <w:jc w:val="both"/>
        <w:rPr>
          <w:rStyle w:val="Emphasis"/>
          <w:rFonts w:ascii="Palatino Linotype" w:hAnsi="Palatino Linotype"/>
          <w:i w:val="0"/>
          <w:sz w:val="20"/>
          <w:szCs w:val="20"/>
        </w:rPr>
      </w:pPr>
    </w:p>
    <w:p w14:paraId="06EE6F1A" w14:textId="311AA93F" w:rsidR="001D46A5" w:rsidRPr="00E22127" w:rsidRDefault="006637FB" w:rsidP="00526805">
      <w:pPr>
        <w:ind w:firstLine="720"/>
        <w:jc w:val="both"/>
        <w:rPr>
          <w:rFonts w:ascii="Palatino Linotype" w:hAnsi="Palatino Linotype"/>
          <w:sz w:val="20"/>
          <w:szCs w:val="20"/>
        </w:rPr>
      </w:pPr>
      <w:r w:rsidRPr="00E22127">
        <w:rPr>
          <w:rFonts w:ascii="Palatino Linotype" w:hAnsi="Palatino Linotype"/>
          <w:sz w:val="20"/>
          <w:szCs w:val="20"/>
        </w:rPr>
        <w:t xml:space="preserve">As can be seen by the instant proceeding, a question to be answered is whether the confidentiality clauses in the 2001 Agreement, viewed in the context of the current </w:t>
      </w:r>
      <w:r w:rsidRPr="00E22127">
        <w:rPr>
          <w:rStyle w:val="cosearchterm"/>
          <w:rFonts w:ascii="Palatino Linotype" w:hAnsi="Palatino Linotype"/>
          <w:sz w:val="20"/>
          <w:szCs w:val="20"/>
        </w:rPr>
        <w:t>Trump</w:t>
      </w:r>
      <w:r w:rsidRPr="00E22127">
        <w:rPr>
          <w:rFonts w:ascii="Palatino Linotype" w:hAnsi="Palatino Linotype"/>
          <w:sz w:val="20"/>
          <w:szCs w:val="20"/>
        </w:rPr>
        <w:t xml:space="preserve"> family circumstances in 2020, would “offend public policy as a </w:t>
      </w:r>
      <w:r w:rsidRPr="00E22127">
        <w:rPr>
          <w:rStyle w:val="cosearchterm"/>
          <w:rFonts w:ascii="Palatino Linotype" w:hAnsi="Palatino Linotype"/>
          <w:sz w:val="20"/>
          <w:szCs w:val="20"/>
        </w:rPr>
        <w:t>prior</w:t>
      </w:r>
      <w:r w:rsidRPr="00E22127">
        <w:rPr>
          <w:rFonts w:ascii="Palatino Linotype" w:hAnsi="Palatino Linotype"/>
          <w:sz w:val="20"/>
          <w:szCs w:val="20"/>
        </w:rPr>
        <w:t xml:space="preserve"> </w:t>
      </w:r>
      <w:r w:rsidRPr="00E22127">
        <w:rPr>
          <w:rStyle w:val="cosearchterm"/>
          <w:rFonts w:ascii="Palatino Linotype" w:hAnsi="Palatino Linotype"/>
          <w:sz w:val="20"/>
          <w:szCs w:val="20"/>
        </w:rPr>
        <w:t>restraint</w:t>
      </w:r>
      <w:r w:rsidRPr="00E22127">
        <w:rPr>
          <w:rFonts w:ascii="Palatino Linotype" w:hAnsi="Palatino Linotype"/>
          <w:sz w:val="20"/>
          <w:szCs w:val="20"/>
        </w:rPr>
        <w:t xml:space="preserve"> on protected speech”. Yes, it should, as it would be a </w:t>
      </w:r>
      <w:r w:rsidRPr="00E22127">
        <w:rPr>
          <w:rStyle w:val="cosearchterm"/>
          <w:rFonts w:ascii="Palatino Linotype" w:hAnsi="Palatino Linotype"/>
          <w:sz w:val="20"/>
          <w:szCs w:val="20"/>
        </w:rPr>
        <w:t>prior</w:t>
      </w:r>
      <w:r w:rsidRPr="00E22127">
        <w:rPr>
          <w:rFonts w:ascii="Palatino Linotype" w:hAnsi="Palatino Linotype"/>
          <w:sz w:val="20"/>
          <w:szCs w:val="20"/>
        </w:rPr>
        <w:t xml:space="preserve"> </w:t>
      </w:r>
      <w:r w:rsidRPr="00E22127">
        <w:rPr>
          <w:rStyle w:val="cosearchterm"/>
          <w:rFonts w:ascii="Palatino Linotype" w:hAnsi="Palatino Linotype"/>
          <w:sz w:val="20"/>
          <w:szCs w:val="20"/>
        </w:rPr>
        <w:t>restraint</w:t>
      </w:r>
      <w:r w:rsidRPr="00E22127">
        <w:rPr>
          <w:rFonts w:ascii="Palatino Linotype" w:hAnsi="Palatino Linotype"/>
          <w:sz w:val="20"/>
          <w:szCs w:val="20"/>
        </w:rPr>
        <w:t xml:space="preserve"> on speech.</w:t>
      </w:r>
    </w:p>
    <w:p w14:paraId="66DBB5F1" w14:textId="1DF88230" w:rsidR="006637FB" w:rsidRPr="00E22127" w:rsidRDefault="006637FB" w:rsidP="00526805">
      <w:pPr>
        <w:ind w:firstLine="720"/>
        <w:jc w:val="both"/>
        <w:rPr>
          <w:rFonts w:ascii="Palatino Linotype" w:hAnsi="Palatino Linotype"/>
          <w:sz w:val="20"/>
          <w:szCs w:val="20"/>
        </w:rPr>
      </w:pPr>
      <w:r w:rsidRPr="00E22127">
        <w:rPr>
          <w:rFonts w:ascii="Palatino Linotype" w:hAnsi="Palatino Linotype"/>
          <w:sz w:val="20"/>
          <w:szCs w:val="20"/>
        </w:rPr>
        <w:lastRenderedPageBreak/>
        <w:t xml:space="preserve">Notwithstanding that the Book has been published and distributed in great quantities, to enjoin MARY L. </w:t>
      </w:r>
      <w:r w:rsidRPr="00E22127">
        <w:rPr>
          <w:rStyle w:val="cosearchterm"/>
          <w:rFonts w:ascii="Palatino Linotype" w:hAnsi="Palatino Linotype"/>
          <w:sz w:val="20"/>
          <w:szCs w:val="20"/>
        </w:rPr>
        <w:t>TRUMP</w:t>
      </w:r>
      <w:r w:rsidRPr="00E22127">
        <w:rPr>
          <w:rFonts w:ascii="Palatino Linotype" w:hAnsi="Palatino Linotype"/>
          <w:sz w:val="20"/>
          <w:szCs w:val="20"/>
        </w:rPr>
        <w:t xml:space="preserve"> at this juncture would be incorrect and serve no purpose. It would be moot.</w:t>
      </w:r>
    </w:p>
    <w:p w14:paraId="61A72415" w14:textId="3275CD18" w:rsidR="006637FB" w:rsidRPr="00E22127" w:rsidRDefault="006637FB" w:rsidP="00526805">
      <w:pPr>
        <w:ind w:firstLine="720"/>
        <w:jc w:val="both"/>
        <w:rPr>
          <w:rFonts w:ascii="Palatino Linotype" w:hAnsi="Palatino Linotype"/>
          <w:sz w:val="20"/>
          <w:szCs w:val="20"/>
        </w:rPr>
      </w:pPr>
      <w:r w:rsidRPr="00E22127">
        <w:rPr>
          <w:rFonts w:ascii="Palatino Linotype" w:hAnsi="Palatino Linotype"/>
          <w:sz w:val="20"/>
          <w:szCs w:val="20"/>
        </w:rPr>
        <w:t>. . . .</w:t>
      </w:r>
    </w:p>
    <w:p w14:paraId="6C49EE2E" w14:textId="3A0100A7" w:rsidR="006637FB" w:rsidRPr="00E22127" w:rsidRDefault="006637FB" w:rsidP="00526805">
      <w:pPr>
        <w:ind w:firstLine="720"/>
        <w:jc w:val="both"/>
        <w:rPr>
          <w:rFonts w:ascii="Palatino Linotype" w:hAnsi="Palatino Linotype"/>
          <w:sz w:val="20"/>
          <w:szCs w:val="20"/>
        </w:rPr>
      </w:pPr>
      <w:r w:rsidRPr="00E22127">
        <w:rPr>
          <w:rFonts w:ascii="Palatino Linotype" w:hAnsi="Palatino Linotype"/>
          <w:sz w:val="20"/>
          <w:szCs w:val="20"/>
        </w:rPr>
        <w:t xml:space="preserve">Lastly, in the vernacular of First year law students, “Con. Law </w:t>
      </w:r>
      <w:r w:rsidRPr="00E22127">
        <w:rPr>
          <w:rStyle w:val="cosearchterm"/>
          <w:rFonts w:ascii="Palatino Linotype" w:hAnsi="Palatino Linotype"/>
          <w:sz w:val="20"/>
          <w:szCs w:val="20"/>
        </w:rPr>
        <w:t>trumps</w:t>
      </w:r>
      <w:r w:rsidRPr="00E22127">
        <w:rPr>
          <w:rFonts w:ascii="Palatino Linotype" w:hAnsi="Palatino Linotype"/>
          <w:sz w:val="20"/>
          <w:szCs w:val="20"/>
        </w:rPr>
        <w:t xml:space="preserve"> Contracts.”</w:t>
      </w:r>
    </w:p>
    <w:p w14:paraId="5382E886" w14:textId="31CE0677" w:rsidR="006637FB" w:rsidRPr="00E22127" w:rsidRDefault="006637FB" w:rsidP="00526805">
      <w:pPr>
        <w:ind w:firstLine="720"/>
        <w:jc w:val="both"/>
        <w:rPr>
          <w:rFonts w:ascii="Palatino Linotype" w:hAnsi="Palatino Linotype"/>
          <w:iCs/>
          <w:sz w:val="20"/>
          <w:szCs w:val="20"/>
        </w:rPr>
      </w:pPr>
      <w:r w:rsidRPr="00E22127">
        <w:rPr>
          <w:rFonts w:ascii="Palatino Linotype" w:hAnsi="Palatino Linotype"/>
          <w:i/>
          <w:sz w:val="20"/>
          <w:szCs w:val="20"/>
        </w:rPr>
        <w:t>Denied</w:t>
      </w:r>
      <w:r w:rsidRPr="00E22127">
        <w:rPr>
          <w:rFonts w:ascii="Palatino Linotype" w:hAnsi="Palatino Linotype"/>
          <w:sz w:val="20"/>
          <w:szCs w:val="20"/>
        </w:rPr>
        <w:t>.</w:t>
      </w:r>
    </w:p>
    <w:sectPr w:rsidR="006637FB" w:rsidRPr="00E221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7A509" w14:textId="77777777" w:rsidR="00760D58" w:rsidRDefault="00760D58" w:rsidP="000E2F1A">
      <w:r>
        <w:separator/>
      </w:r>
    </w:p>
  </w:endnote>
  <w:endnote w:type="continuationSeparator" w:id="0">
    <w:p w14:paraId="709E9948" w14:textId="77777777" w:rsidR="00760D58" w:rsidRDefault="00760D5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262186F8" w:rsidR="000E2F1A" w:rsidRDefault="000E2F1A">
        <w:pPr>
          <w:pStyle w:val="Footer"/>
          <w:jc w:val="center"/>
        </w:pPr>
        <w:r>
          <w:fldChar w:fldCharType="begin"/>
        </w:r>
        <w:r>
          <w:instrText xml:space="preserve"> PAGE   \* MERGEFORMAT </w:instrText>
        </w:r>
        <w:r>
          <w:fldChar w:fldCharType="separate"/>
        </w:r>
        <w:r w:rsidR="00AF5D85">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4280F" w14:textId="77777777" w:rsidR="00760D58" w:rsidRDefault="00760D58" w:rsidP="000E2F1A">
      <w:r>
        <w:separator/>
      </w:r>
    </w:p>
  </w:footnote>
  <w:footnote w:type="continuationSeparator" w:id="0">
    <w:p w14:paraId="55C74244" w14:textId="77777777" w:rsidR="00760D58" w:rsidRDefault="00760D58"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07C2B"/>
    <w:rsid w:val="000216BC"/>
    <w:rsid w:val="00034280"/>
    <w:rsid w:val="000428DE"/>
    <w:rsid w:val="000473BF"/>
    <w:rsid w:val="000557EE"/>
    <w:rsid w:val="00056859"/>
    <w:rsid w:val="00060C5C"/>
    <w:rsid w:val="00087EC4"/>
    <w:rsid w:val="0009312E"/>
    <w:rsid w:val="000B1EB6"/>
    <w:rsid w:val="000B2ED5"/>
    <w:rsid w:val="000D3986"/>
    <w:rsid w:val="000D6A67"/>
    <w:rsid w:val="000E0C08"/>
    <w:rsid w:val="000E0C81"/>
    <w:rsid w:val="000E2F1A"/>
    <w:rsid w:val="000E5CF9"/>
    <w:rsid w:val="000E5EEF"/>
    <w:rsid w:val="000F1C11"/>
    <w:rsid w:val="000F4C64"/>
    <w:rsid w:val="00101523"/>
    <w:rsid w:val="001246B5"/>
    <w:rsid w:val="00135FF7"/>
    <w:rsid w:val="00143EBC"/>
    <w:rsid w:val="001446C6"/>
    <w:rsid w:val="00164EFB"/>
    <w:rsid w:val="00173E2A"/>
    <w:rsid w:val="00180936"/>
    <w:rsid w:val="001A3876"/>
    <w:rsid w:val="001A552C"/>
    <w:rsid w:val="001B6032"/>
    <w:rsid w:val="001D2A6C"/>
    <w:rsid w:val="001D457B"/>
    <w:rsid w:val="001D46A5"/>
    <w:rsid w:val="001F65A6"/>
    <w:rsid w:val="00200749"/>
    <w:rsid w:val="00200816"/>
    <w:rsid w:val="002020F3"/>
    <w:rsid w:val="00215764"/>
    <w:rsid w:val="0022203D"/>
    <w:rsid w:val="002315CE"/>
    <w:rsid w:val="0024712D"/>
    <w:rsid w:val="0025762C"/>
    <w:rsid w:val="00273BC3"/>
    <w:rsid w:val="002833A8"/>
    <w:rsid w:val="002A5606"/>
    <w:rsid w:val="002B34BE"/>
    <w:rsid w:val="002B51C6"/>
    <w:rsid w:val="002B619F"/>
    <w:rsid w:val="002C5592"/>
    <w:rsid w:val="002C58E5"/>
    <w:rsid w:val="002F4939"/>
    <w:rsid w:val="002F508B"/>
    <w:rsid w:val="00300BF4"/>
    <w:rsid w:val="003207CD"/>
    <w:rsid w:val="00322694"/>
    <w:rsid w:val="00327F97"/>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D6240"/>
    <w:rsid w:val="003F2081"/>
    <w:rsid w:val="003F2AAD"/>
    <w:rsid w:val="00436265"/>
    <w:rsid w:val="00460C02"/>
    <w:rsid w:val="0046492E"/>
    <w:rsid w:val="00467D49"/>
    <w:rsid w:val="00471B24"/>
    <w:rsid w:val="004838F7"/>
    <w:rsid w:val="00490E71"/>
    <w:rsid w:val="004B0267"/>
    <w:rsid w:val="004B27DE"/>
    <w:rsid w:val="004B5528"/>
    <w:rsid w:val="004E456E"/>
    <w:rsid w:val="004F7FE7"/>
    <w:rsid w:val="00526805"/>
    <w:rsid w:val="00526FB3"/>
    <w:rsid w:val="00530FC0"/>
    <w:rsid w:val="00531A8A"/>
    <w:rsid w:val="0053445F"/>
    <w:rsid w:val="00543076"/>
    <w:rsid w:val="00553C96"/>
    <w:rsid w:val="00562B67"/>
    <w:rsid w:val="00565B89"/>
    <w:rsid w:val="005927B1"/>
    <w:rsid w:val="00595709"/>
    <w:rsid w:val="005A4FD0"/>
    <w:rsid w:val="005A5A99"/>
    <w:rsid w:val="005B1713"/>
    <w:rsid w:val="005C1BBA"/>
    <w:rsid w:val="005D4895"/>
    <w:rsid w:val="005E48BF"/>
    <w:rsid w:val="00622CF5"/>
    <w:rsid w:val="006276A1"/>
    <w:rsid w:val="00640D40"/>
    <w:rsid w:val="00644E22"/>
    <w:rsid w:val="0065732B"/>
    <w:rsid w:val="00660729"/>
    <w:rsid w:val="006637FB"/>
    <w:rsid w:val="00663DFE"/>
    <w:rsid w:val="00664205"/>
    <w:rsid w:val="00671558"/>
    <w:rsid w:val="00676590"/>
    <w:rsid w:val="00683143"/>
    <w:rsid w:val="006B08D2"/>
    <w:rsid w:val="006C7931"/>
    <w:rsid w:val="006E2465"/>
    <w:rsid w:val="006E2E7C"/>
    <w:rsid w:val="006E5EF8"/>
    <w:rsid w:val="006F5095"/>
    <w:rsid w:val="00700E02"/>
    <w:rsid w:val="00704132"/>
    <w:rsid w:val="007138C4"/>
    <w:rsid w:val="00715EF2"/>
    <w:rsid w:val="00717BF0"/>
    <w:rsid w:val="0072232F"/>
    <w:rsid w:val="00725F35"/>
    <w:rsid w:val="00745A4D"/>
    <w:rsid w:val="007549DD"/>
    <w:rsid w:val="00760D58"/>
    <w:rsid w:val="00774FC8"/>
    <w:rsid w:val="00792842"/>
    <w:rsid w:val="00793EE2"/>
    <w:rsid w:val="007A3463"/>
    <w:rsid w:val="007A4B49"/>
    <w:rsid w:val="007B1007"/>
    <w:rsid w:val="007C34AB"/>
    <w:rsid w:val="007D4368"/>
    <w:rsid w:val="007E3A9B"/>
    <w:rsid w:val="007F2EA0"/>
    <w:rsid w:val="007F41D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26BE6"/>
    <w:rsid w:val="00946070"/>
    <w:rsid w:val="00950479"/>
    <w:rsid w:val="00954C68"/>
    <w:rsid w:val="009611F9"/>
    <w:rsid w:val="00963D02"/>
    <w:rsid w:val="00976265"/>
    <w:rsid w:val="009B16AC"/>
    <w:rsid w:val="009B27B0"/>
    <w:rsid w:val="00A14A1B"/>
    <w:rsid w:val="00A33637"/>
    <w:rsid w:val="00A563BB"/>
    <w:rsid w:val="00A5645D"/>
    <w:rsid w:val="00A616D7"/>
    <w:rsid w:val="00A62C6F"/>
    <w:rsid w:val="00A83D3C"/>
    <w:rsid w:val="00A875D2"/>
    <w:rsid w:val="00A972B8"/>
    <w:rsid w:val="00AB13A6"/>
    <w:rsid w:val="00AB391E"/>
    <w:rsid w:val="00AC7C58"/>
    <w:rsid w:val="00AF5D85"/>
    <w:rsid w:val="00B01AE6"/>
    <w:rsid w:val="00B0763C"/>
    <w:rsid w:val="00B116BB"/>
    <w:rsid w:val="00B16A22"/>
    <w:rsid w:val="00B24C72"/>
    <w:rsid w:val="00B3180F"/>
    <w:rsid w:val="00B41CA8"/>
    <w:rsid w:val="00B709E7"/>
    <w:rsid w:val="00B73345"/>
    <w:rsid w:val="00B9406A"/>
    <w:rsid w:val="00B97D2B"/>
    <w:rsid w:val="00BA49AE"/>
    <w:rsid w:val="00BB6128"/>
    <w:rsid w:val="00BC3046"/>
    <w:rsid w:val="00BC38AA"/>
    <w:rsid w:val="00BC62BB"/>
    <w:rsid w:val="00BD0C6C"/>
    <w:rsid w:val="00BD1AD0"/>
    <w:rsid w:val="00BF4162"/>
    <w:rsid w:val="00BF69A4"/>
    <w:rsid w:val="00C0192C"/>
    <w:rsid w:val="00C04042"/>
    <w:rsid w:val="00C04969"/>
    <w:rsid w:val="00C26AF0"/>
    <w:rsid w:val="00C47BFC"/>
    <w:rsid w:val="00C56CE8"/>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44A71"/>
    <w:rsid w:val="00D61977"/>
    <w:rsid w:val="00D64B92"/>
    <w:rsid w:val="00D9018F"/>
    <w:rsid w:val="00DA08BA"/>
    <w:rsid w:val="00DB1569"/>
    <w:rsid w:val="00DB4AF4"/>
    <w:rsid w:val="00DB755B"/>
    <w:rsid w:val="00DC1D01"/>
    <w:rsid w:val="00DC23C4"/>
    <w:rsid w:val="00DE6176"/>
    <w:rsid w:val="00E00B0C"/>
    <w:rsid w:val="00E117B4"/>
    <w:rsid w:val="00E1544F"/>
    <w:rsid w:val="00E2103F"/>
    <w:rsid w:val="00E22127"/>
    <w:rsid w:val="00E2543C"/>
    <w:rsid w:val="00E65009"/>
    <w:rsid w:val="00E74ACD"/>
    <w:rsid w:val="00EB6FF6"/>
    <w:rsid w:val="00EC5000"/>
    <w:rsid w:val="00ED0A45"/>
    <w:rsid w:val="00ED3666"/>
    <w:rsid w:val="00ED4182"/>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36BC"/>
    <w:rsid w:val="00F63AA2"/>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character" w:customStyle="1" w:styleId="cosearchterm">
    <w:name w:val="co_searchterm"/>
    <w:basedOn w:val="DefaultParagraphFont"/>
    <w:rsid w:val="00543076"/>
  </w:style>
  <w:style w:type="character" w:styleId="Strong">
    <w:name w:val="Strong"/>
    <w:basedOn w:val="DefaultParagraphFont"/>
    <w:uiPriority w:val="22"/>
    <w:qFormat/>
    <w:rsid w:val="00B16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627541072">
      <w:bodyDiv w:val="1"/>
      <w:marLeft w:val="0"/>
      <w:marRight w:val="0"/>
      <w:marTop w:val="0"/>
      <w:marBottom w:val="0"/>
      <w:divBdr>
        <w:top w:val="none" w:sz="0" w:space="0" w:color="auto"/>
        <w:left w:val="none" w:sz="0" w:space="0" w:color="auto"/>
        <w:bottom w:val="none" w:sz="0" w:space="0" w:color="auto"/>
        <w:right w:val="none" w:sz="0" w:space="0" w:color="auto"/>
      </w:divBdr>
      <w:divsChild>
        <w:div w:id="729158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4AA14-E07A-4034-9526-F9016CA3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2020-12-11T00:11:00Z</dcterms:created>
  <dcterms:modified xsi:type="dcterms:W3CDTF">2020-12-11T00:11:00Z</dcterms:modified>
</cp:coreProperties>
</file>