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A9678" w14:textId="77777777" w:rsidR="00342EE1" w:rsidRPr="00A36B9C" w:rsidRDefault="00342EE1" w:rsidP="00342EE1">
      <w:pPr>
        <w:spacing w:after="0" w:line="240" w:lineRule="auto"/>
        <w:jc w:val="center"/>
        <w:rPr>
          <w:rFonts w:ascii="Palatino Linotype" w:hAnsi="Palatino Linotype"/>
          <w:sz w:val="20"/>
          <w:szCs w:val="20"/>
        </w:rPr>
      </w:pPr>
      <w:r w:rsidRPr="00A36B9C">
        <w:rPr>
          <w:rFonts w:ascii="Palatino Linotype" w:hAnsi="Palatino Linotype"/>
          <w:sz w:val="20"/>
          <w:szCs w:val="20"/>
        </w:rPr>
        <w:t>AMERICAN CONSTITUTIONALISM</w:t>
      </w:r>
    </w:p>
    <w:p w14:paraId="4AAB27C0" w14:textId="7DA6E3F7" w:rsidR="00342EE1" w:rsidRPr="00A36B9C" w:rsidRDefault="00342EE1" w:rsidP="00342EE1">
      <w:pPr>
        <w:spacing w:after="0" w:line="240" w:lineRule="auto"/>
        <w:jc w:val="center"/>
        <w:rPr>
          <w:rFonts w:ascii="Palatino Linotype" w:hAnsi="Palatino Linotype"/>
          <w:sz w:val="20"/>
          <w:szCs w:val="20"/>
        </w:rPr>
      </w:pPr>
      <w:r w:rsidRPr="00A36B9C">
        <w:rPr>
          <w:rFonts w:ascii="Palatino Linotype" w:hAnsi="Palatino Linotype"/>
          <w:sz w:val="20"/>
          <w:szCs w:val="20"/>
        </w:rPr>
        <w:t>VOLUME I</w:t>
      </w:r>
      <w:r w:rsidR="002D4B0A" w:rsidRPr="00A36B9C">
        <w:rPr>
          <w:rFonts w:ascii="Palatino Linotype" w:hAnsi="Palatino Linotype"/>
          <w:sz w:val="20"/>
          <w:szCs w:val="20"/>
        </w:rPr>
        <w:t>I</w:t>
      </w:r>
      <w:r w:rsidRPr="00A36B9C">
        <w:rPr>
          <w:rFonts w:ascii="Palatino Linotype" w:hAnsi="Palatino Linotype"/>
          <w:sz w:val="20"/>
          <w:szCs w:val="20"/>
        </w:rPr>
        <w:t xml:space="preserve">:  </w:t>
      </w:r>
      <w:r w:rsidR="002D4B0A" w:rsidRPr="00A36B9C">
        <w:rPr>
          <w:rFonts w:ascii="Palatino Linotype" w:hAnsi="Palatino Linotype"/>
          <w:sz w:val="20"/>
          <w:szCs w:val="20"/>
        </w:rPr>
        <w:t>RIGHTS AND LIBERTIES</w:t>
      </w:r>
    </w:p>
    <w:p w14:paraId="2320C665" w14:textId="77777777" w:rsidR="00342EE1" w:rsidRPr="00A36B9C" w:rsidRDefault="00342EE1" w:rsidP="00342EE1">
      <w:pPr>
        <w:spacing w:after="0" w:line="240" w:lineRule="auto"/>
        <w:jc w:val="center"/>
        <w:rPr>
          <w:rFonts w:ascii="Palatino Linotype" w:hAnsi="Palatino Linotype"/>
          <w:sz w:val="20"/>
          <w:szCs w:val="20"/>
        </w:rPr>
      </w:pPr>
      <w:r w:rsidRPr="00A36B9C">
        <w:rPr>
          <w:rFonts w:ascii="Palatino Linotype" w:hAnsi="Palatino Linotype"/>
          <w:sz w:val="20"/>
          <w:szCs w:val="20"/>
        </w:rPr>
        <w:t>Howard Gillman • Mark A. Graber • Keith E. Whittington</w:t>
      </w:r>
    </w:p>
    <w:p w14:paraId="3B67DBC5" w14:textId="77777777" w:rsidR="00342EE1" w:rsidRPr="00A36B9C" w:rsidRDefault="00342EE1" w:rsidP="00342EE1">
      <w:pPr>
        <w:spacing w:after="0" w:line="240" w:lineRule="auto"/>
        <w:jc w:val="center"/>
        <w:rPr>
          <w:rFonts w:ascii="Palatino Linotype" w:hAnsi="Palatino Linotype"/>
          <w:sz w:val="20"/>
          <w:szCs w:val="20"/>
        </w:rPr>
      </w:pPr>
    </w:p>
    <w:p w14:paraId="1A66EE8F" w14:textId="77777777" w:rsidR="00342EE1" w:rsidRPr="00A36B9C" w:rsidRDefault="00342EE1" w:rsidP="00342EE1">
      <w:pPr>
        <w:spacing w:after="0" w:line="240" w:lineRule="auto"/>
        <w:jc w:val="center"/>
        <w:rPr>
          <w:rFonts w:ascii="Palatino Linotype" w:hAnsi="Palatino Linotype"/>
          <w:sz w:val="20"/>
          <w:szCs w:val="20"/>
        </w:rPr>
      </w:pPr>
      <w:r w:rsidRPr="00A36B9C">
        <w:rPr>
          <w:rFonts w:ascii="Palatino Linotype" w:hAnsi="Palatino Linotype"/>
          <w:sz w:val="20"/>
          <w:szCs w:val="20"/>
        </w:rPr>
        <w:t>Supplementary Material</w:t>
      </w:r>
    </w:p>
    <w:p w14:paraId="79DA9D31" w14:textId="77777777" w:rsidR="00342EE1" w:rsidRPr="00A36B9C" w:rsidRDefault="00342EE1" w:rsidP="00342EE1">
      <w:pPr>
        <w:spacing w:after="0" w:line="240" w:lineRule="auto"/>
        <w:jc w:val="center"/>
        <w:rPr>
          <w:rFonts w:ascii="Palatino Linotype" w:hAnsi="Palatino Linotype"/>
          <w:sz w:val="20"/>
          <w:szCs w:val="20"/>
        </w:rPr>
      </w:pPr>
    </w:p>
    <w:p w14:paraId="52CD5850" w14:textId="341D5FED" w:rsidR="00342EE1" w:rsidRPr="00A36B9C" w:rsidRDefault="00342EE1" w:rsidP="00342EE1">
      <w:pPr>
        <w:spacing w:after="0" w:line="240" w:lineRule="auto"/>
        <w:jc w:val="center"/>
        <w:rPr>
          <w:rFonts w:ascii="Palatino Linotype" w:hAnsi="Palatino Linotype"/>
          <w:sz w:val="20"/>
          <w:szCs w:val="20"/>
        </w:rPr>
      </w:pPr>
      <w:r w:rsidRPr="00A36B9C">
        <w:rPr>
          <w:rFonts w:ascii="Palatino Linotype" w:hAnsi="Palatino Linotype"/>
          <w:sz w:val="20"/>
          <w:szCs w:val="20"/>
        </w:rPr>
        <w:t xml:space="preserve">Chapter 12:  The Contemporary Era – </w:t>
      </w:r>
      <w:r w:rsidR="00A205CF" w:rsidRPr="00A36B9C">
        <w:rPr>
          <w:rFonts w:ascii="Palatino Linotype" w:hAnsi="Palatino Linotype"/>
          <w:sz w:val="20"/>
          <w:szCs w:val="20"/>
        </w:rPr>
        <w:t>Democratic</w:t>
      </w:r>
      <w:r w:rsidRPr="00A36B9C">
        <w:rPr>
          <w:rFonts w:ascii="Palatino Linotype" w:hAnsi="Palatino Linotype"/>
          <w:sz w:val="20"/>
          <w:szCs w:val="20"/>
        </w:rPr>
        <w:t xml:space="preserve"> Rights/Voting</w:t>
      </w:r>
      <w:r w:rsidR="00A205CF" w:rsidRPr="00A36B9C">
        <w:rPr>
          <w:rFonts w:ascii="Palatino Linotype" w:hAnsi="Palatino Linotype"/>
          <w:sz w:val="20"/>
          <w:szCs w:val="20"/>
        </w:rPr>
        <w:t>/Regulating Elections</w:t>
      </w:r>
    </w:p>
    <w:p w14:paraId="2AC1C41D" w14:textId="77777777" w:rsidR="00342EE1" w:rsidRPr="00A36B9C" w:rsidRDefault="00342EE1" w:rsidP="00342EE1">
      <w:pPr>
        <w:spacing w:after="0" w:line="240" w:lineRule="auto"/>
        <w:jc w:val="center"/>
        <w:rPr>
          <w:rFonts w:ascii="Palatino Linotype" w:hAnsi="Palatino Linotype"/>
          <w:sz w:val="20"/>
          <w:szCs w:val="20"/>
        </w:rPr>
      </w:pPr>
    </w:p>
    <w:p w14:paraId="668D5836" w14:textId="77777777" w:rsidR="00342EE1" w:rsidRPr="00A36B9C" w:rsidRDefault="005366E1" w:rsidP="00342EE1">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6F9C47A5">
          <v:rect id="_x0000_i1025" style="width:468pt;height:1.5pt" o:hralign="center" o:hrstd="t" o:hrnoshade="t" o:hr="t" fillcolor="black [3213]" stroked="f"/>
        </w:pict>
      </w:r>
    </w:p>
    <w:p w14:paraId="577DFAFD" w14:textId="4F2ECC50" w:rsidR="00342EE1" w:rsidRPr="00A36B9C" w:rsidRDefault="00342EE1" w:rsidP="00342EE1">
      <w:pPr>
        <w:shd w:val="clear" w:color="auto" w:fill="FFFFFF"/>
        <w:spacing w:after="0" w:line="240" w:lineRule="auto"/>
        <w:jc w:val="center"/>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b/>
          <w:bCs/>
          <w:sz w:val="20"/>
          <w:szCs w:val="20"/>
        </w:rPr>
        <w:t xml:space="preserve">Moore v. </w:t>
      </w:r>
      <w:proofErr w:type="spellStart"/>
      <w:r w:rsidRPr="00A36B9C">
        <w:rPr>
          <w:rFonts w:ascii="Palatino Linotype" w:eastAsia="Times New Roman" w:hAnsi="Palatino Linotype" w:cs="Times New Roman"/>
          <w:b/>
          <w:bCs/>
          <w:sz w:val="20"/>
          <w:szCs w:val="20"/>
        </w:rPr>
        <w:t>Circosta</w:t>
      </w:r>
      <w:proofErr w:type="spellEnd"/>
      <w:r w:rsidRPr="00A36B9C">
        <w:rPr>
          <w:rFonts w:ascii="Palatino Linotype" w:eastAsia="Times New Roman" w:hAnsi="Palatino Linotype" w:cs="Times New Roman"/>
          <w:b/>
          <w:bCs/>
          <w:sz w:val="20"/>
          <w:szCs w:val="20"/>
        </w:rPr>
        <w:t>, ___ U.S. ___</w:t>
      </w:r>
      <w:r w:rsidRPr="00A36B9C">
        <w:rPr>
          <w:rFonts w:ascii="Palatino Linotype" w:eastAsia="Times New Roman" w:hAnsi="Palatino Linotype" w:cs="Times New Roman"/>
          <w:sz w:val="20"/>
          <w:szCs w:val="20"/>
        </w:rPr>
        <w:t xml:space="preserve"> (2020).</w:t>
      </w:r>
    </w:p>
    <w:p w14:paraId="1712A0EB" w14:textId="77777777" w:rsidR="00342EE1" w:rsidRPr="00A36B9C" w:rsidRDefault="005366E1" w:rsidP="00342EE1">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59756899">
          <v:rect id="_x0000_i1026" style="width:468pt;height:1.5pt" o:hralign="center" o:hrstd="t" o:hrnoshade="t" o:hr="t" fillcolor="black [3213]" stroked="f"/>
        </w:pict>
      </w:r>
    </w:p>
    <w:p w14:paraId="40B40527" w14:textId="77777777" w:rsidR="00342EE1" w:rsidRPr="00A36B9C" w:rsidRDefault="00342EE1" w:rsidP="00342EE1">
      <w:pPr>
        <w:spacing w:after="0" w:line="240" w:lineRule="auto"/>
        <w:rPr>
          <w:rFonts w:ascii="Palatino Linotype" w:eastAsia="Times New Roman" w:hAnsi="Palatino Linotype" w:cs="Times New Roman"/>
          <w:sz w:val="20"/>
          <w:szCs w:val="20"/>
        </w:rPr>
      </w:pPr>
    </w:p>
    <w:p w14:paraId="59F6941D"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i/>
          <w:iCs/>
          <w:sz w:val="20"/>
          <w:szCs w:val="20"/>
        </w:rPr>
      </w:pPr>
      <w:r w:rsidRPr="00A36B9C">
        <w:rPr>
          <w:rFonts w:ascii="Palatino Linotype" w:eastAsia="Times New Roman" w:hAnsi="Palatino Linotype" w:cs="Times New Roman"/>
          <w:i/>
          <w:iCs/>
          <w:sz w:val="20"/>
          <w:szCs w:val="20"/>
        </w:rPr>
        <w:t xml:space="preserve">Damon </w:t>
      </w:r>
      <w:proofErr w:type="spellStart"/>
      <w:r w:rsidRPr="00A36B9C">
        <w:rPr>
          <w:rFonts w:ascii="Palatino Linotype" w:eastAsia="Times New Roman" w:hAnsi="Palatino Linotype" w:cs="Times New Roman"/>
          <w:i/>
          <w:iCs/>
          <w:sz w:val="20"/>
          <w:szCs w:val="20"/>
        </w:rPr>
        <w:t>Circosta</w:t>
      </w:r>
      <w:proofErr w:type="spellEnd"/>
      <w:r w:rsidRPr="00A36B9C">
        <w:rPr>
          <w:rFonts w:ascii="Palatino Linotype" w:eastAsia="Times New Roman" w:hAnsi="Palatino Linotype" w:cs="Times New Roman"/>
          <w:i/>
          <w:iCs/>
          <w:sz w:val="20"/>
          <w:szCs w:val="20"/>
        </w:rPr>
        <w:t xml:space="preserve"> was the chair of the North Carolina State Board of Elections</w:t>
      </w:r>
      <w:r w:rsidRPr="00A36B9C">
        <w:rPr>
          <w:rFonts w:ascii="Palatino Linotype" w:eastAsia="Times New Roman" w:hAnsi="Palatino Linotype" w:cs="Times New Roman"/>
          <w:sz w:val="20"/>
          <w:szCs w:val="20"/>
        </w:rPr>
        <w:t xml:space="preserve">.  </w:t>
      </w:r>
      <w:r w:rsidRPr="00A36B9C">
        <w:rPr>
          <w:rFonts w:ascii="Palatino Linotype" w:eastAsia="Times New Roman" w:hAnsi="Palatino Linotype" w:cs="Times New Roman"/>
          <w:i/>
          <w:iCs/>
          <w:sz w:val="20"/>
          <w:szCs w:val="20"/>
        </w:rPr>
        <w:t>On September 15, 2020, the board in response to a lawsuit agreed to extend the deadline for receiving absentee ballots until November 12, nine days after the election (ballots still had to be mailed on or before November 3). That settlement was approved by a local North Carolina court on October 2.  Timothy Moore, the Speaker of the North Carolina House of Representatives, Patsy Wise, a North Carolina voter, and many others promptly asked a federal district court to grant an injunction, prohibiting implementation of the deadline extension for receiving absentee ballots.  The local district court granted the injunction, but that decision was reversed by the Court of Appeals for the Fourth Circuit.  Moore appealed to the Supreme Court of the United States.</w:t>
      </w:r>
    </w:p>
    <w:p w14:paraId="639D1039"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i/>
          <w:iCs/>
          <w:sz w:val="20"/>
          <w:szCs w:val="20"/>
        </w:rPr>
        <w:tab/>
        <w:t xml:space="preserve">The Supreme Court by a 5-3 vote refused to reinstitute the injunction.  Justice Neil Gorsuch issued a dissent claiming that the North Carolina Board of Elections had acted unconstitutionally and that the justices should have prevented what he believed was a </w:t>
      </w:r>
      <w:proofErr w:type="gramStart"/>
      <w:r w:rsidRPr="00A36B9C">
        <w:rPr>
          <w:rFonts w:ascii="Palatino Linotype" w:eastAsia="Times New Roman" w:hAnsi="Palatino Linotype" w:cs="Times New Roman"/>
          <w:i/>
          <w:iCs/>
          <w:sz w:val="20"/>
          <w:szCs w:val="20"/>
        </w:rPr>
        <w:t>last minute</w:t>
      </w:r>
      <w:proofErr w:type="gramEnd"/>
      <w:r w:rsidRPr="00A36B9C">
        <w:rPr>
          <w:rFonts w:ascii="Palatino Linotype" w:eastAsia="Times New Roman" w:hAnsi="Palatino Linotype" w:cs="Times New Roman"/>
          <w:i/>
          <w:iCs/>
          <w:sz w:val="20"/>
          <w:szCs w:val="20"/>
        </w:rPr>
        <w:t xml:space="preserve"> effort by non-legislators to rewrite state election law.  One difference between the North Carolina and Wisconsin was that in North Carolina the relevant change was made by a state board of elections while in Wisconsin voting rules were changed by a federal court.  Does this difference make a difference?  Why does Gorsuch think the Wisconsin case analogous to North Carolina?  Is he correct?  Who is making the </w:t>
      </w:r>
      <w:proofErr w:type="gramStart"/>
      <w:r w:rsidRPr="00A36B9C">
        <w:rPr>
          <w:rFonts w:ascii="Palatino Linotype" w:eastAsia="Times New Roman" w:hAnsi="Palatino Linotype" w:cs="Times New Roman"/>
          <w:i/>
          <w:iCs/>
          <w:sz w:val="20"/>
          <w:szCs w:val="20"/>
        </w:rPr>
        <w:t>last minute</w:t>
      </w:r>
      <w:proofErr w:type="gramEnd"/>
      <w:r w:rsidRPr="00A36B9C">
        <w:rPr>
          <w:rFonts w:ascii="Palatino Linotype" w:eastAsia="Times New Roman" w:hAnsi="Palatino Linotype" w:cs="Times New Roman"/>
          <w:i/>
          <w:iCs/>
          <w:sz w:val="20"/>
          <w:szCs w:val="20"/>
        </w:rPr>
        <w:t xml:space="preserve"> change, the North Carolina State Board of Elections or those seeking an injunction?</w:t>
      </w:r>
    </w:p>
    <w:p w14:paraId="1B8445EF"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p>
    <w:p w14:paraId="3C7B9287"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The application for injunctive relief presented to THE CHIEF JUSTICE and by him referred to the Court is denied.</w:t>
      </w:r>
    </w:p>
    <w:p w14:paraId="6BB1216D"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p>
    <w:p w14:paraId="055C5161"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Justice </w:t>
      </w:r>
      <w:hyperlink r:id="rId4" w:history="1">
        <w:r w:rsidRPr="00A36B9C">
          <w:rPr>
            <w:rFonts w:ascii="Palatino Linotype" w:eastAsia="Times New Roman" w:hAnsi="Palatino Linotype" w:cs="Times New Roman"/>
            <w:sz w:val="20"/>
            <w:szCs w:val="20"/>
            <w:bdr w:val="none" w:sz="0" w:space="0" w:color="auto" w:frame="1"/>
          </w:rPr>
          <w:t>BARRETT</w:t>
        </w:r>
      </w:hyperlink>
      <w:r w:rsidRPr="00A36B9C">
        <w:rPr>
          <w:rFonts w:ascii="Palatino Linotype" w:eastAsia="Times New Roman" w:hAnsi="Palatino Linotype" w:cs="Times New Roman"/>
          <w:sz w:val="20"/>
          <w:szCs w:val="20"/>
        </w:rPr>
        <w:t> took no part in the consideration or decision of this application.</w:t>
      </w:r>
    </w:p>
    <w:p w14:paraId="41AAB69A"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p>
    <w:p w14:paraId="4D2C0CE8"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Justice </w:t>
      </w:r>
      <w:hyperlink r:id="rId5" w:history="1">
        <w:r w:rsidRPr="00A36B9C">
          <w:rPr>
            <w:rFonts w:ascii="Palatino Linotype" w:eastAsia="Times New Roman" w:hAnsi="Palatino Linotype" w:cs="Times New Roman"/>
            <w:sz w:val="20"/>
            <w:szCs w:val="20"/>
            <w:bdr w:val="none" w:sz="0" w:space="0" w:color="auto" w:frame="1"/>
          </w:rPr>
          <w:t>THOMAS</w:t>
        </w:r>
      </w:hyperlink>
      <w:r w:rsidRPr="00A36B9C">
        <w:rPr>
          <w:rFonts w:ascii="Palatino Linotype" w:eastAsia="Times New Roman" w:hAnsi="Palatino Linotype" w:cs="Times New Roman"/>
          <w:sz w:val="20"/>
          <w:szCs w:val="20"/>
        </w:rPr>
        <w:t> would grant the application.</w:t>
      </w:r>
    </w:p>
    <w:p w14:paraId="2DF80DC1"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p>
    <w:p w14:paraId="2034670D"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Justice </w:t>
      </w:r>
      <w:hyperlink r:id="rId6" w:history="1">
        <w:r w:rsidRPr="00A36B9C">
          <w:rPr>
            <w:rFonts w:ascii="Palatino Linotype" w:eastAsia="Times New Roman" w:hAnsi="Palatino Linotype" w:cs="Times New Roman"/>
            <w:sz w:val="20"/>
            <w:szCs w:val="20"/>
            <w:bdr w:val="none" w:sz="0" w:space="0" w:color="auto" w:frame="1"/>
          </w:rPr>
          <w:t>GORSUCH</w:t>
        </w:r>
      </w:hyperlink>
      <w:r w:rsidRPr="00A36B9C">
        <w:rPr>
          <w:rFonts w:ascii="Palatino Linotype" w:eastAsia="Times New Roman" w:hAnsi="Palatino Linotype" w:cs="Times New Roman"/>
          <w:sz w:val="20"/>
          <w:szCs w:val="20"/>
        </w:rPr>
        <w:t>, with whom Justice </w:t>
      </w:r>
      <w:hyperlink r:id="rId7" w:history="1">
        <w:r w:rsidRPr="00A36B9C">
          <w:rPr>
            <w:rFonts w:ascii="Palatino Linotype" w:eastAsia="Times New Roman" w:hAnsi="Palatino Linotype" w:cs="Times New Roman"/>
            <w:sz w:val="20"/>
            <w:szCs w:val="20"/>
            <w:bdr w:val="none" w:sz="0" w:space="0" w:color="auto" w:frame="1"/>
          </w:rPr>
          <w:t>ALITO</w:t>
        </w:r>
      </w:hyperlink>
      <w:r w:rsidRPr="00A36B9C">
        <w:rPr>
          <w:rFonts w:ascii="Palatino Linotype" w:eastAsia="Times New Roman" w:hAnsi="Palatino Linotype" w:cs="Times New Roman"/>
          <w:sz w:val="20"/>
          <w:szCs w:val="20"/>
        </w:rPr>
        <w:t> joins, dissenting from denial of application for injunctive relief.</w:t>
      </w:r>
    </w:p>
    <w:p w14:paraId="15623192"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p>
    <w:p w14:paraId="73146B54" w14:textId="77777777" w:rsidR="00342EE1" w:rsidRPr="00A36B9C" w:rsidRDefault="00342EE1" w:rsidP="00342EE1">
      <w:pPr>
        <w:shd w:val="clear" w:color="auto" w:fill="FFFFFF"/>
        <w:spacing w:after="0" w:line="240" w:lineRule="auto"/>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This summer, the General Assembly of North Carolina adopted new election laws expressly designed to address the challenges COVID posed to a fast-approaching election. Among other things, the General Assembly reduced the witness requirement for absentee ballots from two witnesses to one, freed up more individuals to staff polling centers, created a mechanism to allow voters to track their ballots, enabled voters to request absentee ballots online, and increased funding to ensure the State's in-person and absentee voting infrastructure could withstand “the coronavirus pandemic,” At the same time, the General Assembly judged it appropriate to retain certain other existing election rules, like the State's deadline for the receipt of absentee ballots. Accordingly, under state law, absentee ballots must be postmarked on or before election day, and they must be received “not later than three days after” election day. </w:t>
      </w:r>
    </w:p>
    <w:p w14:paraId="716665AE" w14:textId="77777777" w:rsidR="00342EE1" w:rsidRPr="00A36B9C" w:rsidRDefault="00342EE1" w:rsidP="00342EE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lastRenderedPageBreak/>
        <w:t>Despite the General Assembly's considered judgment about the appropriate response to COVID, other state actors—including the State Board of Elections—recently chose to issue their own additional and supplemental set of amendments to state election laws. Relevant here, they purported to extend the absentee ballot receipt deadline by six days, up to November 12.</w:t>
      </w:r>
    </w:p>
    <w:p w14:paraId="0057C145" w14:textId="77777777" w:rsidR="00342EE1" w:rsidRPr="00A36B9C" w:rsidRDefault="00342EE1" w:rsidP="00342EE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That last part should sound familiar. Just days ago, this Court rejected a similar effort to rewrite a state legislature's election deadlines. Wisconsin (like North Carolina) has a ballot receipt deadline enshrined in statute. All the same, a federal district court decided to order Wisconsin to extend its deadline by six days. The Seventh Circuit stayed that ruling, and we agreed with its disposition. For many of the same reasons I believe that decision was correct, I believe we should stay the Board's action here. See </w:t>
      </w:r>
      <w:r w:rsidRPr="00A36B9C">
        <w:rPr>
          <w:rFonts w:ascii="Palatino Linotype" w:eastAsia="Times New Roman" w:hAnsi="Palatino Linotype" w:cs="Times New Roman"/>
          <w:i/>
          <w:iCs/>
          <w:sz w:val="20"/>
          <w:szCs w:val="20"/>
          <w:bdr w:val="none" w:sz="0" w:space="0" w:color="auto" w:frame="1"/>
        </w:rPr>
        <w:t>Democratic National Committee </w:t>
      </w:r>
      <w:r w:rsidRPr="00A36B9C">
        <w:rPr>
          <w:rFonts w:ascii="Palatino Linotype" w:eastAsia="Times New Roman" w:hAnsi="Palatino Linotype" w:cs="Times New Roman"/>
          <w:sz w:val="20"/>
          <w:szCs w:val="20"/>
          <w:bdr w:val="none" w:sz="0" w:space="0" w:color="auto" w:frame="1"/>
        </w:rPr>
        <w:t>v.</w:t>
      </w:r>
      <w:r w:rsidRPr="00A36B9C">
        <w:rPr>
          <w:rFonts w:ascii="Palatino Linotype" w:eastAsia="Times New Roman" w:hAnsi="Palatino Linotype" w:cs="Times New Roman"/>
          <w:i/>
          <w:iCs/>
          <w:sz w:val="20"/>
          <w:szCs w:val="20"/>
          <w:bdr w:val="none" w:sz="0" w:space="0" w:color="auto" w:frame="1"/>
        </w:rPr>
        <w:t> Wisconsin State Legislature</w:t>
      </w:r>
      <w:r w:rsidRPr="00A36B9C">
        <w:rPr>
          <w:rFonts w:ascii="Palatino Linotype" w:eastAsia="Times New Roman" w:hAnsi="Palatino Linotype" w:cs="Times New Roman"/>
          <w:sz w:val="20"/>
          <w:szCs w:val="20"/>
          <w:bdr w:val="none" w:sz="0" w:space="0" w:color="auto" w:frame="1"/>
        </w:rPr>
        <w:t xml:space="preserve"> (2020)</w:t>
      </w:r>
      <w:r w:rsidRPr="00A36B9C">
        <w:rPr>
          <w:rFonts w:ascii="Palatino Linotype" w:eastAsia="Times New Roman" w:hAnsi="Palatino Linotype" w:cs="Times New Roman"/>
          <w:sz w:val="20"/>
          <w:szCs w:val="20"/>
        </w:rPr>
        <w:t> (GORSUCH, J., concurring). In some respects, this case may be even more egregious, given that a state court and the Board worked together to override a carefully tailored legislative response to COVID. Indeed, the president </w:t>
      </w:r>
      <w:r w:rsidRPr="00A36B9C">
        <w:rPr>
          <w:rFonts w:ascii="Palatino Linotype" w:eastAsia="Times New Roman" w:hAnsi="Palatino Linotype" w:cs="Times New Roman"/>
          <w:i/>
          <w:iCs/>
          <w:sz w:val="20"/>
          <w:szCs w:val="20"/>
          <w:bdr w:val="none" w:sz="0" w:space="0" w:color="auto" w:frame="1"/>
        </w:rPr>
        <w:t>pro tempore</w:t>
      </w:r>
      <w:r w:rsidRPr="00A36B9C">
        <w:rPr>
          <w:rFonts w:ascii="Palatino Linotype" w:eastAsia="Times New Roman" w:hAnsi="Palatino Linotype" w:cs="Times New Roman"/>
          <w:sz w:val="20"/>
          <w:szCs w:val="20"/>
        </w:rPr>
        <w:t> of the North Carolina Senate and the speaker of its House of Representatives have intervened on behalf of the General Assembly to oppose revisions to its work.</w:t>
      </w:r>
    </w:p>
    <w:p w14:paraId="419E2DB0" w14:textId="77777777" w:rsidR="00342EE1" w:rsidRPr="00A36B9C" w:rsidRDefault="00342EE1" w:rsidP="00342EE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The parties before us all acknowledge that, under the Federal </w:t>
      </w:r>
      <w:r w:rsidRPr="00A36B9C">
        <w:rPr>
          <w:rFonts w:ascii="Palatino Linotype" w:eastAsia="Times New Roman" w:hAnsi="Palatino Linotype" w:cs="Times New Roman"/>
          <w:sz w:val="20"/>
          <w:szCs w:val="20"/>
          <w:bdr w:val="none" w:sz="0" w:space="0" w:color="auto" w:frame="1"/>
        </w:rPr>
        <w:t>Constitution</w:t>
      </w:r>
      <w:r w:rsidRPr="00A36B9C">
        <w:rPr>
          <w:rFonts w:ascii="Palatino Linotype" w:eastAsia="Times New Roman" w:hAnsi="Palatino Linotype" w:cs="Times New Roman"/>
          <w:sz w:val="20"/>
          <w:szCs w:val="20"/>
        </w:rPr>
        <w:t>, only the state “Legislature” and “Congress” may prescribe “[t]he Times, Places and Manner of holding Elections.” Everyone agrees, too, that the North Carolina </w:t>
      </w:r>
      <w:r w:rsidRPr="00A36B9C">
        <w:rPr>
          <w:rFonts w:ascii="Palatino Linotype" w:eastAsia="Times New Roman" w:hAnsi="Palatino Linotype" w:cs="Times New Roman"/>
          <w:sz w:val="20"/>
          <w:szCs w:val="20"/>
          <w:bdr w:val="none" w:sz="0" w:space="0" w:color="auto" w:frame="1"/>
        </w:rPr>
        <w:t>Constitution</w:t>
      </w:r>
      <w:r w:rsidRPr="00A36B9C">
        <w:rPr>
          <w:rFonts w:ascii="Palatino Linotype" w:eastAsia="Times New Roman" w:hAnsi="Palatino Linotype" w:cs="Times New Roman"/>
          <w:sz w:val="20"/>
          <w:szCs w:val="20"/>
        </w:rPr>
        <w:t xml:space="preserve"> expressly vests all legislative power in the General Assembly, not the Board or anyone else.  </w:t>
      </w:r>
      <w:proofErr w:type="gramStart"/>
      <w:r w:rsidRPr="00A36B9C">
        <w:rPr>
          <w:rFonts w:ascii="Palatino Linotype" w:eastAsia="Times New Roman" w:hAnsi="Palatino Linotype" w:cs="Times New Roman"/>
          <w:sz w:val="20"/>
          <w:szCs w:val="20"/>
        </w:rPr>
        <w:t>So</w:t>
      </w:r>
      <w:proofErr w:type="gramEnd"/>
      <w:r w:rsidRPr="00A36B9C">
        <w:rPr>
          <w:rFonts w:ascii="Palatino Linotype" w:eastAsia="Times New Roman" w:hAnsi="Palatino Linotype" w:cs="Times New Roman"/>
          <w:sz w:val="20"/>
          <w:szCs w:val="20"/>
        </w:rPr>
        <w:t xml:space="preserve"> we need not go rifling through state law to understand the Board's permissible role in (re)writing election laws. All we need to know about its authority to override state election laws is plain from the Federal and State </w:t>
      </w:r>
      <w:r w:rsidRPr="00A36B9C">
        <w:rPr>
          <w:rFonts w:ascii="Palatino Linotype" w:eastAsia="Times New Roman" w:hAnsi="Palatino Linotype" w:cs="Times New Roman"/>
          <w:sz w:val="20"/>
          <w:szCs w:val="20"/>
          <w:bdr w:val="none" w:sz="0" w:space="0" w:color="auto" w:frame="1"/>
        </w:rPr>
        <w:t>Constitutions</w:t>
      </w:r>
      <w:r w:rsidRPr="00A36B9C">
        <w:rPr>
          <w:rFonts w:ascii="Palatino Linotype" w:eastAsia="Times New Roman" w:hAnsi="Palatino Linotype" w:cs="Times New Roman"/>
          <w:sz w:val="20"/>
          <w:szCs w:val="20"/>
        </w:rPr>
        <w:t>.</w:t>
      </w:r>
    </w:p>
    <w:p w14:paraId="6C4B8690" w14:textId="77777777" w:rsidR="00342EE1" w:rsidRPr="00A36B9C" w:rsidRDefault="00342EE1" w:rsidP="00342EE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Besides, even assuming the North Carolina General Assembly could delegate its Elections Clause authority to other officials, its representatives contend before us that it has not authorized the deadline extension here, and understandably so. State law provides the Board with supervisory authority over elections.  But that authority permits the Board to prescribe regulations only if “they do not conflict” with state statutory law. </w:t>
      </w:r>
      <w:r w:rsidRPr="00A36B9C">
        <w:rPr>
          <w:rFonts w:ascii="Palatino Linotype" w:eastAsia="Times New Roman" w:hAnsi="Palatino Linotype" w:cs="Times New Roman"/>
          <w:i/>
          <w:iCs/>
          <w:sz w:val="20"/>
          <w:szCs w:val="20"/>
          <w:bdr w:val="none" w:sz="0" w:space="0" w:color="auto" w:frame="1"/>
        </w:rPr>
        <w:t>Ibid. </w:t>
      </w:r>
      <w:r w:rsidRPr="00A36B9C">
        <w:rPr>
          <w:rFonts w:ascii="Palatino Linotype" w:eastAsia="Times New Roman" w:hAnsi="Palatino Linotype" w:cs="Times New Roman"/>
          <w:sz w:val="20"/>
          <w:szCs w:val="20"/>
        </w:rPr>
        <w:t xml:space="preserve">State law also furnishes the Board with power to fashion interim rules. But that power too is circumscribed, triggered when a state statute has been (or likely would be) invalidated by a court. That </w:t>
      </w:r>
      <w:proofErr w:type="gramStart"/>
      <w:r w:rsidRPr="00A36B9C">
        <w:rPr>
          <w:rFonts w:ascii="Palatino Linotype" w:eastAsia="Times New Roman" w:hAnsi="Palatino Linotype" w:cs="Times New Roman"/>
          <w:sz w:val="20"/>
          <w:szCs w:val="20"/>
        </w:rPr>
        <w:t>doesn't</w:t>
      </w:r>
      <w:proofErr w:type="gramEnd"/>
      <w:r w:rsidRPr="00A36B9C">
        <w:rPr>
          <w:rFonts w:ascii="Palatino Linotype" w:eastAsia="Times New Roman" w:hAnsi="Palatino Linotype" w:cs="Times New Roman"/>
          <w:sz w:val="20"/>
          <w:szCs w:val="20"/>
        </w:rPr>
        <w:t xml:space="preserve"> sound like a blank check to the Board allowing it to rewrite the election code in any and all consent decrees it may wish to enter. Finally, state law confers upon the Board certain emergency </w:t>
      </w:r>
      <w:proofErr w:type="gramStart"/>
      <w:r w:rsidRPr="00A36B9C">
        <w:rPr>
          <w:rFonts w:ascii="Palatino Linotype" w:eastAsia="Times New Roman" w:hAnsi="Palatino Linotype" w:cs="Times New Roman"/>
          <w:sz w:val="20"/>
          <w:szCs w:val="20"/>
        </w:rPr>
        <w:t>powers..</w:t>
      </w:r>
      <w:proofErr w:type="gramEnd"/>
      <w:r w:rsidRPr="00A36B9C">
        <w:rPr>
          <w:rFonts w:ascii="Palatino Linotype" w:eastAsia="Times New Roman" w:hAnsi="Palatino Linotype" w:cs="Times New Roman"/>
          <w:sz w:val="20"/>
          <w:szCs w:val="20"/>
        </w:rPr>
        <w:t xml:space="preserve"> But, relevant for our purposes, the Board may exercise those powers only when three conditions are met: (1) “the normal schedule for the election is disrupted” (2) by a “natural disaster” and (3) provided that the Board's actions do not “</w:t>
      </w:r>
      <w:proofErr w:type="spellStart"/>
      <w:r w:rsidRPr="00A36B9C">
        <w:rPr>
          <w:rFonts w:ascii="Palatino Linotype" w:eastAsia="Times New Roman" w:hAnsi="Palatino Linotype" w:cs="Times New Roman"/>
          <w:sz w:val="20"/>
          <w:szCs w:val="20"/>
        </w:rPr>
        <w:t>unnecessar</w:t>
      </w:r>
      <w:proofErr w:type="spellEnd"/>
      <w:r w:rsidRPr="00A36B9C">
        <w:rPr>
          <w:rFonts w:ascii="Palatino Linotype" w:eastAsia="Times New Roman" w:hAnsi="Palatino Linotype" w:cs="Times New Roman"/>
          <w:sz w:val="20"/>
          <w:szCs w:val="20"/>
        </w:rPr>
        <w:t>[</w:t>
      </w:r>
      <w:proofErr w:type="spellStart"/>
      <w:r w:rsidRPr="00A36B9C">
        <w:rPr>
          <w:rFonts w:ascii="Palatino Linotype" w:eastAsia="Times New Roman" w:hAnsi="Palatino Linotype" w:cs="Times New Roman"/>
          <w:sz w:val="20"/>
          <w:szCs w:val="20"/>
        </w:rPr>
        <w:t>ily</w:t>
      </w:r>
      <w:proofErr w:type="spellEnd"/>
      <w:r w:rsidRPr="00A36B9C">
        <w:rPr>
          <w:rFonts w:ascii="Palatino Linotype" w:eastAsia="Times New Roman" w:hAnsi="Palatino Linotype" w:cs="Times New Roman"/>
          <w:sz w:val="20"/>
          <w:szCs w:val="20"/>
        </w:rPr>
        <w:t>] conflict” with statutory law.  There is no ground for thinking that the election “schedule” has been “disrupted”: North Carolina stands fully equipped to conduct its election on November 3. Nor is COVID like the “natural disasters” the Board has pointed to in the past (</w:t>
      </w:r>
      <w:r w:rsidRPr="00A36B9C">
        <w:rPr>
          <w:rFonts w:ascii="Palatino Linotype" w:eastAsia="Times New Roman" w:hAnsi="Palatino Linotype" w:cs="Times New Roman"/>
          <w:i/>
          <w:iCs/>
          <w:sz w:val="20"/>
          <w:szCs w:val="20"/>
          <w:bdr w:val="none" w:sz="0" w:space="0" w:color="auto" w:frame="1"/>
        </w:rPr>
        <w:t>e.g.</w:t>
      </w:r>
      <w:r w:rsidRPr="00A36B9C">
        <w:rPr>
          <w:rFonts w:ascii="Palatino Linotype" w:eastAsia="Times New Roman" w:hAnsi="Palatino Linotype" w:cs="Times New Roman"/>
          <w:sz w:val="20"/>
          <w:szCs w:val="20"/>
        </w:rPr>
        <w:t>, hurricanes or power outages) that can disrupt the mechanics of running an election, especially given that the General Assembly has long known about the pandemic's challenges and expressly prepared for them. Finally, the change the Board adopted was deemed “unnecessary” by the General Assembly when it </w:t>
      </w:r>
      <w:r w:rsidRPr="00A36B9C">
        <w:rPr>
          <w:rFonts w:ascii="Palatino Linotype" w:eastAsia="Times New Roman" w:hAnsi="Palatino Linotype" w:cs="Times New Roman"/>
          <w:i/>
          <w:iCs/>
          <w:sz w:val="20"/>
          <w:szCs w:val="20"/>
          <w:bdr w:val="none" w:sz="0" w:space="0" w:color="auto" w:frame="1"/>
        </w:rPr>
        <w:t>retained</w:t>
      </w:r>
      <w:r w:rsidRPr="00A36B9C">
        <w:rPr>
          <w:rFonts w:ascii="Palatino Linotype" w:eastAsia="Times New Roman" w:hAnsi="Palatino Linotype" w:cs="Times New Roman"/>
          <w:sz w:val="20"/>
          <w:szCs w:val="20"/>
        </w:rPr>
        <w:t> the statutory ballot receipt deadline after considering COVID's impact on election processes. Any single one of these three problems is enough to sink the Board's action.</w:t>
      </w:r>
    </w:p>
    <w:p w14:paraId="2876316F" w14:textId="77777777" w:rsidR="00342EE1" w:rsidRPr="00A36B9C" w:rsidRDefault="00342EE1" w:rsidP="00342EE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In the Fourth Circuit, Judges Wilkinson, Agee, and Niemeyer thoughtfully explained the Board's constitutional overreach and the broader problems with last-minute election-law-writing-by-lawsuit. As they observed, efforts like these not only offend the Elections Clause's textual commitment of responsibility for election lawmaking to state and federal legislators, they do damage to faith in the written </w:t>
      </w:r>
      <w:r w:rsidRPr="00A36B9C">
        <w:rPr>
          <w:rFonts w:ascii="Palatino Linotype" w:eastAsia="Times New Roman" w:hAnsi="Palatino Linotype" w:cs="Times New Roman"/>
          <w:sz w:val="20"/>
          <w:szCs w:val="20"/>
          <w:bdr w:val="none" w:sz="0" w:space="0" w:color="auto" w:frame="1"/>
        </w:rPr>
        <w:t>Constitution</w:t>
      </w:r>
      <w:r w:rsidRPr="00A36B9C">
        <w:rPr>
          <w:rFonts w:ascii="Palatino Linotype" w:eastAsia="Times New Roman" w:hAnsi="Palatino Linotype" w:cs="Times New Roman"/>
          <w:sz w:val="20"/>
          <w:szCs w:val="20"/>
        </w:rPr>
        <w:t> as law, to the power of the people to oversee their own government, and to the authority of legislatures. Such last-minute changes by largely unaccountable bodies, too, invite confusion, risk altering election outcomes, and in the process threaten voter confidence in the results. </w:t>
      </w:r>
    </w:p>
    <w:p w14:paraId="5953312F" w14:textId="77777777" w:rsidR="00342EE1" w:rsidRPr="00A36B9C" w:rsidRDefault="00342EE1" w:rsidP="00342EE1">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A36B9C">
        <w:rPr>
          <w:rFonts w:ascii="Palatino Linotype" w:eastAsia="Times New Roman" w:hAnsi="Palatino Linotype" w:cs="Times New Roman"/>
          <w:sz w:val="20"/>
          <w:szCs w:val="20"/>
        </w:rPr>
        <w:t>Respectfully, for all these reasons I would grant the application to stay the Board's action.</w:t>
      </w:r>
    </w:p>
    <w:p w14:paraId="6792CB50" w14:textId="77777777" w:rsidR="00342EE1" w:rsidRPr="00342EE1" w:rsidRDefault="00342EE1" w:rsidP="00342EE1">
      <w:pPr>
        <w:spacing w:after="0" w:line="240" w:lineRule="auto"/>
        <w:ind w:firstLine="720"/>
        <w:rPr>
          <w:rFonts w:ascii="Times New Roman" w:hAnsi="Times New Roman" w:cs="Times New Roman"/>
          <w:sz w:val="24"/>
          <w:szCs w:val="24"/>
        </w:rPr>
      </w:pPr>
    </w:p>
    <w:p w14:paraId="1FF61145"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E1"/>
    <w:rsid w:val="002D4B0A"/>
    <w:rsid w:val="00342EE1"/>
    <w:rsid w:val="005366E1"/>
    <w:rsid w:val="009E4E30"/>
    <w:rsid w:val="00A205CF"/>
    <w:rsid w:val="00A3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0AEC"/>
  <w15:chartTrackingRefBased/>
  <w15:docId w15:val="{0071FBD1-1672-462E-8A5B-6B1AFE93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E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153052401&amp;originatingDoc=Ie2acced1190c11ebbea4f0dc9fb69570&amp;refType=RQ&amp;originationContext=document&amp;transitionType=DocumentItem&amp;contextData=(sc.Search)&amp;analyticGuid=Ie2acced1190c11ebbea4f0dc9fb695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e2acced1190c11ebbea4f0dc9fb69570&amp;refType=RQ&amp;originationContext=document&amp;transitionType=DocumentItem&amp;contextData=(sc.Search)&amp;analyticGuid=Ie2acced1190c11ebbea4f0dc9fb69570" TargetMode="External"/><Relationship Id="rId5" Type="http://schemas.openxmlformats.org/officeDocument/2006/relationships/hyperlink" Target="https://1.next.westlaw.com/Link/Document/FullText?findType=h&amp;pubNum=176284&amp;cite=0216654601&amp;originatingDoc=Ie2acced1190c11ebbea4f0dc9fb69570&amp;refType=RQ&amp;originationContext=document&amp;transitionType=DocumentItem&amp;contextData=(sc.Search)&amp;analyticGuid=Ie2acced1190c11ebbea4f0dc9fb69570" TargetMode="External"/><Relationship Id="rId4" Type="http://schemas.openxmlformats.org/officeDocument/2006/relationships/hyperlink" Target="https://1.next.westlaw.com/Link/Document/FullText?findType=h&amp;pubNum=176284&amp;cite=0505709001&amp;originatingDoc=Ie2acced1190c11ebbea4f0dc9fb69570&amp;refType=RQ&amp;originationContext=document&amp;transitionType=DocumentItem&amp;contextData=(sc.Search)&amp;analyticGuid=Ie2acced1190c11ebbea4f0dc9fb6957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1333</Words>
  <Characters>7602</Characters>
  <Application>Microsoft Office Word</Application>
  <DocSecurity>0</DocSecurity>
  <Lines>63</Lines>
  <Paragraphs>17</Paragraphs>
  <ScaleCrop>false</ScaleCrop>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2020-12-10T21:39:00Z</dcterms:created>
  <dcterms:modified xsi:type="dcterms:W3CDTF">2020-12-10T21:39:00Z</dcterms:modified>
</cp:coreProperties>
</file>