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711B8" w14:textId="77777777" w:rsidR="00686FCD" w:rsidRPr="00992A10" w:rsidRDefault="00686FCD" w:rsidP="00686FCD">
      <w:pPr>
        <w:spacing w:after="0" w:line="240" w:lineRule="auto"/>
        <w:jc w:val="center"/>
        <w:rPr>
          <w:rFonts w:ascii="Palatino Linotype" w:hAnsi="Palatino Linotype"/>
          <w:sz w:val="20"/>
          <w:szCs w:val="20"/>
        </w:rPr>
      </w:pPr>
      <w:bookmarkStart w:id="0" w:name="_Hlk57865269"/>
      <w:r w:rsidRPr="00992A10">
        <w:rPr>
          <w:rFonts w:ascii="Palatino Linotype" w:hAnsi="Palatino Linotype"/>
          <w:sz w:val="20"/>
          <w:szCs w:val="20"/>
        </w:rPr>
        <w:t>AMERICAN CONSTITUTIONALISM</w:t>
      </w:r>
    </w:p>
    <w:p w14:paraId="106F9424" w14:textId="77777777" w:rsidR="00686FCD" w:rsidRPr="00992A10" w:rsidRDefault="00686FCD" w:rsidP="00686FCD">
      <w:pPr>
        <w:spacing w:after="0" w:line="240" w:lineRule="auto"/>
        <w:jc w:val="center"/>
        <w:rPr>
          <w:rFonts w:ascii="Palatino Linotype" w:hAnsi="Palatino Linotype"/>
          <w:sz w:val="20"/>
          <w:szCs w:val="20"/>
        </w:rPr>
      </w:pPr>
      <w:r w:rsidRPr="00992A10">
        <w:rPr>
          <w:rFonts w:ascii="Palatino Linotype" w:hAnsi="Palatino Linotype"/>
          <w:sz w:val="20"/>
          <w:szCs w:val="20"/>
        </w:rPr>
        <w:t>VOLUME II:  RIGHTS AND LIBERTIES</w:t>
      </w:r>
    </w:p>
    <w:p w14:paraId="2392E9D1" w14:textId="77777777" w:rsidR="00686FCD" w:rsidRPr="00992A10" w:rsidRDefault="00686FCD" w:rsidP="00686FCD">
      <w:pPr>
        <w:spacing w:after="0" w:line="240" w:lineRule="auto"/>
        <w:jc w:val="center"/>
        <w:rPr>
          <w:rFonts w:ascii="Palatino Linotype" w:hAnsi="Palatino Linotype"/>
          <w:sz w:val="20"/>
          <w:szCs w:val="20"/>
        </w:rPr>
      </w:pPr>
      <w:r w:rsidRPr="00992A10">
        <w:rPr>
          <w:rFonts w:ascii="Palatino Linotype" w:hAnsi="Palatino Linotype"/>
          <w:sz w:val="20"/>
          <w:szCs w:val="20"/>
        </w:rPr>
        <w:t>Howard Gillman • Mark A. Graber • Keith E. Whittington</w:t>
      </w:r>
    </w:p>
    <w:p w14:paraId="5620CE5E" w14:textId="77777777" w:rsidR="00686FCD" w:rsidRPr="00992A10" w:rsidRDefault="00686FCD" w:rsidP="00686FCD">
      <w:pPr>
        <w:spacing w:after="0" w:line="240" w:lineRule="auto"/>
        <w:jc w:val="center"/>
        <w:rPr>
          <w:rFonts w:ascii="Palatino Linotype" w:hAnsi="Palatino Linotype"/>
          <w:sz w:val="20"/>
          <w:szCs w:val="20"/>
        </w:rPr>
      </w:pPr>
    </w:p>
    <w:p w14:paraId="4399C503" w14:textId="77777777" w:rsidR="00686FCD" w:rsidRPr="00992A10" w:rsidRDefault="00686FCD" w:rsidP="00686FCD">
      <w:pPr>
        <w:spacing w:after="0" w:line="240" w:lineRule="auto"/>
        <w:jc w:val="center"/>
        <w:rPr>
          <w:rFonts w:ascii="Palatino Linotype" w:hAnsi="Palatino Linotype"/>
          <w:sz w:val="20"/>
          <w:szCs w:val="20"/>
        </w:rPr>
      </w:pPr>
      <w:r w:rsidRPr="00992A10">
        <w:rPr>
          <w:rFonts w:ascii="Palatino Linotype" w:hAnsi="Palatino Linotype"/>
          <w:sz w:val="20"/>
          <w:szCs w:val="20"/>
        </w:rPr>
        <w:t>Supplementary Material</w:t>
      </w:r>
    </w:p>
    <w:p w14:paraId="7D27EE43" w14:textId="77777777" w:rsidR="00686FCD" w:rsidRPr="00992A10" w:rsidRDefault="00686FCD" w:rsidP="00686FCD">
      <w:pPr>
        <w:spacing w:after="0" w:line="240" w:lineRule="auto"/>
        <w:jc w:val="center"/>
        <w:rPr>
          <w:rFonts w:ascii="Palatino Linotype" w:hAnsi="Palatino Linotype"/>
          <w:sz w:val="20"/>
          <w:szCs w:val="20"/>
        </w:rPr>
      </w:pPr>
    </w:p>
    <w:p w14:paraId="7FEC68F0" w14:textId="6CE90C41" w:rsidR="00686FCD" w:rsidRPr="00992A10" w:rsidRDefault="00686FCD" w:rsidP="00686FCD">
      <w:pPr>
        <w:spacing w:after="0" w:line="240" w:lineRule="auto"/>
        <w:jc w:val="center"/>
        <w:rPr>
          <w:rFonts w:ascii="Palatino Linotype" w:hAnsi="Palatino Linotype"/>
          <w:sz w:val="20"/>
          <w:szCs w:val="20"/>
        </w:rPr>
      </w:pPr>
      <w:r w:rsidRPr="00992A10">
        <w:rPr>
          <w:rFonts w:ascii="Palatino Linotype" w:hAnsi="Palatino Linotype"/>
          <w:sz w:val="20"/>
          <w:szCs w:val="20"/>
        </w:rPr>
        <w:t xml:space="preserve">Chapter 12:  The Contemporary Era – </w:t>
      </w:r>
      <w:r w:rsidR="00455EC7" w:rsidRPr="00992A10">
        <w:rPr>
          <w:rFonts w:ascii="Palatino Linotype" w:hAnsi="Palatino Linotype"/>
          <w:sz w:val="20"/>
          <w:szCs w:val="20"/>
        </w:rPr>
        <w:t>Democratic</w:t>
      </w:r>
      <w:r w:rsidRPr="00992A10">
        <w:rPr>
          <w:rFonts w:ascii="Palatino Linotype" w:hAnsi="Palatino Linotype"/>
          <w:sz w:val="20"/>
          <w:szCs w:val="20"/>
        </w:rPr>
        <w:t xml:space="preserve"> Rights/</w:t>
      </w:r>
      <w:r w:rsidR="006E0826" w:rsidRPr="00992A10">
        <w:rPr>
          <w:rFonts w:ascii="Palatino Linotype" w:hAnsi="Palatino Linotype"/>
          <w:sz w:val="20"/>
          <w:szCs w:val="20"/>
        </w:rPr>
        <w:t>Voting</w:t>
      </w:r>
      <w:r w:rsidR="00045FD4" w:rsidRPr="00992A10">
        <w:rPr>
          <w:rFonts w:ascii="Palatino Linotype" w:hAnsi="Palatino Linotype"/>
          <w:sz w:val="20"/>
          <w:szCs w:val="20"/>
        </w:rPr>
        <w:t>/Regulating Elections</w:t>
      </w:r>
    </w:p>
    <w:p w14:paraId="2B82AEE8" w14:textId="77777777" w:rsidR="00686FCD" w:rsidRPr="00992A10" w:rsidRDefault="00686FCD" w:rsidP="00686FCD">
      <w:pPr>
        <w:spacing w:after="0" w:line="240" w:lineRule="auto"/>
        <w:jc w:val="center"/>
        <w:rPr>
          <w:rFonts w:ascii="Palatino Linotype" w:hAnsi="Palatino Linotype"/>
          <w:sz w:val="20"/>
          <w:szCs w:val="20"/>
        </w:rPr>
      </w:pPr>
    </w:p>
    <w:p w14:paraId="4F7CCD87" w14:textId="77777777" w:rsidR="00686FCD" w:rsidRPr="00992A10" w:rsidRDefault="001E4D8A" w:rsidP="00686FCD">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DD41F0B">
          <v:rect id="_x0000_i1025" style="width:468pt;height:1.5pt" o:hralign="center" o:hrstd="t" o:hrnoshade="t" o:hr="t" fillcolor="black [3213]" stroked="f"/>
        </w:pict>
      </w:r>
    </w:p>
    <w:p w14:paraId="01E58651" w14:textId="7AFE41C8" w:rsidR="00686FCD" w:rsidRPr="00992A10" w:rsidRDefault="00686FCD" w:rsidP="00686FCD">
      <w:pPr>
        <w:spacing w:after="0" w:line="240" w:lineRule="auto"/>
        <w:jc w:val="center"/>
        <w:rPr>
          <w:rFonts w:ascii="Palatino Linotype" w:eastAsia="Times New Roman" w:hAnsi="Palatino Linotype" w:cs="Times New Roman"/>
          <w:sz w:val="20"/>
          <w:szCs w:val="20"/>
        </w:rPr>
      </w:pPr>
      <w:r w:rsidRPr="00992A10">
        <w:rPr>
          <w:rFonts w:ascii="Palatino Linotype" w:eastAsia="Times New Roman" w:hAnsi="Palatino Linotype" w:cs="Times New Roman"/>
          <w:b/>
          <w:bCs/>
          <w:sz w:val="20"/>
          <w:szCs w:val="20"/>
        </w:rPr>
        <w:t xml:space="preserve">Little v. Reclaim Idaho, 140 </w:t>
      </w:r>
      <w:proofErr w:type="spellStart"/>
      <w:r w:rsidRPr="00992A10">
        <w:rPr>
          <w:rFonts w:ascii="Palatino Linotype" w:eastAsia="Times New Roman" w:hAnsi="Palatino Linotype" w:cs="Times New Roman"/>
          <w:b/>
          <w:bCs/>
          <w:sz w:val="20"/>
          <w:szCs w:val="20"/>
        </w:rPr>
        <w:t>S.Ct</w:t>
      </w:r>
      <w:proofErr w:type="spellEnd"/>
      <w:r w:rsidRPr="00992A10">
        <w:rPr>
          <w:rFonts w:ascii="Palatino Linotype" w:eastAsia="Times New Roman" w:hAnsi="Palatino Linotype" w:cs="Times New Roman"/>
          <w:b/>
          <w:bCs/>
          <w:sz w:val="20"/>
          <w:szCs w:val="20"/>
        </w:rPr>
        <w:t xml:space="preserve">. 2616 </w:t>
      </w:r>
      <w:r w:rsidRPr="00992A10">
        <w:rPr>
          <w:rFonts w:ascii="Palatino Linotype" w:eastAsia="Times New Roman" w:hAnsi="Palatino Linotype" w:cs="Times New Roman"/>
          <w:sz w:val="20"/>
          <w:szCs w:val="20"/>
        </w:rPr>
        <w:t>(2020)</w:t>
      </w:r>
    </w:p>
    <w:p w14:paraId="5D5E95D5" w14:textId="77777777" w:rsidR="00686FCD" w:rsidRPr="00992A10" w:rsidRDefault="001E4D8A" w:rsidP="00686FCD">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DB7B712">
          <v:rect id="_x0000_i1026" style="width:468pt;height:1.5pt" o:hralign="center" o:hrstd="t" o:hrnoshade="t" o:hr="t" fillcolor="black [3213]" stroked="f"/>
        </w:pict>
      </w:r>
    </w:p>
    <w:p w14:paraId="10A7065E" w14:textId="77777777" w:rsidR="00686FCD" w:rsidRPr="00992A10" w:rsidRDefault="00686FCD" w:rsidP="00686FCD">
      <w:pPr>
        <w:spacing w:after="0" w:line="240" w:lineRule="auto"/>
        <w:rPr>
          <w:rFonts w:ascii="Palatino Linotype" w:eastAsia="Times New Roman" w:hAnsi="Palatino Linotype" w:cs="Times New Roman"/>
          <w:sz w:val="20"/>
          <w:szCs w:val="20"/>
        </w:rPr>
      </w:pPr>
    </w:p>
    <w:p w14:paraId="7BB9A59D" w14:textId="6B95EA2F" w:rsidR="004B6BC1" w:rsidRPr="00992A10" w:rsidRDefault="004B6BC1" w:rsidP="00686FCD">
      <w:pPr>
        <w:shd w:val="clear" w:color="auto" w:fill="FFFFFF"/>
        <w:spacing w:after="0" w:line="240" w:lineRule="auto"/>
        <w:textAlignment w:val="baseline"/>
        <w:rPr>
          <w:rFonts w:ascii="Palatino Linotype" w:hAnsi="Palatino Linotype" w:cs="Times New Roman"/>
          <w:i/>
          <w:iCs/>
          <w:sz w:val="20"/>
          <w:szCs w:val="20"/>
          <w:shd w:val="clear" w:color="auto" w:fill="FFFFFF"/>
        </w:rPr>
      </w:pPr>
      <w:r w:rsidRPr="00992A10">
        <w:rPr>
          <w:rFonts w:ascii="Palatino Linotype" w:hAnsi="Palatino Linotype" w:cs="Times New Roman"/>
          <w:i/>
          <w:iCs/>
          <w:sz w:val="20"/>
          <w:szCs w:val="20"/>
          <w:shd w:val="clear" w:color="auto" w:fill="FFFFFF"/>
        </w:rPr>
        <w:t xml:space="preserve">Reclaim Idaho </w:t>
      </w:r>
      <w:r w:rsidR="00CD1AC4" w:rsidRPr="00992A10">
        <w:rPr>
          <w:rFonts w:ascii="Palatino Linotype" w:hAnsi="Palatino Linotype" w:cs="Times New Roman"/>
          <w:i/>
          <w:iCs/>
          <w:sz w:val="20"/>
          <w:szCs w:val="20"/>
          <w:shd w:val="clear" w:color="auto" w:fill="FFFFFF"/>
        </w:rPr>
        <w:t xml:space="preserve">is a political action committee that sought to place an initiative that would increase funding for public schools on the ballot in the November 2020 election.  Idaho law requires that proposed ballot initiatives must obtain the signatures of 6 percent of the qualify voters in all 18 of Idaho’s legislative districts and that the person gathering the signatures must attest that they witnessed each signing.  </w:t>
      </w:r>
      <w:proofErr w:type="gramStart"/>
      <w:r w:rsidR="00CD1AC4" w:rsidRPr="00992A10">
        <w:rPr>
          <w:rFonts w:ascii="Palatino Linotype" w:hAnsi="Palatino Linotype" w:cs="Times New Roman"/>
          <w:i/>
          <w:iCs/>
          <w:sz w:val="20"/>
          <w:szCs w:val="20"/>
          <w:shd w:val="clear" w:color="auto" w:fill="FFFFFF"/>
        </w:rPr>
        <w:t>In light of</w:t>
      </w:r>
      <w:proofErr w:type="gramEnd"/>
      <w:r w:rsidR="00CD1AC4" w:rsidRPr="00992A10">
        <w:rPr>
          <w:rFonts w:ascii="Palatino Linotype" w:hAnsi="Palatino Linotype" w:cs="Times New Roman"/>
          <w:i/>
          <w:iCs/>
          <w:sz w:val="20"/>
          <w:szCs w:val="20"/>
          <w:shd w:val="clear" w:color="auto" w:fill="FFFFFF"/>
        </w:rPr>
        <w:t xml:space="preserve"> the COVID pandemic, Reclaim Idaho in March 2020 stopped obtaining in person signatures. Weeks later, the Governor of Idaho, Bradley Little, issued a stay-at-home order, which would have mean canvassing for signatures illegal.  After negotiations between Reclaim Idaho and the governor failed, Reclaim Idaho filed a lawsuit asking for a preliminary injunction that would allow ballot initiatives to be circulated electronically and require the state to accept electronic signatures.  A federal district court issued a</w:t>
      </w:r>
      <w:r w:rsidR="00A16375" w:rsidRPr="00992A10">
        <w:rPr>
          <w:rFonts w:ascii="Palatino Linotype" w:hAnsi="Palatino Linotype" w:cs="Times New Roman"/>
          <w:i/>
          <w:iCs/>
          <w:sz w:val="20"/>
          <w:szCs w:val="20"/>
          <w:shd w:val="clear" w:color="auto" w:fill="FFFFFF"/>
        </w:rPr>
        <w:t>n</w:t>
      </w:r>
      <w:r w:rsidR="00CD1AC4" w:rsidRPr="00992A10">
        <w:rPr>
          <w:rFonts w:ascii="Palatino Linotype" w:hAnsi="Palatino Linotype" w:cs="Times New Roman"/>
          <w:i/>
          <w:iCs/>
          <w:sz w:val="20"/>
          <w:szCs w:val="20"/>
          <w:shd w:val="clear" w:color="auto" w:fill="FFFFFF"/>
        </w:rPr>
        <w:t xml:space="preserve"> injunction, forbidding Idaho from enforcing in the in-person signature requirement.  The </w:t>
      </w:r>
      <w:r w:rsidR="00A16375" w:rsidRPr="00992A10">
        <w:rPr>
          <w:rFonts w:ascii="Palatino Linotype" w:hAnsi="Palatino Linotype" w:cs="Times New Roman"/>
          <w:i/>
          <w:iCs/>
          <w:sz w:val="20"/>
          <w:szCs w:val="20"/>
          <w:shd w:val="clear" w:color="auto" w:fill="FFFFFF"/>
        </w:rPr>
        <w:t>Court of Appeals for the Ninth Circuit refused to remove that injunction while litigation was pending in that tribunal.  Little appealed to the Supreme Court of the United States.</w:t>
      </w:r>
    </w:p>
    <w:p w14:paraId="7145F6A5" w14:textId="6670870F" w:rsidR="00A16375" w:rsidRPr="00992A10" w:rsidRDefault="00A16375" w:rsidP="00686FCD">
      <w:pPr>
        <w:shd w:val="clear" w:color="auto" w:fill="FFFFFF"/>
        <w:spacing w:after="0" w:line="240" w:lineRule="auto"/>
        <w:textAlignment w:val="baseline"/>
        <w:rPr>
          <w:rFonts w:ascii="Palatino Linotype" w:hAnsi="Palatino Linotype" w:cs="Times New Roman"/>
          <w:i/>
          <w:iCs/>
          <w:sz w:val="20"/>
          <w:szCs w:val="20"/>
          <w:shd w:val="clear" w:color="auto" w:fill="FFFFFF"/>
        </w:rPr>
      </w:pPr>
      <w:r w:rsidRPr="00992A10">
        <w:rPr>
          <w:rFonts w:ascii="Palatino Linotype" w:hAnsi="Palatino Linotype" w:cs="Times New Roman"/>
          <w:i/>
          <w:iCs/>
          <w:sz w:val="20"/>
          <w:szCs w:val="20"/>
          <w:shd w:val="clear" w:color="auto" w:fill="FFFFFF"/>
        </w:rPr>
        <w:tab/>
        <w:t xml:space="preserve">The Supreme Court of the United States by a 7-2 vote removed the stay.  Chief Justice Roberts’s concurring opinion maintained the Supreme Court was likely to take the case, the justices would likely reverse the federal district court and that Idaho would suffer irreparable harm if the injunction </w:t>
      </w:r>
      <w:proofErr w:type="gramStart"/>
      <w:r w:rsidRPr="00992A10">
        <w:rPr>
          <w:rFonts w:ascii="Palatino Linotype" w:hAnsi="Palatino Linotype" w:cs="Times New Roman"/>
          <w:i/>
          <w:iCs/>
          <w:sz w:val="20"/>
          <w:szCs w:val="20"/>
          <w:shd w:val="clear" w:color="auto" w:fill="FFFFFF"/>
        </w:rPr>
        <w:t>was</w:t>
      </w:r>
      <w:proofErr w:type="gramEnd"/>
      <w:r w:rsidRPr="00992A10">
        <w:rPr>
          <w:rFonts w:ascii="Palatino Linotype" w:hAnsi="Palatino Linotype" w:cs="Times New Roman"/>
          <w:i/>
          <w:iCs/>
          <w:sz w:val="20"/>
          <w:szCs w:val="20"/>
          <w:shd w:val="clear" w:color="auto" w:fill="FFFFFF"/>
        </w:rPr>
        <w:t xml:space="preserve"> not stayed.  Why does the Roberts believe Idaho will suffer irreparable harm?  Was does Justice Sonya Sotomayor disagree?  Who has the better of the argument?  Both opinions agree that the government must meet a high standard when asking the Supreme Court to staying a preliminary injunction while litigation is pending in the lower federal courts?  Does Sotomayor raise the bar higher than Roberts or do they merely dispute the equities?  How high should that bar be?  Justices Clarence Thomas, Stephen Breyer, and Elena Kagan signed neither the concurrence not the dissent.  Why might they have favored the stay, but disagreed with the concurrence?</w:t>
      </w:r>
    </w:p>
    <w:p w14:paraId="2EED90E1" w14:textId="77777777" w:rsidR="004B6BC1" w:rsidRPr="00992A10" w:rsidRDefault="004B6BC1" w:rsidP="00686FCD">
      <w:pPr>
        <w:shd w:val="clear" w:color="auto" w:fill="FFFFFF"/>
        <w:spacing w:after="0" w:line="240" w:lineRule="auto"/>
        <w:textAlignment w:val="baseline"/>
        <w:rPr>
          <w:rFonts w:ascii="Palatino Linotype" w:hAnsi="Palatino Linotype" w:cs="Times New Roman"/>
          <w:sz w:val="20"/>
          <w:szCs w:val="20"/>
          <w:shd w:val="clear" w:color="auto" w:fill="FFFFFF"/>
        </w:rPr>
      </w:pPr>
    </w:p>
    <w:p w14:paraId="29548BE2" w14:textId="59C83FFA" w:rsidR="00686FCD" w:rsidRPr="00992A10" w:rsidRDefault="00686FCD" w:rsidP="00686FCD">
      <w:pPr>
        <w:shd w:val="clear" w:color="auto" w:fill="FFFFFF"/>
        <w:spacing w:after="0" w:line="240" w:lineRule="auto"/>
        <w:textAlignment w:val="baseline"/>
        <w:rPr>
          <w:rFonts w:ascii="Palatino Linotype" w:eastAsia="Times New Roman" w:hAnsi="Palatino Linotype" w:cs="Times New Roman"/>
          <w:sz w:val="20"/>
          <w:szCs w:val="20"/>
        </w:rPr>
      </w:pPr>
      <w:r w:rsidRPr="00992A10">
        <w:rPr>
          <w:rFonts w:ascii="Palatino Linotype" w:hAnsi="Palatino Linotype" w:cs="Times New Roman"/>
          <w:sz w:val="20"/>
          <w:szCs w:val="20"/>
          <w:shd w:val="clear" w:color="auto" w:fill="FFFFFF"/>
        </w:rPr>
        <w:t>The application for stay presented to Justice </w:t>
      </w:r>
      <w:hyperlink r:id="rId4" w:history="1">
        <w:r w:rsidRPr="00992A10">
          <w:rPr>
            <w:rStyle w:val="Hyperlink"/>
            <w:rFonts w:ascii="Palatino Linotype" w:hAnsi="Palatino Linotype" w:cs="Times New Roman"/>
            <w:color w:val="auto"/>
            <w:sz w:val="20"/>
            <w:szCs w:val="20"/>
            <w:u w:val="none"/>
            <w:bdr w:val="none" w:sz="0" w:space="0" w:color="auto" w:frame="1"/>
            <w:shd w:val="clear" w:color="auto" w:fill="FFFFFF"/>
          </w:rPr>
          <w:t>KAGAN</w:t>
        </w:r>
      </w:hyperlink>
      <w:r w:rsidRPr="00992A10">
        <w:rPr>
          <w:rFonts w:ascii="Palatino Linotype" w:hAnsi="Palatino Linotype" w:cs="Times New Roman"/>
          <w:sz w:val="20"/>
          <w:szCs w:val="20"/>
          <w:shd w:val="clear" w:color="auto" w:fill="FFFFFF"/>
        </w:rPr>
        <w:t> and by her referred to the Court is granted. The district court's June 23, June 26, and June 30, 2020 orders are stayed pending disposition of the appeal in the United States Court of Appeals for the Ninth Circuit and disposition of the petition for a writ of certiorari, if such writ is timely sought.</w:t>
      </w:r>
    </w:p>
    <w:p w14:paraId="78C1A1DB" w14:textId="77777777" w:rsidR="00686FCD" w:rsidRPr="00992A10" w:rsidRDefault="00686FCD" w:rsidP="00686FCD">
      <w:pPr>
        <w:shd w:val="clear" w:color="auto" w:fill="FFFFFF"/>
        <w:spacing w:after="0" w:line="240" w:lineRule="auto"/>
        <w:textAlignment w:val="baseline"/>
        <w:rPr>
          <w:rFonts w:ascii="Palatino Linotype" w:eastAsia="Times New Roman" w:hAnsi="Palatino Linotype" w:cs="Times New Roman"/>
          <w:sz w:val="20"/>
          <w:szCs w:val="20"/>
        </w:rPr>
      </w:pPr>
    </w:p>
    <w:p w14:paraId="560B3FF3" w14:textId="376B4399" w:rsidR="00686FCD" w:rsidRPr="00992A10" w:rsidRDefault="00686FCD" w:rsidP="00686FCD">
      <w:pPr>
        <w:shd w:val="clear" w:color="auto" w:fill="FFFFFF"/>
        <w:spacing w:after="0" w:line="240" w:lineRule="auto"/>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Chief Justice </w:t>
      </w:r>
      <w:hyperlink r:id="rId5" w:history="1">
        <w:r w:rsidRPr="00992A10">
          <w:rPr>
            <w:rFonts w:ascii="Palatino Linotype" w:eastAsia="Times New Roman" w:hAnsi="Palatino Linotype" w:cs="Times New Roman"/>
            <w:sz w:val="20"/>
            <w:szCs w:val="20"/>
            <w:bdr w:val="none" w:sz="0" w:space="0" w:color="auto" w:frame="1"/>
          </w:rPr>
          <w:t>ROBERTS</w:t>
        </w:r>
      </w:hyperlink>
      <w:r w:rsidRPr="00992A10">
        <w:rPr>
          <w:rFonts w:ascii="Palatino Linotype" w:eastAsia="Times New Roman" w:hAnsi="Palatino Linotype" w:cs="Times New Roman"/>
          <w:sz w:val="20"/>
          <w:szCs w:val="20"/>
        </w:rPr>
        <w:t>, with whom Justice </w:t>
      </w:r>
      <w:hyperlink r:id="rId6" w:history="1">
        <w:r w:rsidRPr="00992A10">
          <w:rPr>
            <w:rFonts w:ascii="Palatino Linotype" w:eastAsia="Times New Roman" w:hAnsi="Palatino Linotype" w:cs="Times New Roman"/>
            <w:sz w:val="20"/>
            <w:szCs w:val="20"/>
            <w:bdr w:val="none" w:sz="0" w:space="0" w:color="auto" w:frame="1"/>
          </w:rPr>
          <w:t>ALITO</w:t>
        </w:r>
      </w:hyperlink>
      <w:r w:rsidRPr="00992A10">
        <w:rPr>
          <w:rFonts w:ascii="Palatino Linotype" w:eastAsia="Times New Roman" w:hAnsi="Palatino Linotype" w:cs="Times New Roman"/>
          <w:sz w:val="20"/>
          <w:szCs w:val="20"/>
        </w:rPr>
        <w:t>, Justice </w:t>
      </w:r>
      <w:hyperlink r:id="rId7" w:history="1">
        <w:r w:rsidRPr="00992A10">
          <w:rPr>
            <w:rFonts w:ascii="Palatino Linotype" w:eastAsia="Times New Roman" w:hAnsi="Palatino Linotype" w:cs="Times New Roman"/>
            <w:sz w:val="20"/>
            <w:szCs w:val="20"/>
            <w:bdr w:val="none" w:sz="0" w:space="0" w:color="auto" w:frame="1"/>
          </w:rPr>
          <w:t>GORSUCH</w:t>
        </w:r>
      </w:hyperlink>
      <w:r w:rsidRPr="00992A10">
        <w:rPr>
          <w:rFonts w:ascii="Palatino Linotype" w:eastAsia="Times New Roman" w:hAnsi="Palatino Linotype" w:cs="Times New Roman"/>
          <w:sz w:val="20"/>
          <w:szCs w:val="20"/>
        </w:rPr>
        <w:t>, and Justice </w:t>
      </w:r>
      <w:hyperlink r:id="rId8" w:history="1">
        <w:r w:rsidRPr="00992A10">
          <w:rPr>
            <w:rFonts w:ascii="Palatino Linotype" w:eastAsia="Times New Roman" w:hAnsi="Palatino Linotype" w:cs="Times New Roman"/>
            <w:sz w:val="20"/>
            <w:szCs w:val="20"/>
            <w:bdr w:val="none" w:sz="0" w:space="0" w:color="auto" w:frame="1"/>
          </w:rPr>
          <w:t>KAVANAUGH</w:t>
        </w:r>
      </w:hyperlink>
      <w:r w:rsidRPr="00992A10">
        <w:rPr>
          <w:rFonts w:ascii="Palatino Linotype" w:eastAsia="Times New Roman" w:hAnsi="Palatino Linotype" w:cs="Times New Roman"/>
          <w:sz w:val="20"/>
          <w:szCs w:val="20"/>
        </w:rPr>
        <w:t> join, concurring in the grant of stay.</w:t>
      </w:r>
    </w:p>
    <w:p w14:paraId="2D7B580B" w14:textId="77777777" w:rsidR="00686FCD" w:rsidRPr="00992A10" w:rsidRDefault="00686FCD" w:rsidP="00686FCD">
      <w:pPr>
        <w:shd w:val="clear" w:color="auto" w:fill="FFFFFF"/>
        <w:spacing w:after="0" w:line="240" w:lineRule="auto"/>
        <w:textAlignment w:val="baseline"/>
        <w:rPr>
          <w:rFonts w:ascii="Palatino Linotype" w:eastAsia="Times New Roman" w:hAnsi="Palatino Linotype" w:cs="Times New Roman"/>
          <w:sz w:val="20"/>
          <w:szCs w:val="20"/>
        </w:rPr>
      </w:pPr>
    </w:p>
    <w:p w14:paraId="30EAD9CD" w14:textId="77777777" w:rsidR="00686FCD" w:rsidRPr="00992A10" w:rsidRDefault="00686FCD" w:rsidP="00686FCD">
      <w:pPr>
        <w:shd w:val="clear" w:color="auto" w:fill="FFFFFF"/>
        <w:spacing w:after="0" w:line="240" w:lineRule="auto"/>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 . . .</w:t>
      </w:r>
    </w:p>
    <w:p w14:paraId="2B5AA512" w14:textId="2229C5A2"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Under the well-settled standard for this form of relief, the State must show (1) a “reasonable probability” that this Court will grant certiorari, (2) a “fair prospect” that the Court will reverse the judgment below, and (3) a “likelihood that irreparable harm will result from the denial of a stay.” In my view, the State has satisfied each requirement for a stay.</w:t>
      </w:r>
    </w:p>
    <w:p w14:paraId="4F7B6267" w14:textId="10882951"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 xml:space="preserve">First, the Court is reasonably likely to grant certiorari to resolve the split presented by this case on an important issue of election administration. States retain “considerable leeway to protect the </w:t>
      </w:r>
      <w:r w:rsidRPr="00992A10">
        <w:rPr>
          <w:rFonts w:ascii="Palatino Linotype" w:eastAsia="Times New Roman" w:hAnsi="Palatino Linotype" w:cs="Times New Roman"/>
          <w:sz w:val="20"/>
          <w:szCs w:val="20"/>
        </w:rPr>
        <w:lastRenderedPageBreak/>
        <w:t>integrity and reliability of the initiative process.” In exercising this discretionary authority, the States depend on clear and administrable guidelines from the courts. Yet the Circuits diverge in fundamental respects when presented with challenges to the sort of state laws at issue here. According to the Sixth and Ninth Circuits, the First Amendment requires scrutiny of the interests of the State whenever a neutral, procedural regulation inhibits a person's ability to place an initiative on the ballot. Other Circuits, by contrast, have held that regulations that may make the initiative process more challenging do not implicate the First Amendment so long as the State does not restrict political discussion or petition circulation. Since the onset of the pandemic, the Circuits have applied their conflicting frameworks to reach predictably contrary conclusions as to whether and to what extent States must adapt the initiative process to account for new obstacles to collecting signatures</w:t>
      </w:r>
      <w:proofErr w:type="gramStart"/>
      <w:r w:rsidRPr="00992A10">
        <w:rPr>
          <w:rFonts w:ascii="Palatino Linotype" w:eastAsia="Times New Roman" w:hAnsi="Palatino Linotype" w:cs="Times New Roman"/>
          <w:sz w:val="20"/>
          <w:szCs w:val="20"/>
        </w:rPr>
        <w:t>. .</w:t>
      </w:r>
      <w:proofErr w:type="gramEnd"/>
    </w:p>
    <w:p w14:paraId="4B7AF278" w14:textId="182F7A9B"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Second, there is a fair prospect that the Court will set aside the District Court order.  This is not a case about the right to vote, but about how items are placed on the ballot in the first place. Nothing in the </w:t>
      </w:r>
      <w:r w:rsidRPr="00992A10">
        <w:rPr>
          <w:rFonts w:ascii="Palatino Linotype" w:eastAsia="Times New Roman" w:hAnsi="Palatino Linotype" w:cs="Times New Roman"/>
          <w:sz w:val="20"/>
          <w:szCs w:val="20"/>
          <w:bdr w:val="none" w:sz="0" w:space="0" w:color="auto" w:frame="1"/>
        </w:rPr>
        <w:t>Constitution</w:t>
      </w:r>
      <w:r w:rsidRPr="00992A10">
        <w:rPr>
          <w:rFonts w:ascii="Palatino Linotype" w:eastAsia="Times New Roman" w:hAnsi="Palatino Linotype" w:cs="Times New Roman"/>
          <w:sz w:val="20"/>
          <w:szCs w:val="20"/>
        </w:rPr>
        <w:t> requires Idaho or any other State to provide for ballot initiatives. And the claims at issue here challenge the application of only the most typical sort of neutral regulations on ballot access. Even assuming that the state laws at issue implicate the First Amendment, such reasonable, nondiscretionary restrictions are almost certainly justified by the important regulatory interests in combating fraud and ensuring that ballots are not cluttered with initiatives that have not demonstrated sufficient grassroots support. The State's established verification procedure is no empty formality. In Idaho's largest county, clerks reject about 30 to 40 percent of signatures at this stage.</w:t>
      </w:r>
    </w:p>
    <w:p w14:paraId="46B4B265" w14:textId="5E5CC111"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 xml:space="preserve">Third, the State is likely to suffer irreparable harm absent a stay. Right now, the preliminary injunction disables Idaho from vindicating its sovereign interest in the enforcement of initiative requirements that are likely consistent with the First Amendment. The dissent does not regard the burden on the State as significant, but in my view that judgment fails to appreciate that the initiative process is just one aspect of a primary and general election system facing a wide variety of challenges in the face of the pandemic. The Governor and Secretary of State here, for example, have suspended some limits on absentee voting and processed requests for absentee ballots through online channels. In addition to preparing for elections with a record number of absentee ballot requests, the county clerks must now also learn, under extraordinary time pressures, how to verify digital signatures through an entirely new system mandated by the District Court. The District Court did not accord sufficient weight to the State's discretionary judgments about how to prioritize limited state resources across the election </w:t>
      </w:r>
      <w:proofErr w:type="gramStart"/>
      <w:r w:rsidRPr="00992A10">
        <w:rPr>
          <w:rFonts w:ascii="Palatino Linotype" w:eastAsia="Times New Roman" w:hAnsi="Palatino Linotype" w:cs="Times New Roman"/>
          <w:sz w:val="20"/>
          <w:szCs w:val="20"/>
        </w:rPr>
        <w:t>system as a whole</w:t>
      </w:r>
      <w:proofErr w:type="gramEnd"/>
      <w:r w:rsidRPr="00992A10">
        <w:rPr>
          <w:rFonts w:ascii="Palatino Linotype" w:eastAsia="Times New Roman" w:hAnsi="Palatino Linotype" w:cs="Times New Roman"/>
          <w:sz w:val="20"/>
          <w:szCs w:val="20"/>
        </w:rPr>
        <w:t>.</w:t>
      </w:r>
    </w:p>
    <w:p w14:paraId="1D2CAD80" w14:textId="33B9BD0A"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The pending appeal in the Ninth Circuit does not eliminate the present strain imposed by this structural injunction on the time and resources of state and local officials, and the costs to the State will continue to add up over the coming weeks. Nor does the balance of equities counsel in favor of denying relief at this point. While a stay may preclude this particular initiative from appearing on the ballot this November, that consequence is attributable at least in part to Reclaim Idaho, which “delayed unnecessarily” its pursuit of relief until more than a month after the deadline for submitting signatures. Finally, the dissent is wrong to criticize this Court for supposedly offering the “first view” on this matter. The District Court and the Court of Appeals have already acted on the State's request for a stay, which is now before us.</w:t>
      </w:r>
    </w:p>
    <w:p w14:paraId="5608D50D" w14:textId="091BDDFF"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 xml:space="preserve">“A preliminary injunction is an extraordinary remedy.”  And the injunction here is </w:t>
      </w:r>
      <w:proofErr w:type="gramStart"/>
      <w:r w:rsidRPr="00992A10">
        <w:rPr>
          <w:rFonts w:ascii="Palatino Linotype" w:eastAsia="Times New Roman" w:hAnsi="Palatino Linotype" w:cs="Times New Roman"/>
          <w:sz w:val="20"/>
          <w:szCs w:val="20"/>
        </w:rPr>
        <w:t>all the more</w:t>
      </w:r>
      <w:proofErr w:type="gramEnd"/>
      <w:r w:rsidRPr="00992A10">
        <w:rPr>
          <w:rFonts w:ascii="Palatino Linotype" w:eastAsia="Times New Roman" w:hAnsi="Palatino Linotype" w:cs="Times New Roman"/>
          <w:sz w:val="20"/>
          <w:szCs w:val="20"/>
        </w:rPr>
        <w:t xml:space="preserve"> extraordinary given the extent to which the District Court recast the initiative process.</w:t>
      </w:r>
      <w:r w:rsidR="004B6BC1" w:rsidRPr="00992A10">
        <w:rPr>
          <w:rFonts w:ascii="Palatino Linotype" w:eastAsia="Times New Roman" w:hAnsi="Palatino Linotype" w:cs="Times New Roman"/>
          <w:sz w:val="20"/>
          <w:szCs w:val="20"/>
        </w:rPr>
        <w:t xml:space="preserve"> </w:t>
      </w:r>
      <w:r w:rsidRPr="00992A10">
        <w:rPr>
          <w:rFonts w:ascii="Palatino Linotype" w:eastAsia="Times New Roman" w:hAnsi="Palatino Linotype" w:cs="Times New Roman"/>
          <w:sz w:val="20"/>
          <w:szCs w:val="20"/>
        </w:rPr>
        <w:t xml:space="preserve"> No one has overlooked that the State bears an “especially heavy burden” in justifying a stay pending its appeal to the Ninth Circuit.  But in my view that burden has been met, especially </w:t>
      </w:r>
      <w:proofErr w:type="gramStart"/>
      <w:r w:rsidRPr="00992A10">
        <w:rPr>
          <w:rFonts w:ascii="Palatino Linotype" w:eastAsia="Times New Roman" w:hAnsi="Palatino Linotype" w:cs="Times New Roman"/>
          <w:sz w:val="20"/>
          <w:szCs w:val="20"/>
        </w:rPr>
        <w:t>in light of</w:t>
      </w:r>
      <w:proofErr w:type="gramEnd"/>
      <w:r w:rsidRPr="00992A10">
        <w:rPr>
          <w:rFonts w:ascii="Palatino Linotype" w:eastAsia="Times New Roman" w:hAnsi="Palatino Linotype" w:cs="Times New Roman"/>
          <w:sz w:val="20"/>
          <w:szCs w:val="20"/>
        </w:rPr>
        <w:t xml:space="preserve"> the transformative and intrusive nature of this preliminary injunction.</w:t>
      </w:r>
    </w:p>
    <w:p w14:paraId="256FE711" w14:textId="77777777" w:rsidR="004B6BC1" w:rsidRPr="00992A10" w:rsidRDefault="004B6BC1" w:rsidP="004B6BC1">
      <w:pPr>
        <w:shd w:val="clear" w:color="auto" w:fill="FFFFFF"/>
        <w:spacing w:after="0" w:line="240" w:lineRule="auto"/>
        <w:textAlignment w:val="baseline"/>
        <w:rPr>
          <w:rFonts w:ascii="Palatino Linotype" w:eastAsia="Times New Roman" w:hAnsi="Palatino Linotype" w:cs="Times New Roman"/>
          <w:sz w:val="20"/>
          <w:szCs w:val="20"/>
        </w:rPr>
      </w:pPr>
    </w:p>
    <w:p w14:paraId="2BE22D7D" w14:textId="0D202674" w:rsidR="00686FCD" w:rsidRPr="00992A10" w:rsidRDefault="00686FCD" w:rsidP="004B6BC1">
      <w:pPr>
        <w:shd w:val="clear" w:color="auto" w:fill="FFFFFF"/>
        <w:spacing w:after="0" w:line="240" w:lineRule="auto"/>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Justice </w:t>
      </w:r>
      <w:hyperlink r:id="rId9" w:history="1">
        <w:r w:rsidRPr="00992A10">
          <w:rPr>
            <w:rFonts w:ascii="Palatino Linotype" w:eastAsia="Times New Roman" w:hAnsi="Palatino Linotype" w:cs="Times New Roman"/>
            <w:sz w:val="20"/>
            <w:szCs w:val="20"/>
            <w:bdr w:val="none" w:sz="0" w:space="0" w:color="auto" w:frame="1"/>
          </w:rPr>
          <w:t>SOTOMAYOR</w:t>
        </w:r>
      </w:hyperlink>
      <w:r w:rsidRPr="00992A10">
        <w:rPr>
          <w:rFonts w:ascii="Palatino Linotype" w:eastAsia="Times New Roman" w:hAnsi="Palatino Linotype" w:cs="Times New Roman"/>
          <w:sz w:val="20"/>
          <w:szCs w:val="20"/>
        </w:rPr>
        <w:t>, with whom Justice </w:t>
      </w:r>
      <w:hyperlink r:id="rId10" w:history="1">
        <w:r w:rsidRPr="00992A10">
          <w:rPr>
            <w:rFonts w:ascii="Palatino Linotype" w:eastAsia="Times New Roman" w:hAnsi="Palatino Linotype" w:cs="Times New Roman"/>
            <w:sz w:val="20"/>
            <w:szCs w:val="20"/>
            <w:bdr w:val="none" w:sz="0" w:space="0" w:color="auto" w:frame="1"/>
          </w:rPr>
          <w:t>GINSBURG</w:t>
        </w:r>
      </w:hyperlink>
      <w:r w:rsidRPr="00992A10">
        <w:rPr>
          <w:rFonts w:ascii="Palatino Linotype" w:eastAsia="Times New Roman" w:hAnsi="Palatino Linotype" w:cs="Times New Roman"/>
          <w:sz w:val="20"/>
          <w:szCs w:val="20"/>
        </w:rPr>
        <w:t> joins, dissenting from the grant of stay.</w:t>
      </w:r>
    </w:p>
    <w:p w14:paraId="16208704" w14:textId="77777777" w:rsidR="004B6BC1" w:rsidRPr="00992A10" w:rsidRDefault="004B6BC1" w:rsidP="004B6BC1">
      <w:pPr>
        <w:shd w:val="clear" w:color="auto" w:fill="FFFFFF"/>
        <w:spacing w:after="0" w:line="240" w:lineRule="auto"/>
        <w:textAlignment w:val="baseline"/>
        <w:rPr>
          <w:rFonts w:ascii="Palatino Linotype" w:eastAsia="Times New Roman" w:hAnsi="Palatino Linotype" w:cs="Times New Roman"/>
          <w:sz w:val="20"/>
          <w:szCs w:val="20"/>
        </w:rPr>
      </w:pPr>
    </w:p>
    <w:p w14:paraId="1EF7DF1E" w14:textId="0F42F0E7" w:rsidR="00686FCD" w:rsidRPr="00992A10" w:rsidRDefault="00686FCD" w:rsidP="004B6BC1">
      <w:pPr>
        <w:shd w:val="clear" w:color="auto" w:fill="FFFFFF"/>
        <w:spacing w:after="0" w:line="240" w:lineRule="auto"/>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lastRenderedPageBreak/>
        <w:t>Yet again, this Court intervenes to grant a stay pending appeal, in this case less than two weeks before the Court of Appeals for the Ninth Circuit is poised to hear an expedited appeal on a preliminary injunction entered by the District Court. That injunction requires the State of Idaho to accommodate delays and risks introduced by the COVID–19 pandemic by extending the deadline for accepting ballot-initiative signatures and permitting digital collection of signatures. The State claims that it requires immediate intervention from this Court because, absent a stay, it must expend time and resources verifying digital signatures in advance of the extended signature-submission deadline.</w:t>
      </w:r>
    </w:p>
    <w:p w14:paraId="2637390C" w14:textId="5140C805"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But the equities do not favor the State, at least not yet. The Ninth Circuit will hear Idaho's case on August 11, almost a month before Idaho's Secretary of State must certify ballot questions to county clerks (on September 7), and almost three months before election day. If the District Court's preliminary injunction turns out to have been improper, Idaho will still have time to omit respondents’ initiative from the November ballot. Respondents, on the other hand, are in a far more precarious position</w:t>
      </w:r>
      <w:r w:rsidR="004B6BC1" w:rsidRPr="00992A10">
        <w:rPr>
          <w:rFonts w:ascii="Palatino Linotype" w:eastAsia="Times New Roman" w:hAnsi="Palatino Linotype" w:cs="Times New Roman"/>
          <w:sz w:val="20"/>
          <w:szCs w:val="20"/>
        </w:rPr>
        <w:t xml:space="preserve">.  </w:t>
      </w:r>
      <w:r w:rsidRPr="00992A10">
        <w:rPr>
          <w:rFonts w:ascii="Palatino Linotype" w:eastAsia="Times New Roman" w:hAnsi="Palatino Linotype" w:cs="Times New Roman"/>
          <w:sz w:val="20"/>
          <w:szCs w:val="20"/>
        </w:rPr>
        <w:t>The stay granted today puts a halt to their signature-collection efforts, meaning that even if respondents ultimately prevail on appeal, it will be extremely difficult, if not impossible, for them to collect enough qualifying signatures by any reasonable deadline for the November ballot. In other words, the delay occasioned by this Court's stay likely dooms to mootness respondents’ First Amendment claims before any appellate court has had the chance to consider their merits (and, indeed, before this Court has had the chance to consider any potential petition for certiorari).</w:t>
      </w:r>
    </w:p>
    <w:p w14:paraId="2F944F36" w14:textId="77777777"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To be sure, as the concurrence points out, the District Court's preliminary injunction burdens Idaho's county clerks with the task of verifying digital signatures during an already busy election year. But Idaho's undeniable interest in vacatur of the preliminary injunction should be considered in the first instance by the Ninth Circuit, which must weigh the State's temporary expenditure of resources against the significant First Amendment questions raised by respondents. It is premature to assume, based only on that court's (necessarily quick) resolution of Idaho's emergency motion for a stay, that the Ninth Circuit will strike that balance incorrectly upon consideration of the parties’ full briefing and oral argument.</w:t>
      </w:r>
    </w:p>
    <w:p w14:paraId="67AF99E4" w14:textId="53BC92A4"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Nonetheless, based on only the chance that Idaho will not prevail on appeal, that Idaho will seek certiorari in this Court, and that this Court will grant that petition and reverse the (hypothetical) judgment below, this Court takes the extraordinary step of staying the District Court's preliminary injunction pending appeal. In doing so, the Court dispenses liberally a “rare and exceptional” remedy, one that this Court traditionally has granted “only ‘upon the weightiest considerations,’ ” merely to address alleged harms that would exist in the mine-run of similar cases.  Especially given that the Ninth Circuit has signaled its intent to act expeditiously, there is no cause for this Court to usurp the Court of Appeals’ responsibility “to review the District Court's decision ... in the first instance.” </w:t>
      </w:r>
      <w:r w:rsidR="004B6BC1" w:rsidRPr="00992A10">
        <w:rPr>
          <w:rFonts w:ascii="Palatino Linotype" w:eastAsia="Times New Roman" w:hAnsi="Palatino Linotype" w:cs="Times New Roman"/>
          <w:sz w:val="20"/>
          <w:szCs w:val="20"/>
        </w:rPr>
        <w:t xml:space="preserve"> </w:t>
      </w:r>
    </w:p>
    <w:p w14:paraId="56AFA069" w14:textId="4447C03A" w:rsidR="00686FCD" w:rsidRPr="00992A10" w:rsidRDefault="00686FCD" w:rsidP="00686FCD">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992A10">
        <w:rPr>
          <w:rFonts w:ascii="Palatino Linotype" w:eastAsia="Times New Roman" w:hAnsi="Palatino Linotype" w:cs="Times New Roman"/>
          <w:sz w:val="20"/>
          <w:szCs w:val="20"/>
        </w:rPr>
        <w:t xml:space="preserve">Today, by jumping ahead of the Court of Appeals, this Court once again forgets that it is “ ‘a court of review, not of first view,’ ” and undermines the public's expectation that its highest court will act only after considered deliberation. </w:t>
      </w:r>
      <w:r w:rsidR="004B6BC1" w:rsidRPr="00992A10">
        <w:rPr>
          <w:rFonts w:ascii="Palatino Linotype" w:eastAsia="Times New Roman" w:hAnsi="Palatino Linotype" w:cs="Times New Roman"/>
          <w:sz w:val="20"/>
          <w:szCs w:val="20"/>
        </w:rPr>
        <w:t xml:space="preserve">. . . </w:t>
      </w:r>
    </w:p>
    <w:p w14:paraId="72AC0389" w14:textId="77777777" w:rsidR="00686FCD" w:rsidRPr="00992A10" w:rsidRDefault="00686FCD" w:rsidP="00686FCD">
      <w:pPr>
        <w:spacing w:after="0" w:line="240" w:lineRule="auto"/>
        <w:ind w:firstLine="720"/>
        <w:rPr>
          <w:rFonts w:ascii="Palatino Linotype" w:hAnsi="Palatino Linotype" w:cs="Times New Roman"/>
          <w:sz w:val="20"/>
          <w:szCs w:val="20"/>
        </w:rPr>
      </w:pPr>
    </w:p>
    <w:bookmarkEnd w:id="0"/>
    <w:p w14:paraId="4C10923C" w14:textId="77777777" w:rsidR="00686FCD" w:rsidRPr="00686FCD" w:rsidRDefault="00686FCD" w:rsidP="00686FCD">
      <w:pPr>
        <w:spacing w:after="0" w:line="240" w:lineRule="auto"/>
        <w:ind w:firstLine="720"/>
        <w:rPr>
          <w:rFonts w:ascii="Times New Roman" w:hAnsi="Times New Roman" w:cs="Times New Roman"/>
          <w:sz w:val="24"/>
          <w:szCs w:val="24"/>
        </w:rPr>
      </w:pPr>
    </w:p>
    <w:p w14:paraId="5957EF01" w14:textId="77777777" w:rsidR="009E4E30" w:rsidRPr="00686FCD" w:rsidRDefault="009E4E30" w:rsidP="00686FCD">
      <w:pPr>
        <w:spacing w:after="0" w:line="240" w:lineRule="auto"/>
        <w:ind w:firstLine="720"/>
        <w:rPr>
          <w:rFonts w:ascii="Times New Roman" w:hAnsi="Times New Roman" w:cs="Times New Roman"/>
          <w:sz w:val="24"/>
          <w:szCs w:val="24"/>
        </w:rPr>
      </w:pPr>
    </w:p>
    <w:sectPr w:rsidR="009E4E30" w:rsidRPr="0068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CD"/>
    <w:rsid w:val="00045FD4"/>
    <w:rsid w:val="001E4D8A"/>
    <w:rsid w:val="00455EC7"/>
    <w:rsid w:val="004B6BC1"/>
    <w:rsid w:val="00686FCD"/>
    <w:rsid w:val="006E0826"/>
    <w:rsid w:val="00992A10"/>
    <w:rsid w:val="009E4E30"/>
    <w:rsid w:val="00A16375"/>
    <w:rsid w:val="00CD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A0E7"/>
  <w15:chartTrackingRefBased/>
  <w15:docId w15:val="{9625588A-802A-4EEB-9EC3-1AB552CE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C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6F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533229">
      <w:bodyDiv w:val="1"/>
      <w:marLeft w:val="0"/>
      <w:marRight w:val="0"/>
      <w:marTop w:val="0"/>
      <w:marBottom w:val="0"/>
      <w:divBdr>
        <w:top w:val="none" w:sz="0" w:space="0" w:color="auto"/>
        <w:left w:val="none" w:sz="0" w:space="0" w:color="auto"/>
        <w:bottom w:val="none" w:sz="0" w:space="0" w:color="auto"/>
        <w:right w:val="none" w:sz="0" w:space="0" w:color="auto"/>
      </w:divBdr>
      <w:divsChild>
        <w:div w:id="2102292443">
          <w:marLeft w:val="0"/>
          <w:marRight w:val="0"/>
          <w:marTop w:val="0"/>
          <w:marBottom w:val="0"/>
          <w:divBdr>
            <w:top w:val="none" w:sz="0" w:space="0" w:color="auto"/>
            <w:left w:val="none" w:sz="0" w:space="0" w:color="auto"/>
            <w:bottom w:val="none" w:sz="0" w:space="0" w:color="auto"/>
            <w:right w:val="none" w:sz="0" w:space="0" w:color="auto"/>
          </w:divBdr>
          <w:divsChild>
            <w:div w:id="1693871689">
              <w:marLeft w:val="0"/>
              <w:marRight w:val="0"/>
              <w:marTop w:val="0"/>
              <w:marBottom w:val="0"/>
              <w:divBdr>
                <w:top w:val="none" w:sz="0" w:space="0" w:color="auto"/>
                <w:left w:val="none" w:sz="0" w:space="0" w:color="auto"/>
                <w:bottom w:val="none" w:sz="0" w:space="0" w:color="auto"/>
                <w:right w:val="none" w:sz="0" w:space="0" w:color="auto"/>
              </w:divBdr>
              <w:divsChild>
                <w:div w:id="1792436060">
                  <w:marLeft w:val="0"/>
                  <w:marRight w:val="0"/>
                  <w:marTop w:val="0"/>
                  <w:marBottom w:val="0"/>
                  <w:divBdr>
                    <w:top w:val="none" w:sz="0" w:space="0" w:color="auto"/>
                    <w:left w:val="none" w:sz="0" w:space="0" w:color="auto"/>
                    <w:bottom w:val="none" w:sz="0" w:space="0" w:color="auto"/>
                    <w:right w:val="none" w:sz="0" w:space="0" w:color="auto"/>
                  </w:divBdr>
                  <w:divsChild>
                    <w:div w:id="156583436">
                      <w:marLeft w:val="0"/>
                      <w:marRight w:val="0"/>
                      <w:marTop w:val="0"/>
                      <w:marBottom w:val="0"/>
                      <w:divBdr>
                        <w:top w:val="none" w:sz="0" w:space="0" w:color="auto"/>
                        <w:left w:val="none" w:sz="0" w:space="0" w:color="auto"/>
                        <w:bottom w:val="none" w:sz="0" w:space="0" w:color="auto"/>
                        <w:right w:val="none" w:sz="0" w:space="0" w:color="auto"/>
                      </w:divBdr>
                      <w:divsChild>
                        <w:div w:id="1897472089">
                          <w:marLeft w:val="0"/>
                          <w:marRight w:val="0"/>
                          <w:marTop w:val="0"/>
                          <w:marBottom w:val="0"/>
                          <w:divBdr>
                            <w:top w:val="none" w:sz="0" w:space="0" w:color="auto"/>
                            <w:left w:val="none" w:sz="0" w:space="0" w:color="auto"/>
                            <w:bottom w:val="none" w:sz="0" w:space="0" w:color="auto"/>
                            <w:right w:val="none" w:sz="0" w:space="0" w:color="auto"/>
                          </w:divBdr>
                        </w:div>
                      </w:divsChild>
                    </w:div>
                    <w:div w:id="177233612">
                      <w:marLeft w:val="0"/>
                      <w:marRight w:val="0"/>
                      <w:marTop w:val="0"/>
                      <w:marBottom w:val="0"/>
                      <w:divBdr>
                        <w:top w:val="none" w:sz="0" w:space="0" w:color="auto"/>
                        <w:left w:val="none" w:sz="0" w:space="0" w:color="auto"/>
                        <w:bottom w:val="none" w:sz="0" w:space="0" w:color="auto"/>
                        <w:right w:val="none" w:sz="0" w:space="0" w:color="auto"/>
                      </w:divBdr>
                      <w:divsChild>
                        <w:div w:id="1865292392">
                          <w:marLeft w:val="0"/>
                          <w:marRight w:val="0"/>
                          <w:marTop w:val="0"/>
                          <w:marBottom w:val="0"/>
                          <w:divBdr>
                            <w:top w:val="none" w:sz="0" w:space="0" w:color="auto"/>
                            <w:left w:val="none" w:sz="0" w:space="0" w:color="auto"/>
                            <w:bottom w:val="none" w:sz="0" w:space="0" w:color="auto"/>
                            <w:right w:val="none" w:sz="0" w:space="0" w:color="auto"/>
                          </w:divBdr>
                          <w:divsChild>
                            <w:div w:id="1510754984">
                              <w:marLeft w:val="0"/>
                              <w:marRight w:val="0"/>
                              <w:marTop w:val="0"/>
                              <w:marBottom w:val="0"/>
                              <w:divBdr>
                                <w:top w:val="none" w:sz="0" w:space="0" w:color="auto"/>
                                <w:left w:val="none" w:sz="0" w:space="0" w:color="auto"/>
                                <w:bottom w:val="none" w:sz="0" w:space="0" w:color="auto"/>
                                <w:right w:val="none" w:sz="0" w:space="0" w:color="auto"/>
                              </w:divBdr>
                              <w:divsChild>
                                <w:div w:id="1619098748">
                                  <w:marLeft w:val="0"/>
                                  <w:marRight w:val="0"/>
                                  <w:marTop w:val="0"/>
                                  <w:marBottom w:val="0"/>
                                  <w:divBdr>
                                    <w:top w:val="none" w:sz="0" w:space="0" w:color="auto"/>
                                    <w:left w:val="none" w:sz="0" w:space="0" w:color="auto"/>
                                    <w:bottom w:val="none" w:sz="0" w:space="0" w:color="auto"/>
                                    <w:right w:val="none" w:sz="0" w:space="0" w:color="auto"/>
                                  </w:divBdr>
                                </w:div>
                              </w:divsChild>
                            </w:div>
                            <w:div w:id="1734083711">
                              <w:marLeft w:val="0"/>
                              <w:marRight w:val="0"/>
                              <w:marTop w:val="0"/>
                              <w:marBottom w:val="0"/>
                              <w:divBdr>
                                <w:top w:val="none" w:sz="0" w:space="0" w:color="auto"/>
                                <w:left w:val="none" w:sz="0" w:space="0" w:color="auto"/>
                                <w:bottom w:val="none" w:sz="0" w:space="0" w:color="auto"/>
                                <w:right w:val="none" w:sz="0" w:space="0" w:color="auto"/>
                              </w:divBdr>
                              <w:divsChild>
                                <w:div w:id="668361951">
                                  <w:marLeft w:val="0"/>
                                  <w:marRight w:val="0"/>
                                  <w:marTop w:val="0"/>
                                  <w:marBottom w:val="0"/>
                                  <w:divBdr>
                                    <w:top w:val="none" w:sz="0" w:space="0" w:color="auto"/>
                                    <w:left w:val="none" w:sz="0" w:space="0" w:color="auto"/>
                                    <w:bottom w:val="none" w:sz="0" w:space="0" w:color="auto"/>
                                    <w:right w:val="none" w:sz="0" w:space="0" w:color="auto"/>
                                  </w:divBdr>
                                </w:div>
                              </w:divsChild>
                            </w:div>
                            <w:div w:id="201866029">
                              <w:marLeft w:val="0"/>
                              <w:marRight w:val="0"/>
                              <w:marTop w:val="0"/>
                              <w:marBottom w:val="0"/>
                              <w:divBdr>
                                <w:top w:val="none" w:sz="0" w:space="0" w:color="auto"/>
                                <w:left w:val="none" w:sz="0" w:space="0" w:color="auto"/>
                                <w:bottom w:val="none" w:sz="0" w:space="0" w:color="auto"/>
                                <w:right w:val="none" w:sz="0" w:space="0" w:color="auto"/>
                              </w:divBdr>
                              <w:divsChild>
                                <w:div w:id="108625008">
                                  <w:marLeft w:val="0"/>
                                  <w:marRight w:val="0"/>
                                  <w:marTop w:val="0"/>
                                  <w:marBottom w:val="0"/>
                                  <w:divBdr>
                                    <w:top w:val="none" w:sz="0" w:space="0" w:color="auto"/>
                                    <w:left w:val="none" w:sz="0" w:space="0" w:color="auto"/>
                                    <w:bottom w:val="none" w:sz="0" w:space="0" w:color="auto"/>
                                    <w:right w:val="none" w:sz="0" w:space="0" w:color="auto"/>
                                  </w:divBdr>
                                </w:div>
                              </w:divsChild>
                            </w:div>
                            <w:div w:id="1840189354">
                              <w:marLeft w:val="0"/>
                              <w:marRight w:val="0"/>
                              <w:marTop w:val="0"/>
                              <w:marBottom w:val="0"/>
                              <w:divBdr>
                                <w:top w:val="none" w:sz="0" w:space="0" w:color="auto"/>
                                <w:left w:val="none" w:sz="0" w:space="0" w:color="auto"/>
                                <w:bottom w:val="none" w:sz="0" w:space="0" w:color="auto"/>
                                <w:right w:val="none" w:sz="0" w:space="0" w:color="auto"/>
                              </w:divBdr>
                              <w:divsChild>
                                <w:div w:id="944118945">
                                  <w:marLeft w:val="0"/>
                                  <w:marRight w:val="0"/>
                                  <w:marTop w:val="0"/>
                                  <w:marBottom w:val="0"/>
                                  <w:divBdr>
                                    <w:top w:val="none" w:sz="0" w:space="0" w:color="auto"/>
                                    <w:left w:val="none" w:sz="0" w:space="0" w:color="auto"/>
                                    <w:bottom w:val="none" w:sz="0" w:space="0" w:color="auto"/>
                                    <w:right w:val="none" w:sz="0" w:space="0" w:color="auto"/>
                                  </w:divBdr>
                                </w:div>
                              </w:divsChild>
                            </w:div>
                            <w:div w:id="1482574598">
                              <w:marLeft w:val="0"/>
                              <w:marRight w:val="0"/>
                              <w:marTop w:val="0"/>
                              <w:marBottom w:val="0"/>
                              <w:divBdr>
                                <w:top w:val="none" w:sz="0" w:space="0" w:color="auto"/>
                                <w:left w:val="none" w:sz="0" w:space="0" w:color="auto"/>
                                <w:bottom w:val="none" w:sz="0" w:space="0" w:color="auto"/>
                                <w:right w:val="none" w:sz="0" w:space="0" w:color="auto"/>
                              </w:divBdr>
                              <w:divsChild>
                                <w:div w:id="1934631113">
                                  <w:marLeft w:val="0"/>
                                  <w:marRight w:val="0"/>
                                  <w:marTop w:val="0"/>
                                  <w:marBottom w:val="0"/>
                                  <w:divBdr>
                                    <w:top w:val="none" w:sz="0" w:space="0" w:color="auto"/>
                                    <w:left w:val="none" w:sz="0" w:space="0" w:color="auto"/>
                                    <w:bottom w:val="none" w:sz="0" w:space="0" w:color="auto"/>
                                    <w:right w:val="none" w:sz="0" w:space="0" w:color="auto"/>
                                  </w:divBdr>
                                </w:div>
                              </w:divsChild>
                            </w:div>
                            <w:div w:id="61176181">
                              <w:marLeft w:val="0"/>
                              <w:marRight w:val="0"/>
                              <w:marTop w:val="0"/>
                              <w:marBottom w:val="0"/>
                              <w:divBdr>
                                <w:top w:val="none" w:sz="0" w:space="0" w:color="auto"/>
                                <w:left w:val="none" w:sz="0" w:space="0" w:color="auto"/>
                                <w:bottom w:val="none" w:sz="0" w:space="0" w:color="auto"/>
                                <w:right w:val="none" w:sz="0" w:space="0" w:color="auto"/>
                              </w:divBdr>
                              <w:divsChild>
                                <w:div w:id="1158036871">
                                  <w:marLeft w:val="0"/>
                                  <w:marRight w:val="0"/>
                                  <w:marTop w:val="0"/>
                                  <w:marBottom w:val="0"/>
                                  <w:divBdr>
                                    <w:top w:val="none" w:sz="0" w:space="0" w:color="auto"/>
                                    <w:left w:val="none" w:sz="0" w:space="0" w:color="auto"/>
                                    <w:bottom w:val="none" w:sz="0" w:space="0" w:color="auto"/>
                                    <w:right w:val="none" w:sz="0" w:space="0" w:color="auto"/>
                                  </w:divBdr>
                                </w:div>
                              </w:divsChild>
                            </w:div>
                            <w:div w:id="1944725092">
                              <w:marLeft w:val="0"/>
                              <w:marRight w:val="0"/>
                              <w:marTop w:val="0"/>
                              <w:marBottom w:val="0"/>
                              <w:divBdr>
                                <w:top w:val="none" w:sz="0" w:space="0" w:color="auto"/>
                                <w:left w:val="none" w:sz="0" w:space="0" w:color="auto"/>
                                <w:bottom w:val="none" w:sz="0" w:space="0" w:color="auto"/>
                                <w:right w:val="none" w:sz="0" w:space="0" w:color="auto"/>
                              </w:divBdr>
                              <w:divsChild>
                                <w:div w:id="555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532596">
          <w:marLeft w:val="0"/>
          <w:marRight w:val="0"/>
          <w:marTop w:val="0"/>
          <w:marBottom w:val="0"/>
          <w:divBdr>
            <w:top w:val="none" w:sz="0" w:space="0" w:color="auto"/>
            <w:left w:val="none" w:sz="0" w:space="0" w:color="auto"/>
            <w:bottom w:val="none" w:sz="0" w:space="0" w:color="auto"/>
            <w:right w:val="none" w:sz="0" w:space="0" w:color="auto"/>
          </w:divBdr>
          <w:divsChild>
            <w:div w:id="545877795">
              <w:marLeft w:val="0"/>
              <w:marRight w:val="0"/>
              <w:marTop w:val="0"/>
              <w:marBottom w:val="0"/>
              <w:divBdr>
                <w:top w:val="none" w:sz="0" w:space="0" w:color="auto"/>
                <w:left w:val="none" w:sz="0" w:space="0" w:color="auto"/>
                <w:bottom w:val="none" w:sz="0" w:space="0" w:color="auto"/>
                <w:right w:val="none" w:sz="0" w:space="0" w:color="auto"/>
              </w:divBdr>
              <w:divsChild>
                <w:div w:id="2077240367">
                  <w:marLeft w:val="0"/>
                  <w:marRight w:val="0"/>
                  <w:marTop w:val="0"/>
                  <w:marBottom w:val="0"/>
                  <w:divBdr>
                    <w:top w:val="none" w:sz="0" w:space="0" w:color="auto"/>
                    <w:left w:val="none" w:sz="0" w:space="0" w:color="auto"/>
                    <w:bottom w:val="none" w:sz="0" w:space="0" w:color="auto"/>
                    <w:right w:val="none" w:sz="0" w:space="0" w:color="auto"/>
                  </w:divBdr>
                  <w:divsChild>
                    <w:div w:id="1050763857">
                      <w:marLeft w:val="0"/>
                      <w:marRight w:val="0"/>
                      <w:marTop w:val="0"/>
                      <w:marBottom w:val="0"/>
                      <w:divBdr>
                        <w:top w:val="none" w:sz="0" w:space="0" w:color="auto"/>
                        <w:left w:val="none" w:sz="0" w:space="0" w:color="auto"/>
                        <w:bottom w:val="none" w:sz="0" w:space="0" w:color="auto"/>
                        <w:right w:val="none" w:sz="0" w:space="0" w:color="auto"/>
                      </w:divBdr>
                    </w:div>
                    <w:div w:id="592931027">
                      <w:marLeft w:val="0"/>
                      <w:marRight w:val="0"/>
                      <w:marTop w:val="0"/>
                      <w:marBottom w:val="0"/>
                      <w:divBdr>
                        <w:top w:val="none" w:sz="0" w:space="0" w:color="auto"/>
                        <w:left w:val="none" w:sz="0" w:space="0" w:color="auto"/>
                        <w:bottom w:val="none" w:sz="0" w:space="0" w:color="auto"/>
                        <w:right w:val="none" w:sz="0" w:space="0" w:color="auto"/>
                      </w:divBdr>
                      <w:divsChild>
                        <w:div w:id="1143932779">
                          <w:marLeft w:val="0"/>
                          <w:marRight w:val="0"/>
                          <w:marTop w:val="0"/>
                          <w:marBottom w:val="0"/>
                          <w:divBdr>
                            <w:top w:val="none" w:sz="0" w:space="0" w:color="auto"/>
                            <w:left w:val="none" w:sz="0" w:space="0" w:color="auto"/>
                            <w:bottom w:val="none" w:sz="0" w:space="0" w:color="auto"/>
                            <w:right w:val="none" w:sz="0" w:space="0" w:color="auto"/>
                          </w:divBdr>
                          <w:divsChild>
                            <w:div w:id="1974749640">
                              <w:marLeft w:val="0"/>
                              <w:marRight w:val="0"/>
                              <w:marTop w:val="0"/>
                              <w:marBottom w:val="0"/>
                              <w:divBdr>
                                <w:top w:val="none" w:sz="0" w:space="0" w:color="auto"/>
                                <w:left w:val="none" w:sz="0" w:space="0" w:color="auto"/>
                                <w:bottom w:val="none" w:sz="0" w:space="0" w:color="auto"/>
                                <w:right w:val="none" w:sz="0" w:space="0" w:color="auto"/>
                              </w:divBdr>
                              <w:divsChild>
                                <w:div w:id="1879006561">
                                  <w:marLeft w:val="0"/>
                                  <w:marRight w:val="0"/>
                                  <w:marTop w:val="0"/>
                                  <w:marBottom w:val="0"/>
                                  <w:divBdr>
                                    <w:top w:val="none" w:sz="0" w:space="0" w:color="auto"/>
                                    <w:left w:val="none" w:sz="0" w:space="0" w:color="auto"/>
                                    <w:bottom w:val="none" w:sz="0" w:space="0" w:color="auto"/>
                                    <w:right w:val="none" w:sz="0" w:space="0" w:color="auto"/>
                                  </w:divBdr>
                                </w:div>
                              </w:divsChild>
                            </w:div>
                            <w:div w:id="855995158">
                              <w:marLeft w:val="0"/>
                              <w:marRight w:val="0"/>
                              <w:marTop w:val="0"/>
                              <w:marBottom w:val="0"/>
                              <w:divBdr>
                                <w:top w:val="none" w:sz="0" w:space="0" w:color="auto"/>
                                <w:left w:val="none" w:sz="0" w:space="0" w:color="auto"/>
                                <w:bottom w:val="none" w:sz="0" w:space="0" w:color="auto"/>
                                <w:right w:val="none" w:sz="0" w:space="0" w:color="auto"/>
                              </w:divBdr>
                              <w:divsChild>
                                <w:div w:id="713193465">
                                  <w:marLeft w:val="0"/>
                                  <w:marRight w:val="0"/>
                                  <w:marTop w:val="0"/>
                                  <w:marBottom w:val="0"/>
                                  <w:divBdr>
                                    <w:top w:val="none" w:sz="0" w:space="0" w:color="auto"/>
                                    <w:left w:val="none" w:sz="0" w:space="0" w:color="auto"/>
                                    <w:bottom w:val="none" w:sz="0" w:space="0" w:color="auto"/>
                                    <w:right w:val="none" w:sz="0" w:space="0" w:color="auto"/>
                                  </w:divBdr>
                                </w:div>
                              </w:divsChild>
                            </w:div>
                            <w:div w:id="2046708479">
                              <w:marLeft w:val="0"/>
                              <w:marRight w:val="0"/>
                              <w:marTop w:val="0"/>
                              <w:marBottom w:val="0"/>
                              <w:divBdr>
                                <w:top w:val="none" w:sz="0" w:space="0" w:color="auto"/>
                                <w:left w:val="none" w:sz="0" w:space="0" w:color="auto"/>
                                <w:bottom w:val="none" w:sz="0" w:space="0" w:color="auto"/>
                                <w:right w:val="none" w:sz="0" w:space="0" w:color="auto"/>
                              </w:divBdr>
                              <w:divsChild>
                                <w:div w:id="1239287842">
                                  <w:marLeft w:val="0"/>
                                  <w:marRight w:val="0"/>
                                  <w:marTop w:val="0"/>
                                  <w:marBottom w:val="0"/>
                                  <w:divBdr>
                                    <w:top w:val="none" w:sz="0" w:space="0" w:color="auto"/>
                                    <w:left w:val="none" w:sz="0" w:space="0" w:color="auto"/>
                                    <w:bottom w:val="none" w:sz="0" w:space="0" w:color="auto"/>
                                    <w:right w:val="none" w:sz="0" w:space="0" w:color="auto"/>
                                  </w:divBdr>
                                </w:div>
                              </w:divsChild>
                            </w:div>
                            <w:div w:id="1931741403">
                              <w:marLeft w:val="0"/>
                              <w:marRight w:val="0"/>
                              <w:marTop w:val="0"/>
                              <w:marBottom w:val="0"/>
                              <w:divBdr>
                                <w:top w:val="none" w:sz="0" w:space="0" w:color="auto"/>
                                <w:left w:val="none" w:sz="0" w:space="0" w:color="auto"/>
                                <w:bottom w:val="none" w:sz="0" w:space="0" w:color="auto"/>
                                <w:right w:val="none" w:sz="0" w:space="0" w:color="auto"/>
                              </w:divBdr>
                              <w:divsChild>
                                <w:div w:id="1031877068">
                                  <w:marLeft w:val="0"/>
                                  <w:marRight w:val="0"/>
                                  <w:marTop w:val="0"/>
                                  <w:marBottom w:val="0"/>
                                  <w:divBdr>
                                    <w:top w:val="none" w:sz="0" w:space="0" w:color="auto"/>
                                    <w:left w:val="none" w:sz="0" w:space="0" w:color="auto"/>
                                    <w:bottom w:val="none" w:sz="0" w:space="0" w:color="auto"/>
                                    <w:right w:val="none" w:sz="0" w:space="0" w:color="auto"/>
                                  </w:divBdr>
                                </w:div>
                              </w:divsChild>
                            </w:div>
                            <w:div w:id="1982611812">
                              <w:marLeft w:val="0"/>
                              <w:marRight w:val="0"/>
                              <w:marTop w:val="0"/>
                              <w:marBottom w:val="0"/>
                              <w:divBdr>
                                <w:top w:val="none" w:sz="0" w:space="0" w:color="auto"/>
                                <w:left w:val="none" w:sz="0" w:space="0" w:color="auto"/>
                                <w:bottom w:val="none" w:sz="0" w:space="0" w:color="auto"/>
                                <w:right w:val="none" w:sz="0" w:space="0" w:color="auto"/>
                              </w:divBdr>
                              <w:divsChild>
                                <w:div w:id="12710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364335801&amp;originatingDoc=Idca90492c1ef11eabea4f0dc9fb69570&amp;refType=RQ&amp;originationContext=document&amp;transitionType=DocumentItem&amp;contextData=(sc.Search)&amp;analyticGuid=Idca90492c1ef11eabea4f0dc9fb69570"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83411701&amp;originatingDoc=Idca90492c1ef11eabea4f0dc9fb69570&amp;refType=RQ&amp;originationContext=document&amp;transitionType=DocumentItem&amp;contextData=(sc.Search)&amp;analyticGuid=Idca90492c1ef11eabea4f0dc9fb695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53052401&amp;originatingDoc=Idca90492c1ef11eabea4f0dc9fb69570&amp;refType=RQ&amp;originationContext=document&amp;transitionType=DocumentItem&amp;contextData=(sc.Search)&amp;analyticGuid=Idca90492c1ef11eabea4f0dc9fb69570" TargetMode="External"/><Relationship Id="rId11" Type="http://schemas.openxmlformats.org/officeDocument/2006/relationships/fontTable" Target="fontTable.xml"/><Relationship Id="rId5" Type="http://schemas.openxmlformats.org/officeDocument/2006/relationships/hyperlink" Target="https://1.next.westlaw.com/Link/Document/FullText?findType=h&amp;pubNum=176284&amp;cite=0258116001&amp;originatingDoc=Idca90492c1ef11eabea4f0dc9fb69570&amp;refType=RQ&amp;originationContext=document&amp;transitionType=DocumentItem&amp;contextData=(sc.Search)&amp;analyticGuid=Idca90492c1ef11eabea4f0dc9fb69570" TargetMode="External"/><Relationship Id="rId10" Type="http://schemas.openxmlformats.org/officeDocument/2006/relationships/hyperlink" Target="https://1.next.westlaw.com/Link/Document/FullText?findType=h&amp;pubNum=176284&amp;cite=0224420501&amp;originatingDoc=Idca90492c1ef11eabea4f0dc9fb69570&amp;refType=RQ&amp;originationContext=document&amp;transitionType=DocumentItem&amp;contextData=(sc.Search)&amp;analyticGuid=Idca90492c1ef11eabea4f0dc9fb69570" TargetMode="External"/><Relationship Id="rId4" Type="http://schemas.openxmlformats.org/officeDocument/2006/relationships/hyperlink" Target="https://1.next.westlaw.com/Link/Document/FullText?findType=h&amp;pubNum=176284&amp;cite=0301239401&amp;originatingDoc=Idca90492c1ef11eabea4f0dc9fb69570&amp;refType=RQ&amp;originationContext=document&amp;transitionType=DocumentItem&amp;contextData=(sc.Search)&amp;analyticGuid=Idca90492c1ef11eabea4f0dc9fb69570" TargetMode="External"/><Relationship Id="rId9" Type="http://schemas.openxmlformats.org/officeDocument/2006/relationships/hyperlink" Target="https://1.next.westlaw.com/Link/Document/FullText?findType=h&amp;pubNum=176284&amp;cite=0145172701&amp;originatingDoc=Idca90492c1ef11eabea4f0dc9fb69570&amp;refType=RQ&amp;originationContext=document&amp;transitionType=DocumentItem&amp;contextData=(sc.Search)&amp;analyticGuid=Idca90492c1ef11eabea4f0dc9fb6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2020-12-10T21:36:00Z</dcterms:created>
  <dcterms:modified xsi:type="dcterms:W3CDTF">2020-12-10T21:36:00Z</dcterms:modified>
</cp:coreProperties>
</file>