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B4DA" w14:textId="77777777" w:rsidR="007B2419" w:rsidRPr="002119C5" w:rsidRDefault="007B2419" w:rsidP="007B2419">
      <w:pPr>
        <w:spacing w:after="0" w:line="240" w:lineRule="auto"/>
        <w:jc w:val="center"/>
        <w:rPr>
          <w:rFonts w:ascii="Palatino Linotype" w:hAnsi="Palatino Linotype"/>
          <w:sz w:val="20"/>
          <w:szCs w:val="20"/>
        </w:rPr>
      </w:pPr>
      <w:r w:rsidRPr="002119C5">
        <w:rPr>
          <w:rFonts w:ascii="Palatino Linotype" w:hAnsi="Palatino Linotype"/>
          <w:sz w:val="20"/>
          <w:szCs w:val="20"/>
        </w:rPr>
        <w:t>AMERICAN CONSTITUTIONALISM</w:t>
      </w:r>
    </w:p>
    <w:p w14:paraId="617BF5FF" w14:textId="1E3F386D" w:rsidR="007B2419" w:rsidRPr="002119C5" w:rsidRDefault="007B2419" w:rsidP="007B2419">
      <w:pPr>
        <w:spacing w:after="0" w:line="240" w:lineRule="auto"/>
        <w:jc w:val="center"/>
        <w:rPr>
          <w:rFonts w:ascii="Palatino Linotype" w:hAnsi="Palatino Linotype"/>
          <w:sz w:val="20"/>
          <w:szCs w:val="20"/>
        </w:rPr>
      </w:pPr>
      <w:r w:rsidRPr="002119C5">
        <w:rPr>
          <w:rFonts w:ascii="Palatino Linotype" w:hAnsi="Palatino Linotype"/>
          <w:sz w:val="20"/>
          <w:szCs w:val="20"/>
        </w:rPr>
        <w:t>VOLUME I</w:t>
      </w:r>
      <w:r w:rsidR="004F4CA3" w:rsidRPr="002119C5">
        <w:rPr>
          <w:rFonts w:ascii="Palatino Linotype" w:hAnsi="Palatino Linotype"/>
          <w:sz w:val="20"/>
          <w:szCs w:val="20"/>
        </w:rPr>
        <w:t>I</w:t>
      </w:r>
      <w:r w:rsidRPr="002119C5">
        <w:rPr>
          <w:rFonts w:ascii="Palatino Linotype" w:hAnsi="Palatino Linotype"/>
          <w:sz w:val="20"/>
          <w:szCs w:val="20"/>
        </w:rPr>
        <w:t xml:space="preserve">:  </w:t>
      </w:r>
      <w:r w:rsidR="004F4CA3" w:rsidRPr="002119C5">
        <w:rPr>
          <w:rFonts w:ascii="Palatino Linotype" w:hAnsi="Palatino Linotype"/>
          <w:sz w:val="20"/>
          <w:szCs w:val="20"/>
        </w:rPr>
        <w:t>RIGHTS AND LIBERTIES</w:t>
      </w:r>
    </w:p>
    <w:p w14:paraId="6B991991" w14:textId="77777777" w:rsidR="007B2419" w:rsidRPr="002119C5" w:rsidRDefault="007B2419" w:rsidP="007B2419">
      <w:pPr>
        <w:spacing w:after="0" w:line="240" w:lineRule="auto"/>
        <w:jc w:val="center"/>
        <w:rPr>
          <w:rFonts w:ascii="Palatino Linotype" w:hAnsi="Palatino Linotype"/>
          <w:sz w:val="20"/>
          <w:szCs w:val="20"/>
        </w:rPr>
      </w:pPr>
      <w:r w:rsidRPr="002119C5">
        <w:rPr>
          <w:rFonts w:ascii="Palatino Linotype" w:hAnsi="Palatino Linotype"/>
          <w:sz w:val="20"/>
          <w:szCs w:val="20"/>
        </w:rPr>
        <w:t>Howard Gillman • Mark A. Graber • Keith E. Whittington</w:t>
      </w:r>
    </w:p>
    <w:p w14:paraId="6B76B906" w14:textId="77777777" w:rsidR="007B2419" w:rsidRPr="002119C5" w:rsidRDefault="007B2419" w:rsidP="007B2419">
      <w:pPr>
        <w:spacing w:after="0" w:line="240" w:lineRule="auto"/>
        <w:jc w:val="center"/>
        <w:rPr>
          <w:rFonts w:ascii="Palatino Linotype" w:hAnsi="Palatino Linotype"/>
          <w:sz w:val="20"/>
          <w:szCs w:val="20"/>
        </w:rPr>
      </w:pPr>
    </w:p>
    <w:p w14:paraId="44A50401" w14:textId="77777777" w:rsidR="007B2419" w:rsidRPr="002119C5" w:rsidRDefault="007B2419" w:rsidP="007B2419">
      <w:pPr>
        <w:spacing w:after="0" w:line="240" w:lineRule="auto"/>
        <w:jc w:val="center"/>
        <w:rPr>
          <w:rFonts w:ascii="Palatino Linotype" w:hAnsi="Palatino Linotype"/>
          <w:sz w:val="20"/>
          <w:szCs w:val="20"/>
        </w:rPr>
      </w:pPr>
      <w:r w:rsidRPr="002119C5">
        <w:rPr>
          <w:rFonts w:ascii="Palatino Linotype" w:hAnsi="Palatino Linotype"/>
          <w:sz w:val="20"/>
          <w:szCs w:val="20"/>
        </w:rPr>
        <w:t>Supplementary Material</w:t>
      </w:r>
    </w:p>
    <w:p w14:paraId="099778B4" w14:textId="77777777" w:rsidR="007B2419" w:rsidRPr="002119C5" w:rsidRDefault="007B2419" w:rsidP="007B2419">
      <w:pPr>
        <w:spacing w:after="0" w:line="240" w:lineRule="auto"/>
        <w:jc w:val="center"/>
        <w:rPr>
          <w:rFonts w:ascii="Palatino Linotype" w:hAnsi="Palatino Linotype"/>
          <w:sz w:val="20"/>
          <w:szCs w:val="20"/>
        </w:rPr>
      </w:pPr>
    </w:p>
    <w:p w14:paraId="12FE38CE" w14:textId="57CA5002" w:rsidR="007B2419" w:rsidRPr="002119C5" w:rsidRDefault="007B2419" w:rsidP="007B2419">
      <w:pPr>
        <w:spacing w:after="0" w:line="240" w:lineRule="auto"/>
        <w:jc w:val="center"/>
        <w:rPr>
          <w:rFonts w:ascii="Palatino Linotype" w:hAnsi="Palatino Linotype"/>
          <w:sz w:val="20"/>
          <w:szCs w:val="20"/>
        </w:rPr>
      </w:pPr>
      <w:r w:rsidRPr="002119C5">
        <w:rPr>
          <w:rFonts w:ascii="Palatino Linotype" w:hAnsi="Palatino Linotype"/>
          <w:sz w:val="20"/>
          <w:szCs w:val="20"/>
        </w:rPr>
        <w:t>Chapter 12:  The Contemporary Era – Criminal Justice/Search and Seizure</w:t>
      </w:r>
    </w:p>
    <w:p w14:paraId="3DD5FF24" w14:textId="77777777" w:rsidR="007B2419" w:rsidRPr="002119C5" w:rsidRDefault="007B2419" w:rsidP="007B2419">
      <w:pPr>
        <w:spacing w:after="0" w:line="240" w:lineRule="auto"/>
        <w:jc w:val="center"/>
        <w:rPr>
          <w:rFonts w:ascii="Palatino Linotype" w:hAnsi="Palatino Linotype"/>
          <w:sz w:val="20"/>
          <w:szCs w:val="20"/>
        </w:rPr>
      </w:pPr>
    </w:p>
    <w:p w14:paraId="55A9ECC8" w14:textId="77777777" w:rsidR="007B2419" w:rsidRPr="002119C5" w:rsidRDefault="006C4674" w:rsidP="007B2419">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C91ABB8">
          <v:rect id="_x0000_i1025" style="width:468pt;height:1.5pt" o:hralign="center" o:hrstd="t" o:hrnoshade="t" o:hr="t" fillcolor="black [3213]" stroked="f"/>
        </w:pict>
      </w:r>
    </w:p>
    <w:p w14:paraId="72ED934A" w14:textId="2C77657D" w:rsidR="007B2419" w:rsidRPr="002119C5" w:rsidRDefault="007B2419" w:rsidP="007B2419">
      <w:pPr>
        <w:shd w:val="clear" w:color="auto" w:fill="FFFFFF"/>
        <w:spacing w:after="0" w:line="240" w:lineRule="auto"/>
        <w:jc w:val="center"/>
        <w:textAlignment w:val="baseline"/>
        <w:rPr>
          <w:rFonts w:ascii="Palatino Linotype" w:eastAsia="Times New Roman" w:hAnsi="Palatino Linotype" w:cs="Times New Roman"/>
          <w:i/>
          <w:iCs/>
          <w:sz w:val="20"/>
          <w:szCs w:val="20"/>
        </w:rPr>
      </w:pPr>
      <w:proofErr w:type="spellStart"/>
      <w:r w:rsidRPr="002119C5">
        <w:rPr>
          <w:rFonts w:ascii="Palatino Linotype" w:eastAsia="Times New Roman" w:hAnsi="Palatino Linotype" w:cs="Times New Roman"/>
          <w:b/>
          <w:bCs/>
          <w:sz w:val="20"/>
          <w:szCs w:val="20"/>
        </w:rPr>
        <w:t>Bovat</w:t>
      </w:r>
      <w:proofErr w:type="spellEnd"/>
      <w:r w:rsidRPr="002119C5">
        <w:rPr>
          <w:rFonts w:ascii="Palatino Linotype" w:eastAsia="Times New Roman" w:hAnsi="Palatino Linotype" w:cs="Times New Roman"/>
          <w:b/>
          <w:bCs/>
          <w:sz w:val="20"/>
          <w:szCs w:val="20"/>
        </w:rPr>
        <w:t xml:space="preserve"> v. Vermont, ___ U.S. ___</w:t>
      </w:r>
      <w:r w:rsidRPr="002119C5">
        <w:rPr>
          <w:rFonts w:ascii="Palatino Linotype" w:eastAsia="Times New Roman" w:hAnsi="Palatino Linotype" w:cs="Times New Roman"/>
          <w:sz w:val="20"/>
          <w:szCs w:val="20"/>
        </w:rPr>
        <w:t xml:space="preserve"> (2020)</w:t>
      </w:r>
    </w:p>
    <w:p w14:paraId="1F386789" w14:textId="77777777" w:rsidR="007B2419" w:rsidRPr="002119C5" w:rsidRDefault="006C4674" w:rsidP="007B2419">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2B75981F">
          <v:rect id="_x0000_i1026" style="width:468pt;height:1.5pt" o:hralign="center" o:hrstd="t" o:hrnoshade="t" o:hr="t" fillcolor="black [3213]" stroked="f"/>
        </w:pict>
      </w:r>
    </w:p>
    <w:p w14:paraId="51E8AABD" w14:textId="77777777" w:rsidR="007B2419" w:rsidRPr="002119C5" w:rsidRDefault="007B2419" w:rsidP="007B2419">
      <w:pPr>
        <w:spacing w:after="0" w:line="240" w:lineRule="auto"/>
        <w:rPr>
          <w:rFonts w:ascii="Palatino Linotype" w:eastAsia="Times New Roman" w:hAnsi="Palatino Linotype" w:cs="Times New Roman"/>
          <w:sz w:val="20"/>
          <w:szCs w:val="20"/>
        </w:rPr>
      </w:pPr>
    </w:p>
    <w:p w14:paraId="21B6E731"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i/>
          <w:iCs/>
          <w:sz w:val="20"/>
          <w:szCs w:val="20"/>
        </w:rPr>
      </w:pPr>
      <w:r w:rsidRPr="002119C5">
        <w:rPr>
          <w:rFonts w:ascii="Palatino Linotype" w:eastAsia="Times New Roman" w:hAnsi="Palatino Linotype" w:cs="Times New Roman"/>
          <w:i/>
          <w:iCs/>
          <w:sz w:val="20"/>
          <w:szCs w:val="20"/>
        </w:rPr>
        <w:t xml:space="preserve">Vermont police officials suspected Clyde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had illegally shot a deer.  They entered </w:t>
      </w:r>
      <w:proofErr w:type="spellStart"/>
      <w:r w:rsidRPr="002119C5">
        <w:rPr>
          <w:rFonts w:ascii="Palatino Linotype" w:eastAsia="Times New Roman" w:hAnsi="Palatino Linotype" w:cs="Times New Roman"/>
          <w:i/>
          <w:iCs/>
          <w:sz w:val="20"/>
          <w:szCs w:val="20"/>
        </w:rPr>
        <w:t>Bovat’s</w:t>
      </w:r>
      <w:proofErr w:type="spellEnd"/>
      <w:r w:rsidRPr="002119C5">
        <w:rPr>
          <w:rFonts w:ascii="Palatino Linotype" w:eastAsia="Times New Roman" w:hAnsi="Palatino Linotype" w:cs="Times New Roman"/>
          <w:i/>
          <w:iCs/>
          <w:sz w:val="20"/>
          <w:szCs w:val="20"/>
        </w:rPr>
        <w:t xml:space="preserve"> property, peered into his garage through a window, and saw what they thought was deer hair on book on </w:t>
      </w:r>
      <w:proofErr w:type="spellStart"/>
      <w:r w:rsidRPr="002119C5">
        <w:rPr>
          <w:rFonts w:ascii="Palatino Linotype" w:eastAsia="Times New Roman" w:hAnsi="Palatino Linotype" w:cs="Times New Roman"/>
          <w:i/>
          <w:iCs/>
          <w:sz w:val="20"/>
          <w:szCs w:val="20"/>
        </w:rPr>
        <w:t>Bovat’s</w:t>
      </w:r>
      <w:proofErr w:type="spellEnd"/>
      <w:r w:rsidRPr="002119C5">
        <w:rPr>
          <w:rFonts w:ascii="Palatino Linotype" w:eastAsia="Times New Roman" w:hAnsi="Palatino Linotype" w:cs="Times New Roman"/>
          <w:i/>
          <w:iCs/>
          <w:sz w:val="20"/>
          <w:szCs w:val="20"/>
        </w:rPr>
        <w:t xml:space="preserve"> pickup truck.  After lingering on the property for approximately fifteen minutes, they asked permission from </w:t>
      </w:r>
      <w:proofErr w:type="spellStart"/>
      <w:r w:rsidRPr="002119C5">
        <w:rPr>
          <w:rFonts w:ascii="Palatino Linotype" w:eastAsia="Times New Roman" w:hAnsi="Palatino Linotype" w:cs="Times New Roman"/>
          <w:i/>
          <w:iCs/>
          <w:sz w:val="20"/>
          <w:szCs w:val="20"/>
        </w:rPr>
        <w:t>Bovat’s</w:t>
      </w:r>
      <w:proofErr w:type="spellEnd"/>
      <w:r w:rsidRPr="002119C5">
        <w:rPr>
          <w:rFonts w:ascii="Palatino Linotype" w:eastAsia="Times New Roman" w:hAnsi="Palatino Linotype" w:cs="Times New Roman"/>
          <w:i/>
          <w:iCs/>
          <w:sz w:val="20"/>
          <w:szCs w:val="20"/>
        </w:rPr>
        <w:t xml:space="preserve"> wife to enter the </w:t>
      </w:r>
      <w:proofErr w:type="gramStart"/>
      <w:r w:rsidRPr="002119C5">
        <w:rPr>
          <w:rFonts w:ascii="Palatino Linotype" w:eastAsia="Times New Roman" w:hAnsi="Palatino Linotype" w:cs="Times New Roman"/>
          <w:i/>
          <w:iCs/>
          <w:sz w:val="20"/>
          <w:szCs w:val="20"/>
        </w:rPr>
        <w:t>garage, but</w:t>
      </w:r>
      <w:proofErr w:type="gramEnd"/>
      <w:r w:rsidRPr="002119C5">
        <w:rPr>
          <w:rFonts w:ascii="Palatino Linotype" w:eastAsia="Times New Roman" w:hAnsi="Palatino Linotype" w:cs="Times New Roman"/>
          <w:i/>
          <w:iCs/>
          <w:sz w:val="20"/>
          <w:szCs w:val="20"/>
        </w:rPr>
        <w:t xml:space="preserve"> were refused.  They promptly obtained a search warrant, returned to </w:t>
      </w:r>
      <w:proofErr w:type="spellStart"/>
      <w:r w:rsidRPr="002119C5">
        <w:rPr>
          <w:rFonts w:ascii="Palatino Linotype" w:eastAsia="Times New Roman" w:hAnsi="Palatino Linotype" w:cs="Times New Roman"/>
          <w:i/>
          <w:iCs/>
          <w:sz w:val="20"/>
          <w:szCs w:val="20"/>
        </w:rPr>
        <w:t>Bovat’s</w:t>
      </w:r>
      <w:proofErr w:type="spellEnd"/>
      <w:r w:rsidRPr="002119C5">
        <w:rPr>
          <w:rFonts w:ascii="Palatino Linotype" w:eastAsia="Times New Roman" w:hAnsi="Palatino Linotype" w:cs="Times New Roman"/>
          <w:i/>
          <w:iCs/>
          <w:sz w:val="20"/>
          <w:szCs w:val="20"/>
        </w:rPr>
        <w:t xml:space="preserve"> </w:t>
      </w:r>
      <w:proofErr w:type="gramStart"/>
      <w:r w:rsidRPr="002119C5">
        <w:rPr>
          <w:rFonts w:ascii="Palatino Linotype" w:eastAsia="Times New Roman" w:hAnsi="Palatino Linotype" w:cs="Times New Roman"/>
          <w:i/>
          <w:iCs/>
          <w:sz w:val="20"/>
          <w:szCs w:val="20"/>
        </w:rPr>
        <w:t>garage</w:t>
      </w:r>
      <w:proofErr w:type="gramEnd"/>
      <w:r w:rsidRPr="002119C5">
        <w:rPr>
          <w:rFonts w:ascii="Palatino Linotype" w:eastAsia="Times New Roman" w:hAnsi="Palatino Linotype" w:cs="Times New Roman"/>
          <w:i/>
          <w:iCs/>
          <w:sz w:val="20"/>
          <w:szCs w:val="20"/>
        </w:rPr>
        <w:t xml:space="preserve"> and took samples of the blood on the car.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sought to suppress that evidence on the ground that the garage search violated his Fourth Amendment rights as incorporated by the due process clause of the Fourteenth Amendment.  The trial judge rejected that motion.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was convicted and that conviction was affirmed by the Vermont Supreme Court.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appealed to the Supreme Court of the United States.</w:t>
      </w:r>
    </w:p>
    <w:p w14:paraId="00CFFEAC"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i/>
          <w:iCs/>
          <w:sz w:val="20"/>
          <w:szCs w:val="20"/>
        </w:rPr>
      </w:pPr>
      <w:r w:rsidRPr="002119C5">
        <w:rPr>
          <w:rFonts w:ascii="Palatino Linotype" w:eastAsia="Times New Roman" w:hAnsi="Palatino Linotype" w:cs="Times New Roman"/>
          <w:i/>
          <w:iCs/>
          <w:sz w:val="20"/>
          <w:szCs w:val="20"/>
        </w:rPr>
        <w:tab/>
        <w:t xml:space="preserve">The Supreme Court unanimously denied certiorari.  While not objecting to the denial of certiorari, Justice Neil Gorsuch issued a statement, joined by Justices Sonya Sotomayor and Elena Kagan, claiming that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had been unconstitutionally convicted.  Gorsuch insisted that by conducting a </w:t>
      </w:r>
      <w:proofErr w:type="gramStart"/>
      <w:r w:rsidRPr="002119C5">
        <w:rPr>
          <w:rFonts w:ascii="Palatino Linotype" w:eastAsia="Times New Roman" w:hAnsi="Palatino Linotype" w:cs="Times New Roman"/>
          <w:i/>
          <w:iCs/>
          <w:sz w:val="20"/>
          <w:szCs w:val="20"/>
        </w:rPr>
        <w:t>fifteen minute</w:t>
      </w:r>
      <w:proofErr w:type="gramEnd"/>
      <w:r w:rsidRPr="002119C5">
        <w:rPr>
          <w:rFonts w:ascii="Palatino Linotype" w:eastAsia="Times New Roman" w:hAnsi="Palatino Linotype" w:cs="Times New Roman"/>
          <w:i/>
          <w:iCs/>
          <w:sz w:val="20"/>
          <w:szCs w:val="20"/>
        </w:rPr>
        <w:t xml:space="preserve"> search without a warrant on the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property, Vermont police had violated the Fourth and Fourteenth Amendments.  Gorsuch considered this to be an open and shut constitutional violation, at least if the facts were as stated in the briefs.  Is he correct?  Did Vermont have a constitutional leg to stand on?  If </w:t>
      </w:r>
      <w:proofErr w:type="spellStart"/>
      <w:r w:rsidRPr="002119C5">
        <w:rPr>
          <w:rFonts w:ascii="Palatino Linotype" w:eastAsia="Times New Roman" w:hAnsi="Palatino Linotype" w:cs="Times New Roman"/>
          <w:i/>
          <w:iCs/>
          <w:sz w:val="20"/>
          <w:szCs w:val="20"/>
        </w:rPr>
        <w:t>Bovat</w:t>
      </w:r>
      <w:proofErr w:type="spellEnd"/>
      <w:r w:rsidRPr="002119C5">
        <w:rPr>
          <w:rFonts w:ascii="Palatino Linotype" w:eastAsia="Times New Roman" w:hAnsi="Palatino Linotype" w:cs="Times New Roman"/>
          <w:i/>
          <w:iCs/>
          <w:sz w:val="20"/>
          <w:szCs w:val="20"/>
        </w:rPr>
        <w:t xml:space="preserve"> was unconstitutionally convicted, why not summarily reverse the Vermont Supreme Court?</w:t>
      </w:r>
    </w:p>
    <w:p w14:paraId="4669C4FB"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i/>
          <w:iCs/>
          <w:sz w:val="20"/>
          <w:szCs w:val="20"/>
        </w:rPr>
      </w:pPr>
      <w:r w:rsidRPr="002119C5">
        <w:rPr>
          <w:rFonts w:ascii="Palatino Linotype" w:eastAsia="Times New Roman" w:hAnsi="Palatino Linotype" w:cs="Times New Roman"/>
          <w:i/>
          <w:iCs/>
          <w:sz w:val="20"/>
          <w:szCs w:val="20"/>
        </w:rPr>
        <w:tab/>
      </w:r>
    </w:p>
    <w:p w14:paraId="62B6A960"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sz w:val="20"/>
          <w:szCs w:val="20"/>
        </w:rPr>
      </w:pPr>
    </w:p>
    <w:p w14:paraId="148CA52A"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The petition for a writ of certiorari is denied.</w:t>
      </w:r>
    </w:p>
    <w:p w14:paraId="72A8F533"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sz w:val="20"/>
          <w:szCs w:val="20"/>
        </w:rPr>
      </w:pPr>
    </w:p>
    <w:p w14:paraId="56D3A787"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Statement of Justice </w:t>
      </w:r>
      <w:hyperlink r:id="rId4" w:history="1">
        <w:r w:rsidRPr="002119C5">
          <w:rPr>
            <w:rFonts w:ascii="Palatino Linotype" w:eastAsia="Times New Roman" w:hAnsi="Palatino Linotype" w:cs="Times New Roman"/>
            <w:sz w:val="20"/>
            <w:szCs w:val="20"/>
            <w:bdr w:val="none" w:sz="0" w:space="0" w:color="auto" w:frame="1"/>
          </w:rPr>
          <w:t>GORSUCH</w:t>
        </w:r>
      </w:hyperlink>
      <w:r w:rsidRPr="002119C5">
        <w:rPr>
          <w:rFonts w:ascii="Palatino Linotype" w:eastAsia="Times New Roman" w:hAnsi="Palatino Linotype" w:cs="Times New Roman"/>
          <w:sz w:val="20"/>
          <w:szCs w:val="20"/>
        </w:rPr>
        <w:t>, with whom Justice </w:t>
      </w:r>
      <w:hyperlink r:id="rId5" w:history="1">
        <w:r w:rsidRPr="002119C5">
          <w:rPr>
            <w:rFonts w:ascii="Palatino Linotype" w:eastAsia="Times New Roman" w:hAnsi="Palatino Linotype" w:cs="Times New Roman"/>
            <w:sz w:val="20"/>
            <w:szCs w:val="20"/>
            <w:bdr w:val="none" w:sz="0" w:space="0" w:color="auto" w:frame="1"/>
          </w:rPr>
          <w:t>SOTOMAYOR</w:t>
        </w:r>
      </w:hyperlink>
      <w:r w:rsidRPr="002119C5">
        <w:rPr>
          <w:rFonts w:ascii="Palatino Linotype" w:eastAsia="Times New Roman" w:hAnsi="Palatino Linotype" w:cs="Times New Roman"/>
          <w:sz w:val="20"/>
          <w:szCs w:val="20"/>
        </w:rPr>
        <w:t> and Justice </w:t>
      </w:r>
      <w:hyperlink r:id="rId6" w:history="1">
        <w:r w:rsidRPr="002119C5">
          <w:rPr>
            <w:rFonts w:ascii="Palatino Linotype" w:eastAsia="Times New Roman" w:hAnsi="Palatino Linotype" w:cs="Times New Roman"/>
            <w:sz w:val="20"/>
            <w:szCs w:val="20"/>
            <w:bdr w:val="none" w:sz="0" w:space="0" w:color="auto" w:frame="1"/>
          </w:rPr>
          <w:t>KAGAN</w:t>
        </w:r>
      </w:hyperlink>
      <w:r w:rsidRPr="002119C5">
        <w:rPr>
          <w:rFonts w:ascii="Palatino Linotype" w:eastAsia="Times New Roman" w:hAnsi="Palatino Linotype" w:cs="Times New Roman"/>
          <w:sz w:val="20"/>
          <w:szCs w:val="20"/>
        </w:rPr>
        <w:t> join, respecting the denial of certiorari.</w:t>
      </w:r>
    </w:p>
    <w:p w14:paraId="10CEC594"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677E88F1" w14:textId="77777777" w:rsidR="007B2419" w:rsidRPr="002119C5" w:rsidRDefault="007B2419" w:rsidP="007B2419">
      <w:pPr>
        <w:shd w:val="clear" w:color="auto" w:fill="FFFFFF"/>
        <w:spacing w:after="0" w:line="240" w:lineRule="auto"/>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 xml:space="preserve">The “knock and talk” is an increasingly popular law enforcement tool, and </w:t>
      </w:r>
      <w:proofErr w:type="gramStart"/>
      <w:r w:rsidRPr="002119C5">
        <w:rPr>
          <w:rFonts w:ascii="Palatino Linotype" w:eastAsia="Times New Roman" w:hAnsi="Palatino Linotype" w:cs="Times New Roman"/>
          <w:sz w:val="20"/>
          <w:szCs w:val="20"/>
        </w:rPr>
        <w:t>it's</w:t>
      </w:r>
      <w:proofErr w:type="gramEnd"/>
      <w:r w:rsidRPr="002119C5">
        <w:rPr>
          <w:rFonts w:ascii="Palatino Linotype" w:eastAsia="Times New Roman" w:hAnsi="Palatino Linotype" w:cs="Times New Roman"/>
          <w:sz w:val="20"/>
          <w:szCs w:val="20"/>
        </w:rPr>
        <w:t xml:space="preserve"> easy to see why. All an officer </w:t>
      </w:r>
      <w:proofErr w:type="gramStart"/>
      <w:r w:rsidRPr="002119C5">
        <w:rPr>
          <w:rFonts w:ascii="Palatino Linotype" w:eastAsia="Times New Roman" w:hAnsi="Palatino Linotype" w:cs="Times New Roman"/>
          <w:sz w:val="20"/>
          <w:szCs w:val="20"/>
        </w:rPr>
        <w:t>has to</w:t>
      </w:r>
      <w:proofErr w:type="gramEnd"/>
      <w:r w:rsidRPr="002119C5">
        <w:rPr>
          <w:rFonts w:ascii="Palatino Linotype" w:eastAsia="Times New Roman" w:hAnsi="Palatino Linotype" w:cs="Times New Roman"/>
          <w:sz w:val="20"/>
          <w:szCs w:val="20"/>
        </w:rPr>
        <w:t xml:space="preserve"> do is approach a home's front door, knock, and win the homeowner's consent to a search. Because everything is done with permission, </w:t>
      </w:r>
      <w:proofErr w:type="gramStart"/>
      <w:r w:rsidRPr="002119C5">
        <w:rPr>
          <w:rFonts w:ascii="Palatino Linotype" w:eastAsia="Times New Roman" w:hAnsi="Palatino Linotype" w:cs="Times New Roman"/>
          <w:sz w:val="20"/>
          <w:szCs w:val="20"/>
        </w:rPr>
        <w:t>there's</w:t>
      </w:r>
      <w:proofErr w:type="gramEnd"/>
      <w:r w:rsidRPr="002119C5">
        <w:rPr>
          <w:rFonts w:ascii="Palatino Linotype" w:eastAsia="Times New Roman" w:hAnsi="Palatino Linotype" w:cs="Times New Roman"/>
          <w:sz w:val="20"/>
          <w:szCs w:val="20"/>
        </w:rPr>
        <w:t xml:space="preserve"> usually no need to bother with a warrant, or worry whether exigent circumstances might forgive one's absence. After all, the Fourth Amendment protects against </w:t>
      </w:r>
      <w:r w:rsidRPr="002119C5">
        <w:rPr>
          <w:rFonts w:ascii="Palatino Linotype" w:eastAsia="Times New Roman" w:hAnsi="Palatino Linotype" w:cs="Times New Roman"/>
          <w:i/>
          <w:iCs/>
          <w:sz w:val="20"/>
          <w:szCs w:val="20"/>
          <w:bdr w:val="none" w:sz="0" w:space="0" w:color="auto" w:frame="1"/>
        </w:rPr>
        <w:t>unreasonable</w:t>
      </w:r>
      <w:r w:rsidRPr="002119C5">
        <w:rPr>
          <w:rFonts w:ascii="Palatino Linotype" w:eastAsia="Times New Roman" w:hAnsi="Palatino Linotype" w:cs="Times New Roman"/>
          <w:sz w:val="20"/>
          <w:szCs w:val="20"/>
        </w:rPr>
        <w:t> searches, and consensual searches are rarely that.</w:t>
      </w:r>
    </w:p>
    <w:p w14:paraId="7C587F02"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But with the rise of the knock and talk have come more and more cases testing the boundaries of the consent on which they depend. Sometimes, officers appear with overbearing force or otherwise seek to suggest that a homeowner has no choice but to cooperate. Other times, officers fail to head directly to the front door to speak with the homeowner, choosing to wander the property first to search for whatever they can find.</w:t>
      </w:r>
    </w:p>
    <w:p w14:paraId="6A0D5A6C"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This Court addressed the second sort of problem in </w:t>
      </w:r>
      <w:r w:rsidRPr="002119C5">
        <w:rPr>
          <w:rFonts w:ascii="Palatino Linotype" w:eastAsia="Times New Roman" w:hAnsi="Palatino Linotype" w:cs="Times New Roman"/>
          <w:i/>
          <w:iCs/>
          <w:sz w:val="20"/>
          <w:szCs w:val="20"/>
          <w:bdr w:val="none" w:sz="0" w:space="0" w:color="auto" w:frame="1"/>
        </w:rPr>
        <w:t xml:space="preserve">Florida v. </w:t>
      </w:r>
      <w:proofErr w:type="spellStart"/>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bdr w:val="none" w:sz="0" w:space="0" w:color="auto" w:frame="1"/>
        </w:rPr>
        <w:t xml:space="preserve"> (2013)</w:t>
      </w:r>
      <w:r w:rsidRPr="002119C5">
        <w:rPr>
          <w:rFonts w:ascii="Palatino Linotype" w:eastAsia="Times New Roman" w:hAnsi="Palatino Linotype" w:cs="Times New Roman"/>
          <w:sz w:val="20"/>
          <w:szCs w:val="20"/>
        </w:rPr>
        <w:t>. There, the Court recognized that a home's “curtilage,” the area immediately surrounding it, is protected by the Fourth Amendment much like the home itself.  So, to comply with the </w:t>
      </w:r>
      <w:r w:rsidRPr="002119C5">
        <w:rPr>
          <w:rFonts w:ascii="Palatino Linotype" w:eastAsia="Times New Roman" w:hAnsi="Palatino Linotype" w:cs="Times New Roman"/>
          <w:sz w:val="20"/>
          <w:szCs w:val="20"/>
          <w:bdr w:val="none" w:sz="0" w:space="0" w:color="auto" w:frame="1"/>
        </w:rPr>
        <w:t>Constitution</w:t>
      </w:r>
      <w:r w:rsidRPr="002119C5">
        <w:rPr>
          <w:rFonts w:ascii="Palatino Linotype" w:eastAsia="Times New Roman" w:hAnsi="Palatino Linotype" w:cs="Times New Roman"/>
          <w:sz w:val="20"/>
          <w:szCs w:val="20"/>
        </w:rPr>
        <w:t xml:space="preserve">, law enforcement agents not only need a warrant, exigent circumstances, or consent to enter a home, they usually need one of those </w:t>
      </w:r>
      <w:r w:rsidRPr="002119C5">
        <w:rPr>
          <w:rFonts w:ascii="Palatino Linotype" w:eastAsia="Times New Roman" w:hAnsi="Palatino Linotype" w:cs="Times New Roman"/>
          <w:sz w:val="20"/>
          <w:szCs w:val="20"/>
        </w:rPr>
        <w:lastRenderedPageBreak/>
        <w:t>things to reach the home's front door in the first place. After surveying the Fourth Amendment's original meaning and history,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i/>
          <w:iCs/>
          <w:sz w:val="20"/>
          <w:szCs w:val="20"/>
          <w:bdr w:val="none" w:sz="0" w:space="0" w:color="auto" w:frame="1"/>
        </w:rPr>
        <w:t> </w:t>
      </w:r>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xml:space="preserve">acknowledged that a doorbell or knocker on the front door often signals a homeowner's consent allowing visitors to “approach the home by the front path, knock promptly, wait briefly to be received, and then (absent invitation to linger longer) leave.”  The Court recognized, too, that law enforcement agents, like everyone else, may take up this “implied license” to approach. But, the Court stressed, officers may not abuse the limited scope of this license by snooping around the premises on their way to the front door. Whether done by a private person or a law enforcement agent, that kind of conduct is an unlawful trespass—and, when conducted by the government, it amounts to an unreasonable search in violation of the Fourth Amendment. On this much, the Court unanimously agreed. </w:t>
      </w:r>
    </w:p>
    <w:p w14:paraId="1D52D440"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It's hard to see how the case before us could have been decided without reference to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xml:space="preserve">. Suspecting Clyde </w:t>
      </w:r>
      <w:proofErr w:type="spellStart"/>
      <w:r w:rsidRPr="002119C5">
        <w:rPr>
          <w:rFonts w:ascii="Palatino Linotype" w:eastAsia="Times New Roman" w:hAnsi="Palatino Linotype" w:cs="Times New Roman"/>
          <w:sz w:val="20"/>
          <w:szCs w:val="20"/>
        </w:rPr>
        <w:t>Bovat</w:t>
      </w:r>
      <w:proofErr w:type="spellEnd"/>
      <w:r w:rsidRPr="002119C5">
        <w:rPr>
          <w:rFonts w:ascii="Palatino Linotype" w:eastAsia="Times New Roman" w:hAnsi="Palatino Linotype" w:cs="Times New Roman"/>
          <w:sz w:val="20"/>
          <w:szCs w:val="20"/>
        </w:rPr>
        <w:t xml:space="preserve"> of unlawfully hunting a deer at night (Vermont calls it a “deer jacking”), game wardens decided to pay him a visit to—in their words</w:t>
      </w:r>
      <w:proofErr w:type="gramStart"/>
      <w:r w:rsidRPr="002119C5">
        <w:rPr>
          <w:rFonts w:ascii="Palatino Linotype" w:eastAsia="Times New Roman" w:hAnsi="Palatino Linotype" w:cs="Times New Roman"/>
          <w:sz w:val="20"/>
          <w:szCs w:val="20"/>
        </w:rPr>
        <w:t>—“</w:t>
      </w:r>
      <w:proofErr w:type="gramEnd"/>
      <w:r w:rsidRPr="002119C5">
        <w:rPr>
          <w:rFonts w:ascii="Palatino Linotype" w:eastAsia="Times New Roman" w:hAnsi="Palatino Linotype" w:cs="Times New Roman"/>
          <w:sz w:val="20"/>
          <w:szCs w:val="20"/>
        </w:rPr>
        <w:t xml:space="preserve">investigate further.” But the wardens admit that “pretty soon after arriving” they focused on a window in Mr. </w:t>
      </w:r>
      <w:proofErr w:type="spellStart"/>
      <w:r w:rsidRPr="002119C5">
        <w:rPr>
          <w:rFonts w:ascii="Palatino Linotype" w:eastAsia="Times New Roman" w:hAnsi="Palatino Linotype" w:cs="Times New Roman"/>
          <w:sz w:val="20"/>
          <w:szCs w:val="20"/>
        </w:rPr>
        <w:t>Bovat's</w:t>
      </w:r>
      <w:proofErr w:type="spellEnd"/>
      <w:r w:rsidRPr="002119C5">
        <w:rPr>
          <w:rFonts w:ascii="Palatino Linotype" w:eastAsia="Times New Roman" w:hAnsi="Palatino Linotype" w:cs="Times New Roman"/>
          <w:sz w:val="20"/>
          <w:szCs w:val="20"/>
        </w:rPr>
        <w:t xml:space="preserve"> detached garage. Heading there and peering inside, the wardens spotted what they thought could be deer hair on the tailgate of a parked truck.</w:t>
      </w:r>
    </w:p>
    <w:p w14:paraId="0DA56E20"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 xml:space="preserve">Nor, apparently, was this detour a brief one. According to Mr. </w:t>
      </w:r>
      <w:proofErr w:type="spellStart"/>
      <w:r w:rsidRPr="002119C5">
        <w:rPr>
          <w:rFonts w:ascii="Palatino Linotype" w:eastAsia="Times New Roman" w:hAnsi="Palatino Linotype" w:cs="Times New Roman"/>
          <w:sz w:val="20"/>
          <w:szCs w:val="20"/>
        </w:rPr>
        <w:t>Bovat's</w:t>
      </w:r>
      <w:proofErr w:type="spellEnd"/>
      <w:r w:rsidRPr="002119C5">
        <w:rPr>
          <w:rFonts w:ascii="Palatino Linotype" w:eastAsia="Times New Roman" w:hAnsi="Palatino Linotype" w:cs="Times New Roman"/>
          <w:sz w:val="20"/>
          <w:szCs w:val="20"/>
        </w:rPr>
        <w:t xml:space="preserve"> wife, the wardens lingered on the property for perhaps fifteen minutes and never even made it to the front door. Instead, after watching from inside, </w:t>
      </w:r>
      <w:r w:rsidRPr="002119C5">
        <w:rPr>
          <w:rFonts w:ascii="Palatino Linotype" w:eastAsia="Times New Roman" w:hAnsi="Palatino Linotype" w:cs="Times New Roman"/>
          <w:i/>
          <w:iCs/>
          <w:sz w:val="20"/>
          <w:szCs w:val="20"/>
          <w:bdr w:val="none" w:sz="0" w:space="0" w:color="auto" w:frame="1"/>
        </w:rPr>
        <w:t>she</w:t>
      </w:r>
      <w:r w:rsidRPr="002119C5">
        <w:rPr>
          <w:rFonts w:ascii="Palatino Linotype" w:eastAsia="Times New Roman" w:hAnsi="Palatino Linotype" w:cs="Times New Roman"/>
          <w:sz w:val="20"/>
          <w:szCs w:val="20"/>
        </w:rPr>
        <w:t> finally decided to go out to speak with the wardens—and it was only </w:t>
      </w:r>
      <w:r w:rsidRPr="002119C5">
        <w:rPr>
          <w:rFonts w:ascii="Palatino Linotype" w:eastAsia="Times New Roman" w:hAnsi="Palatino Linotype" w:cs="Times New Roman"/>
          <w:i/>
          <w:iCs/>
          <w:sz w:val="20"/>
          <w:szCs w:val="20"/>
          <w:bdr w:val="none" w:sz="0" w:space="0" w:color="auto" w:frame="1"/>
        </w:rPr>
        <w:t>then</w:t>
      </w:r>
      <w:r w:rsidRPr="002119C5">
        <w:rPr>
          <w:rFonts w:ascii="Palatino Linotype" w:eastAsia="Times New Roman" w:hAnsi="Palatino Linotype" w:cs="Times New Roman"/>
          <w:sz w:val="20"/>
          <w:szCs w:val="20"/>
        </w:rPr>
        <w:t xml:space="preserve"> they finally sought consent for a search. Mrs. </w:t>
      </w:r>
      <w:proofErr w:type="spellStart"/>
      <w:r w:rsidRPr="002119C5">
        <w:rPr>
          <w:rFonts w:ascii="Palatino Linotype" w:eastAsia="Times New Roman" w:hAnsi="Palatino Linotype" w:cs="Times New Roman"/>
          <w:sz w:val="20"/>
          <w:szCs w:val="20"/>
        </w:rPr>
        <w:t>Bovat</w:t>
      </w:r>
      <w:proofErr w:type="spellEnd"/>
      <w:r w:rsidRPr="002119C5">
        <w:rPr>
          <w:rFonts w:ascii="Palatino Linotype" w:eastAsia="Times New Roman" w:hAnsi="Palatino Linotype" w:cs="Times New Roman"/>
          <w:sz w:val="20"/>
          <w:szCs w:val="20"/>
        </w:rPr>
        <w:t xml:space="preserve"> refused the request, but by that point, of course, the whole exercise of seeking consent was pointless—the wardens had all they needed, forget about any knock or talk. They left the property only to return promptly with a search warrant premised on what they had seen through the garage window.</w:t>
      </w:r>
    </w:p>
    <w:p w14:paraId="1E7E710F"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For reasons that remain unclear, the Vermont Supreme Court analyzed the propriety of the wardens’ conduct without mentioning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Instead, the court held that the officers’ initial visit and search of the property was perfectly appropriate in light of the “plain view” doctrine—the commonsense principle that the Fourth Amendment doesn't normally require an officer to ignore what he sees lying before him. But that doctrine applies only when an officer finds himself in a place he is lawfully permitted to occupy. No one, after all, thinks an officer can unlawfully break into a home, witness illegal activity, and then claim the benefit of the plain view doctrine. So, in an effort to suggest the wardens’ lingering at the garage window was lawful, the Vermont Supreme Court proceeded to cite one of its pre-</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cases for the notion that driveways constitute “semiprivate areas” within the curtilage, and “ ‘observations made from such’ ” areas “ ‘are not covered by the Fourth Amendment.’ ”  The upshot? Under the court's logic, it seems, an officer who keeps ten toes in a home's driveway may stay and search just as he pleases.</w:t>
      </w:r>
    </w:p>
    <w:p w14:paraId="73C3FF19"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t>None of this is easy to square with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xml:space="preserve">, and that case's teachings almost certainly required a different result. Maybe a court could have discredited Mrs. </w:t>
      </w:r>
      <w:proofErr w:type="spellStart"/>
      <w:r w:rsidRPr="002119C5">
        <w:rPr>
          <w:rFonts w:ascii="Palatino Linotype" w:eastAsia="Times New Roman" w:hAnsi="Palatino Linotype" w:cs="Times New Roman"/>
          <w:sz w:val="20"/>
          <w:szCs w:val="20"/>
        </w:rPr>
        <w:t>Bovat's</w:t>
      </w:r>
      <w:proofErr w:type="spellEnd"/>
      <w:r w:rsidRPr="002119C5">
        <w:rPr>
          <w:rFonts w:ascii="Palatino Linotype" w:eastAsia="Times New Roman" w:hAnsi="Palatino Linotype" w:cs="Times New Roman"/>
          <w:sz w:val="20"/>
          <w:szCs w:val="20"/>
        </w:rPr>
        <w:t xml:space="preserve"> testimony about how long the wardens wandered around the garage. Maybe a court could have attempted to offer some explanation why items viewable only through a garage window were within the “plain view” of visitors proceeding directly and without delay from the street to the front door. But it seems a good deal more likely that any court applying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i/>
          <w:iCs/>
          <w:sz w:val="20"/>
          <w:szCs w:val="20"/>
          <w:bdr w:val="none" w:sz="0" w:space="0" w:color="auto" w:frame="1"/>
        </w:rPr>
        <w:t> </w:t>
      </w:r>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xml:space="preserve">would have agreed with Chief Justice </w:t>
      </w:r>
      <w:proofErr w:type="spellStart"/>
      <w:r w:rsidRPr="002119C5">
        <w:rPr>
          <w:rFonts w:ascii="Palatino Linotype" w:eastAsia="Times New Roman" w:hAnsi="Palatino Linotype" w:cs="Times New Roman"/>
          <w:sz w:val="20"/>
          <w:szCs w:val="20"/>
        </w:rPr>
        <w:t>Reiber</w:t>
      </w:r>
      <w:proofErr w:type="spellEnd"/>
      <w:r w:rsidRPr="002119C5">
        <w:rPr>
          <w:rFonts w:ascii="Palatino Linotype" w:eastAsia="Times New Roman" w:hAnsi="Palatino Linotype" w:cs="Times New Roman"/>
          <w:sz w:val="20"/>
          <w:szCs w:val="20"/>
        </w:rPr>
        <w:t xml:space="preserve">, who explained in dissent that the wardens exceeded the scope of their implied license to approach the front door by heading to the garage and spending so much time peering through its window. As Chief Justice </w:t>
      </w:r>
      <w:proofErr w:type="spellStart"/>
      <w:r w:rsidRPr="002119C5">
        <w:rPr>
          <w:rFonts w:ascii="Palatino Linotype" w:eastAsia="Times New Roman" w:hAnsi="Palatino Linotype" w:cs="Times New Roman"/>
          <w:sz w:val="20"/>
          <w:szCs w:val="20"/>
        </w:rPr>
        <w:t>Reiber</w:t>
      </w:r>
      <w:proofErr w:type="spellEnd"/>
      <w:r w:rsidRPr="002119C5">
        <w:rPr>
          <w:rFonts w:ascii="Palatino Linotype" w:eastAsia="Times New Roman" w:hAnsi="Palatino Linotype" w:cs="Times New Roman"/>
          <w:sz w:val="20"/>
          <w:szCs w:val="20"/>
        </w:rPr>
        <w:t xml:space="preserve"> noted,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plainly held that the home's curtilage and observations made anywhere within its bounds </w:t>
      </w:r>
      <w:r w:rsidRPr="002119C5">
        <w:rPr>
          <w:rFonts w:ascii="Palatino Linotype" w:eastAsia="Times New Roman" w:hAnsi="Palatino Linotype" w:cs="Times New Roman"/>
          <w:i/>
          <w:iCs/>
          <w:sz w:val="20"/>
          <w:szCs w:val="20"/>
          <w:bdr w:val="none" w:sz="0" w:space="0" w:color="auto" w:frame="1"/>
        </w:rPr>
        <w:t>are</w:t>
      </w:r>
      <w:r w:rsidRPr="002119C5">
        <w:rPr>
          <w:rFonts w:ascii="Palatino Linotype" w:eastAsia="Times New Roman" w:hAnsi="Palatino Linotype" w:cs="Times New Roman"/>
          <w:sz w:val="20"/>
          <w:szCs w:val="20"/>
        </w:rPr>
        <w:t> covered by the Fourth Amendment; no exceptions. And the Fourth Amendment hardly tolerates the sort of meandering search that took place here. The wardens violated the </w:t>
      </w:r>
      <w:r w:rsidRPr="002119C5">
        <w:rPr>
          <w:rFonts w:ascii="Palatino Linotype" w:eastAsia="Times New Roman" w:hAnsi="Palatino Linotype" w:cs="Times New Roman"/>
          <w:sz w:val="20"/>
          <w:szCs w:val="20"/>
          <w:bdr w:val="none" w:sz="0" w:space="0" w:color="auto" w:frame="1"/>
        </w:rPr>
        <w:t>Constitution</w:t>
      </w:r>
      <w:r w:rsidRPr="002119C5">
        <w:rPr>
          <w:rFonts w:ascii="Palatino Linotype" w:eastAsia="Times New Roman" w:hAnsi="Palatino Linotype" w:cs="Times New Roman"/>
          <w:sz w:val="20"/>
          <w:szCs w:val="20"/>
        </w:rPr>
        <w:t>, and the warrant they received premised on the fruits of their unlawful search was thus tainted.</w:t>
      </w:r>
    </w:p>
    <w:p w14:paraId="411E5A31" w14:textId="77777777" w:rsidR="007B2419" w:rsidRPr="002119C5" w:rsidRDefault="007B2419" w:rsidP="007B241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119C5">
        <w:rPr>
          <w:rFonts w:ascii="Palatino Linotype" w:eastAsia="Times New Roman" w:hAnsi="Palatino Linotype" w:cs="Times New Roman"/>
          <w:sz w:val="20"/>
          <w:szCs w:val="20"/>
        </w:rPr>
        <w:lastRenderedPageBreak/>
        <w:t>Despite the Vermont Supreme Court's error, I acknowledge that understandable reasons exist for my colleagues’ decision to let this case go. For one, it is unclear whether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’s</w:t>
      </w:r>
      <w:proofErr w:type="spellEnd"/>
      <w:r w:rsidRPr="002119C5">
        <w:rPr>
          <w:rFonts w:ascii="Palatino Linotype" w:eastAsia="Times New Roman" w:hAnsi="Palatino Linotype" w:cs="Times New Roman"/>
          <w:sz w:val="20"/>
          <w:szCs w:val="20"/>
        </w:rPr>
        <w:t xml:space="preserve"> message about the protections due a home's curtilage has so badly eluded other state or federal courts. For another, there might be reason to hope that, while Vermont missed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xml:space="preserve"> in one deer-jacking case, its oversight will prove a stray mistake. But </w:t>
      </w:r>
      <w:proofErr w:type="gramStart"/>
      <w:r w:rsidRPr="002119C5">
        <w:rPr>
          <w:rFonts w:ascii="Palatino Linotype" w:eastAsia="Times New Roman" w:hAnsi="Palatino Linotype" w:cs="Times New Roman"/>
          <w:sz w:val="20"/>
          <w:szCs w:val="20"/>
        </w:rPr>
        <w:t>however</w:t>
      </w:r>
      <w:proofErr w:type="gramEnd"/>
      <w:r w:rsidRPr="002119C5">
        <w:rPr>
          <w:rFonts w:ascii="Palatino Linotype" w:eastAsia="Times New Roman" w:hAnsi="Palatino Linotype" w:cs="Times New Roman"/>
          <w:sz w:val="20"/>
          <w:szCs w:val="20"/>
        </w:rPr>
        <w:t xml:space="preserve"> all that may be, the error here remains worth highlighting to ensure it does not recur. Under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there exist no “semiprivate areas” within the curtilage where governmental agents may roam from edge to edge. Nor does </w:t>
      </w:r>
      <w:proofErr w:type="spellStart"/>
      <w:r w:rsidRPr="002119C5">
        <w:rPr>
          <w:rFonts w:ascii="Palatino Linotype" w:eastAsia="Times New Roman" w:hAnsi="Palatino Linotype" w:cs="Times New Roman"/>
          <w:sz w:val="20"/>
          <w:szCs w:val="20"/>
        </w:rPr>
        <w:fldChar w:fldCharType="begin"/>
      </w:r>
      <w:r w:rsidRPr="002119C5">
        <w:rPr>
          <w:rFonts w:ascii="Palatino Linotype" w:eastAsia="Times New Roman" w:hAnsi="Palatino Linotype" w:cs="Times New Roman"/>
          <w:sz w:val="20"/>
          <w:szCs w:val="20"/>
        </w:rPr>
        <w:instrText xml:space="preserve"> HYPERLINK "https://1.next.westlaw.com/Link/Document/FullText?findType=Y&amp;serNum=2030213990&amp;pubNum=0000780&amp;originatingDoc=I9a98d742095511ebbea4f0dc9fb69570&amp;refType=RP&amp;originationContext=document&amp;transitionType=DocumentItem&amp;contextData=(sc.Search)" </w:instrText>
      </w:r>
      <w:r w:rsidRPr="002119C5">
        <w:rPr>
          <w:rFonts w:ascii="Palatino Linotype" w:eastAsia="Times New Roman" w:hAnsi="Palatino Linotype" w:cs="Times New Roman"/>
          <w:sz w:val="20"/>
          <w:szCs w:val="20"/>
        </w:rPr>
        <w:fldChar w:fldCharType="separate"/>
      </w:r>
      <w:r w:rsidRPr="002119C5">
        <w:rPr>
          <w:rFonts w:ascii="Palatino Linotype" w:eastAsia="Times New Roman" w:hAnsi="Palatino Linotype" w:cs="Times New Roman"/>
          <w:i/>
          <w:iCs/>
          <w:sz w:val="20"/>
          <w:szCs w:val="20"/>
          <w:bdr w:val="none" w:sz="0" w:space="0" w:color="auto" w:frame="1"/>
        </w:rPr>
        <w:t>Jardines</w:t>
      </w:r>
      <w:proofErr w:type="spellEnd"/>
      <w:r w:rsidRPr="002119C5">
        <w:rPr>
          <w:rFonts w:ascii="Palatino Linotype" w:eastAsia="Times New Roman" w:hAnsi="Palatino Linotype" w:cs="Times New Roman"/>
          <w:sz w:val="20"/>
          <w:szCs w:val="20"/>
        </w:rPr>
        <w:fldChar w:fldCharType="end"/>
      </w:r>
      <w:r w:rsidRPr="002119C5">
        <w:rPr>
          <w:rFonts w:ascii="Palatino Linotype" w:eastAsia="Times New Roman" w:hAnsi="Palatino Linotype" w:cs="Times New Roman"/>
          <w:sz w:val="20"/>
          <w:szCs w:val="20"/>
        </w:rPr>
        <w:t> afford officers a fifteen-minute grace period to run around collecting as much evidence as possible before the clock runs out or the homeowner intervenes. The </w:t>
      </w:r>
      <w:r w:rsidRPr="002119C5">
        <w:rPr>
          <w:rFonts w:ascii="Palatino Linotype" w:eastAsia="Times New Roman" w:hAnsi="Palatino Linotype" w:cs="Times New Roman"/>
          <w:sz w:val="20"/>
          <w:szCs w:val="20"/>
          <w:bdr w:val="none" w:sz="0" w:space="0" w:color="auto" w:frame="1"/>
        </w:rPr>
        <w:t>Constitution's</w:t>
      </w:r>
      <w:r w:rsidRPr="002119C5">
        <w:rPr>
          <w:rFonts w:ascii="Palatino Linotype" w:eastAsia="Times New Roman" w:hAnsi="Palatino Linotype" w:cs="Times New Roman"/>
          <w:sz w:val="20"/>
          <w:szCs w:val="20"/>
        </w:rPr>
        <w:t> historic protections for the sanctity of the home and its surroundings demand more respect from us all than was displayed here.</w:t>
      </w:r>
    </w:p>
    <w:p w14:paraId="4476EA3C" w14:textId="77777777" w:rsidR="007B2419" w:rsidRPr="002119C5" w:rsidRDefault="007B2419" w:rsidP="007B2419">
      <w:pPr>
        <w:spacing w:after="0" w:line="240" w:lineRule="auto"/>
        <w:ind w:firstLine="720"/>
        <w:rPr>
          <w:rFonts w:ascii="Palatino Linotype" w:hAnsi="Palatino Linotype" w:cs="Times New Roman"/>
          <w:sz w:val="20"/>
          <w:szCs w:val="20"/>
        </w:rPr>
      </w:pPr>
    </w:p>
    <w:p w14:paraId="65EB08CC" w14:textId="77777777" w:rsidR="007B2419" w:rsidRPr="002119C5" w:rsidRDefault="007B2419" w:rsidP="007B2419">
      <w:pPr>
        <w:rPr>
          <w:rFonts w:ascii="Palatino Linotype" w:hAnsi="Palatino Linotype"/>
          <w:sz w:val="20"/>
          <w:szCs w:val="20"/>
        </w:rPr>
      </w:pPr>
    </w:p>
    <w:p w14:paraId="7CCF240D" w14:textId="77777777" w:rsidR="009E4E30" w:rsidRPr="002119C5" w:rsidRDefault="009E4E30">
      <w:pPr>
        <w:rPr>
          <w:rFonts w:ascii="Palatino Linotype" w:hAnsi="Palatino Linotype"/>
          <w:sz w:val="20"/>
          <w:szCs w:val="20"/>
        </w:rPr>
      </w:pPr>
    </w:p>
    <w:sectPr w:rsidR="009E4E30" w:rsidRPr="0021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19"/>
    <w:rsid w:val="00135412"/>
    <w:rsid w:val="002119C5"/>
    <w:rsid w:val="004F4CA3"/>
    <w:rsid w:val="006C4674"/>
    <w:rsid w:val="007B2419"/>
    <w:rsid w:val="009E4E30"/>
    <w:rsid w:val="00BA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739"/>
  <w15:chartTrackingRefBased/>
  <w15:docId w15:val="{D144C0AA-6830-4026-B34D-56078FF5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01239401&amp;originatingDoc=I9a98d742095511ebbea4f0dc9fb69570&amp;refType=RQ&amp;originationContext=document&amp;transitionType=DocumentItem&amp;contextData=(sc.Search)&amp;analyticGuid=I9a98d742095511ebbea4f0dc9fb69570" TargetMode="External"/><Relationship Id="rId5" Type="http://schemas.openxmlformats.org/officeDocument/2006/relationships/hyperlink" Target="https://1.next.westlaw.com/Link/Document/FullText?findType=h&amp;pubNum=176284&amp;cite=0145172701&amp;originatingDoc=I9a98d742095511ebbea4f0dc9fb69570&amp;refType=RQ&amp;originationContext=document&amp;transitionType=DocumentItem&amp;contextData=(sc.Search)&amp;analyticGuid=I9a98d742095511ebbea4f0dc9fb69570" TargetMode="External"/><Relationship Id="rId4" Type="http://schemas.openxmlformats.org/officeDocument/2006/relationships/hyperlink" Target="https://1.next.westlaw.com/Link/Document/FullText?findType=h&amp;pubNum=176284&amp;cite=0183411701&amp;originatingDoc=I9a98d742095511ebbea4f0dc9fb69570&amp;refType=RQ&amp;originationContext=document&amp;transitionType=DocumentItem&amp;contextData=(sc.Search)&amp;analyticGuid=I9a98d742095511eb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2020-12-10T18:58:00Z</dcterms:created>
  <dcterms:modified xsi:type="dcterms:W3CDTF">2020-12-10T18:58:00Z</dcterms:modified>
</cp:coreProperties>
</file>