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32EA0" w14:textId="77777777" w:rsidR="00F23945" w:rsidRPr="00E33488" w:rsidRDefault="00F23945" w:rsidP="00F23945">
      <w:pPr>
        <w:jc w:val="center"/>
        <w:rPr>
          <w:rFonts w:ascii="Palatino Linotype" w:hAnsi="Palatino Linotype"/>
          <w:sz w:val="20"/>
          <w:szCs w:val="20"/>
        </w:rPr>
      </w:pPr>
      <w:r w:rsidRPr="00E33488">
        <w:rPr>
          <w:rFonts w:ascii="Palatino Linotype" w:hAnsi="Palatino Linotype"/>
          <w:sz w:val="20"/>
          <w:szCs w:val="20"/>
        </w:rPr>
        <w:t>AMERICAN CONSTITUTIONALISM</w:t>
      </w:r>
    </w:p>
    <w:p w14:paraId="625082FE" w14:textId="77777777" w:rsidR="00F23945" w:rsidRPr="00E33488" w:rsidRDefault="00F23945" w:rsidP="00F23945">
      <w:pPr>
        <w:jc w:val="center"/>
        <w:rPr>
          <w:rFonts w:ascii="Palatino Linotype" w:hAnsi="Palatino Linotype"/>
          <w:sz w:val="20"/>
          <w:szCs w:val="20"/>
        </w:rPr>
      </w:pPr>
      <w:r w:rsidRPr="00E33488">
        <w:rPr>
          <w:rFonts w:ascii="Palatino Linotype" w:hAnsi="Palatino Linotype"/>
          <w:sz w:val="20"/>
          <w:szCs w:val="20"/>
        </w:rPr>
        <w:t>VOLUME II: RIGHTS AND LIBERTIES</w:t>
      </w:r>
    </w:p>
    <w:p w14:paraId="45BE466E" w14:textId="77777777" w:rsidR="00F23945" w:rsidRPr="00E33488" w:rsidRDefault="00F23945" w:rsidP="00F23945">
      <w:pPr>
        <w:jc w:val="center"/>
        <w:rPr>
          <w:rFonts w:ascii="Palatino Linotype" w:hAnsi="Palatino Linotype"/>
          <w:sz w:val="20"/>
          <w:szCs w:val="20"/>
        </w:rPr>
      </w:pPr>
      <w:r w:rsidRPr="00E33488">
        <w:rPr>
          <w:rFonts w:ascii="Palatino Linotype" w:hAnsi="Palatino Linotype"/>
          <w:sz w:val="20"/>
          <w:szCs w:val="20"/>
        </w:rPr>
        <w:t>Howard Gillman • Mark A. Graber • Keith E. Whittington</w:t>
      </w:r>
    </w:p>
    <w:p w14:paraId="2FA0C2FA" w14:textId="77777777" w:rsidR="00F23945" w:rsidRPr="00E33488" w:rsidRDefault="00F23945" w:rsidP="00F23945">
      <w:pPr>
        <w:jc w:val="center"/>
        <w:rPr>
          <w:rFonts w:ascii="Palatino Linotype" w:hAnsi="Palatino Linotype"/>
          <w:sz w:val="20"/>
          <w:szCs w:val="20"/>
        </w:rPr>
      </w:pPr>
    </w:p>
    <w:p w14:paraId="4564C291" w14:textId="77777777" w:rsidR="00F23945" w:rsidRPr="00E33488" w:rsidRDefault="00F23945" w:rsidP="00F23945">
      <w:pPr>
        <w:jc w:val="center"/>
        <w:rPr>
          <w:rFonts w:ascii="Palatino Linotype" w:hAnsi="Palatino Linotype"/>
          <w:sz w:val="20"/>
          <w:szCs w:val="20"/>
        </w:rPr>
      </w:pPr>
      <w:r w:rsidRPr="00E33488">
        <w:rPr>
          <w:rFonts w:ascii="Palatino Linotype" w:hAnsi="Palatino Linotype"/>
          <w:sz w:val="20"/>
          <w:szCs w:val="20"/>
        </w:rPr>
        <w:t>Supplementary Material</w:t>
      </w:r>
    </w:p>
    <w:p w14:paraId="45891509" w14:textId="77777777" w:rsidR="00F23945" w:rsidRPr="00E33488" w:rsidRDefault="00F23945" w:rsidP="00F23945">
      <w:pPr>
        <w:jc w:val="center"/>
        <w:rPr>
          <w:rFonts w:ascii="Palatino Linotype" w:hAnsi="Palatino Linotype"/>
          <w:sz w:val="20"/>
          <w:szCs w:val="20"/>
        </w:rPr>
      </w:pPr>
    </w:p>
    <w:p w14:paraId="36F8C460" w14:textId="694571A0" w:rsidR="00F23945" w:rsidRPr="00E33488" w:rsidRDefault="00F23945" w:rsidP="00F23945">
      <w:pPr>
        <w:jc w:val="center"/>
        <w:rPr>
          <w:rFonts w:ascii="Palatino Linotype" w:hAnsi="Palatino Linotype"/>
          <w:sz w:val="20"/>
          <w:szCs w:val="20"/>
        </w:rPr>
      </w:pPr>
      <w:r w:rsidRPr="00E33488">
        <w:rPr>
          <w:rFonts w:ascii="Palatino Linotype" w:hAnsi="Palatino Linotype"/>
          <w:sz w:val="20"/>
          <w:szCs w:val="20"/>
        </w:rPr>
        <w:t xml:space="preserve">Chapter </w:t>
      </w:r>
      <w:r w:rsidR="00B557B5" w:rsidRPr="00E33488">
        <w:rPr>
          <w:rFonts w:ascii="Palatino Linotype" w:hAnsi="Palatino Linotype"/>
          <w:sz w:val="20"/>
          <w:szCs w:val="20"/>
        </w:rPr>
        <w:t>10</w:t>
      </w:r>
      <w:r w:rsidRPr="00E33488">
        <w:rPr>
          <w:rFonts w:ascii="Palatino Linotype" w:hAnsi="Palatino Linotype"/>
          <w:sz w:val="20"/>
          <w:szCs w:val="20"/>
        </w:rPr>
        <w:t xml:space="preserve">: The </w:t>
      </w:r>
      <w:r w:rsidR="00B557B5" w:rsidRPr="00E33488">
        <w:rPr>
          <w:rFonts w:ascii="Palatino Linotype" w:hAnsi="Palatino Linotype"/>
          <w:sz w:val="20"/>
          <w:szCs w:val="20"/>
        </w:rPr>
        <w:t>Reagan</w:t>
      </w:r>
      <w:r w:rsidRPr="00E33488">
        <w:rPr>
          <w:rFonts w:ascii="Palatino Linotype" w:hAnsi="Palatino Linotype"/>
          <w:sz w:val="20"/>
          <w:szCs w:val="20"/>
        </w:rPr>
        <w:t xml:space="preserve"> Era—Democratic Rights/Free Speech/</w:t>
      </w:r>
      <w:r w:rsidR="00AC4664" w:rsidRPr="00E33488">
        <w:rPr>
          <w:rFonts w:ascii="Palatino Linotype" w:hAnsi="Palatino Linotype"/>
          <w:sz w:val="20"/>
          <w:szCs w:val="20"/>
        </w:rPr>
        <w:t>Public Property, Subsidies, Employees, and Schools</w:t>
      </w:r>
    </w:p>
    <w:p w14:paraId="376CAB86" w14:textId="77777777" w:rsidR="00101523" w:rsidRPr="00E33488" w:rsidRDefault="00101523" w:rsidP="00101523">
      <w:pPr>
        <w:jc w:val="both"/>
        <w:rPr>
          <w:rFonts w:ascii="Palatino Linotype" w:hAnsi="Palatino Linotype"/>
          <w:sz w:val="20"/>
          <w:szCs w:val="20"/>
        </w:rPr>
      </w:pPr>
    </w:p>
    <w:p w14:paraId="5EFCFE15" w14:textId="77777777" w:rsidR="000E2F1A" w:rsidRPr="00E33488" w:rsidRDefault="00ED6486">
      <w:pPr>
        <w:rPr>
          <w:rFonts w:ascii="Palatino Linotype" w:hAnsi="Palatino Linotype" w:cs="Times New Roman"/>
          <w:sz w:val="20"/>
          <w:szCs w:val="20"/>
        </w:rPr>
      </w:pPr>
      <w:r>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507FC7F7" w:rsidR="00760334" w:rsidRPr="00E33488" w:rsidRDefault="00B557B5" w:rsidP="000E2F1A">
      <w:pPr>
        <w:jc w:val="center"/>
        <w:rPr>
          <w:rFonts w:ascii="Palatino Linotype" w:hAnsi="Palatino Linotype" w:cs="Times New Roman"/>
          <w:sz w:val="20"/>
          <w:szCs w:val="20"/>
        </w:rPr>
      </w:pPr>
      <w:proofErr w:type="spellStart"/>
      <w:r w:rsidRPr="00E33488">
        <w:rPr>
          <w:rFonts w:ascii="Palatino Linotype" w:hAnsi="Palatino Linotype" w:cs="Times New Roman"/>
          <w:b/>
          <w:sz w:val="20"/>
          <w:szCs w:val="20"/>
        </w:rPr>
        <w:t>Widmar</w:t>
      </w:r>
      <w:proofErr w:type="spellEnd"/>
      <w:r w:rsidRPr="00E33488">
        <w:rPr>
          <w:rFonts w:ascii="Palatino Linotype" w:hAnsi="Palatino Linotype" w:cs="Times New Roman"/>
          <w:b/>
          <w:sz w:val="20"/>
          <w:szCs w:val="20"/>
        </w:rPr>
        <w:t xml:space="preserve"> v. Vincent, 454 U.S. 263</w:t>
      </w:r>
      <w:r w:rsidR="001246B5" w:rsidRPr="00E33488">
        <w:rPr>
          <w:rFonts w:ascii="Palatino Linotype" w:hAnsi="Palatino Linotype" w:cs="Times New Roman"/>
          <w:sz w:val="20"/>
          <w:szCs w:val="20"/>
        </w:rPr>
        <w:t xml:space="preserve"> (</w:t>
      </w:r>
      <w:r w:rsidRPr="00E33488">
        <w:rPr>
          <w:rFonts w:ascii="Palatino Linotype" w:hAnsi="Palatino Linotype" w:cs="Times New Roman"/>
          <w:sz w:val="20"/>
          <w:szCs w:val="20"/>
        </w:rPr>
        <w:t>1981</w:t>
      </w:r>
      <w:r w:rsidR="000E2F1A" w:rsidRPr="00E33488">
        <w:rPr>
          <w:rFonts w:ascii="Palatino Linotype" w:hAnsi="Palatino Linotype" w:cs="Times New Roman"/>
          <w:sz w:val="20"/>
          <w:szCs w:val="20"/>
        </w:rPr>
        <w:t>)</w:t>
      </w:r>
    </w:p>
    <w:p w14:paraId="301125D3" w14:textId="77777777" w:rsidR="000E2F1A" w:rsidRPr="00E33488" w:rsidRDefault="00ED6486">
      <w:pPr>
        <w:rPr>
          <w:rFonts w:ascii="Palatino Linotype" w:hAnsi="Palatino Linotype" w:cs="Times New Roman"/>
          <w:sz w:val="20"/>
          <w:szCs w:val="20"/>
        </w:rPr>
      </w:pPr>
      <w:r>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E33488" w:rsidRDefault="000E2F1A">
      <w:pPr>
        <w:rPr>
          <w:rFonts w:ascii="Palatino Linotype" w:hAnsi="Palatino Linotype" w:cs="Times New Roman"/>
          <w:sz w:val="20"/>
          <w:szCs w:val="20"/>
        </w:rPr>
      </w:pPr>
    </w:p>
    <w:p w14:paraId="1494ADFE" w14:textId="31C24EBC" w:rsidR="004753A6" w:rsidRPr="00E33488" w:rsidRDefault="00AC4664" w:rsidP="004F7FE7">
      <w:pPr>
        <w:ind w:firstLine="720"/>
        <w:jc w:val="both"/>
        <w:rPr>
          <w:rFonts w:ascii="Palatino Linotype" w:hAnsi="Palatino Linotype" w:cs="Times New Roman"/>
          <w:i/>
          <w:sz w:val="20"/>
          <w:szCs w:val="20"/>
        </w:rPr>
      </w:pPr>
      <w:r w:rsidRPr="00E33488">
        <w:rPr>
          <w:rFonts w:ascii="Palatino Linotype" w:hAnsi="Palatino Linotype" w:cs="Times New Roman"/>
          <w:i/>
          <w:sz w:val="20"/>
          <w:szCs w:val="20"/>
        </w:rPr>
        <w:t>The University of Missouri at Kansas City maintains a list of recognized student groups who are provided with access to university facilities and benefit from a fund generated by a student activity fee. Cornerstone was a registered religious group on campus, but in 1977 it was told that that could no longer use university buildings. That determination followed from a policy adopted by the board of curators in 1972 that prohibited the use of university grounds “for purposes of religious worship or religious teaching.”</w:t>
      </w:r>
    </w:p>
    <w:p w14:paraId="06534E5A" w14:textId="3BE625E6" w:rsidR="00AC4664" w:rsidRPr="00E33488" w:rsidRDefault="00AC4664" w:rsidP="004F7FE7">
      <w:pPr>
        <w:ind w:firstLine="720"/>
        <w:jc w:val="both"/>
        <w:rPr>
          <w:rFonts w:ascii="Palatino Linotype" w:hAnsi="Palatino Linotype" w:cs="Times New Roman"/>
          <w:i/>
          <w:sz w:val="20"/>
          <w:szCs w:val="20"/>
        </w:rPr>
      </w:pPr>
      <w:r w:rsidRPr="00E33488">
        <w:rPr>
          <w:rFonts w:ascii="Palatino Linotype" w:hAnsi="Palatino Linotype" w:cs="Times New Roman"/>
          <w:i/>
          <w:sz w:val="20"/>
          <w:szCs w:val="20"/>
        </w:rPr>
        <w:t>A group of students who were members of Cornerstone filed suit in federal district court claiming that new policy infringed on their free exercise of religion. The district court found that the policy was not only valid but in fact required so as to avoid creating an unconstitutional establishment of religion.</w:t>
      </w:r>
      <w:r w:rsidR="008F70F0" w:rsidRPr="00E33488">
        <w:rPr>
          <w:rFonts w:ascii="Palatino Linotype" w:hAnsi="Palatino Linotype" w:cs="Times New Roman"/>
          <w:i/>
          <w:sz w:val="20"/>
          <w:szCs w:val="20"/>
        </w:rPr>
        <w:t xml:space="preserve"> The circuit court reversed. The U.S. Supreme Court affirmed the circuit court</w:t>
      </w:r>
      <w:r w:rsidR="008536C6" w:rsidRPr="00E33488">
        <w:rPr>
          <w:rFonts w:ascii="Palatino Linotype" w:hAnsi="Palatino Linotype" w:cs="Times New Roman"/>
          <w:i/>
          <w:sz w:val="20"/>
          <w:szCs w:val="20"/>
        </w:rPr>
        <w:t xml:space="preserve"> in an 8-1 decision</w:t>
      </w:r>
      <w:r w:rsidR="008F70F0" w:rsidRPr="00E33488">
        <w:rPr>
          <w:rFonts w:ascii="Palatino Linotype" w:hAnsi="Palatino Linotype" w:cs="Times New Roman"/>
          <w:i/>
          <w:sz w:val="20"/>
          <w:szCs w:val="20"/>
        </w:rPr>
        <w:t>, holding that allowing religious groups equal access to facilities at a state college was consistent with the constitutional ban on the establishment of religion and compelled by the students’ right of association.</w:t>
      </w:r>
      <w:r w:rsidR="008536C6" w:rsidRPr="00E33488">
        <w:rPr>
          <w:rFonts w:ascii="Palatino Linotype" w:hAnsi="Palatino Linotype" w:cs="Times New Roman"/>
          <w:i/>
          <w:sz w:val="20"/>
          <w:szCs w:val="20"/>
        </w:rPr>
        <w:t xml:space="preserve"> The Court did not embrace the argument that the university had infringed of the students’ free exercise of religion, but instead accepted the view that religious speech </w:t>
      </w:r>
      <w:r w:rsidR="00E33488" w:rsidRPr="00E33488">
        <w:rPr>
          <w:rFonts w:ascii="Palatino Linotype" w:hAnsi="Palatino Linotype" w:cs="Times New Roman"/>
          <w:i/>
          <w:sz w:val="20"/>
          <w:szCs w:val="20"/>
        </w:rPr>
        <w:t>could in some contexts be treated like other forms of constitutionally protected speech and that the state could not single out religious speech for disfavor.</w:t>
      </w:r>
    </w:p>
    <w:p w14:paraId="04EBCA6B" w14:textId="77777777" w:rsidR="000E2F1A" w:rsidRPr="00E33488" w:rsidRDefault="000E2F1A" w:rsidP="004F7FE7">
      <w:pPr>
        <w:jc w:val="both"/>
        <w:rPr>
          <w:rFonts w:ascii="Palatino Linotype" w:hAnsi="Palatino Linotype" w:cs="Times New Roman"/>
          <w:sz w:val="20"/>
          <w:szCs w:val="20"/>
        </w:rPr>
      </w:pPr>
    </w:p>
    <w:p w14:paraId="681307B9" w14:textId="3FE03745" w:rsidR="00A62C6F" w:rsidRPr="00E33488" w:rsidRDefault="004753A6" w:rsidP="00200749">
      <w:pPr>
        <w:jc w:val="both"/>
        <w:rPr>
          <w:rFonts w:ascii="Palatino Linotype" w:hAnsi="Palatino Linotype" w:cs="Times New Roman"/>
          <w:sz w:val="20"/>
          <w:szCs w:val="20"/>
        </w:rPr>
      </w:pPr>
      <w:r w:rsidRPr="00E33488">
        <w:rPr>
          <w:rFonts w:ascii="Palatino Linotype" w:hAnsi="Palatino Linotype" w:cs="Times New Roman"/>
          <w:sz w:val="20"/>
          <w:szCs w:val="20"/>
        </w:rPr>
        <w:t xml:space="preserve">JUSTICE </w:t>
      </w:r>
      <w:r w:rsidR="00AC4664" w:rsidRPr="00E33488">
        <w:rPr>
          <w:rFonts w:ascii="Palatino Linotype" w:hAnsi="Palatino Linotype" w:cs="Times New Roman"/>
          <w:sz w:val="20"/>
          <w:szCs w:val="20"/>
        </w:rPr>
        <w:t>POWELL</w:t>
      </w:r>
      <w:r w:rsidRPr="00E33488">
        <w:rPr>
          <w:rFonts w:ascii="Palatino Linotype" w:hAnsi="Palatino Linotype" w:cs="Times New Roman"/>
          <w:sz w:val="20"/>
          <w:szCs w:val="20"/>
        </w:rPr>
        <w:t xml:space="preserve"> delivered the opinion of the Court.</w:t>
      </w:r>
    </w:p>
    <w:p w14:paraId="3620AC36" w14:textId="19A13AD6" w:rsidR="00E1544F" w:rsidRPr="00E33488" w:rsidRDefault="000E2F1A" w:rsidP="00F306DB">
      <w:pPr>
        <w:ind w:firstLine="720"/>
        <w:jc w:val="both"/>
        <w:rPr>
          <w:rFonts w:ascii="Palatino Linotype" w:hAnsi="Palatino Linotype" w:cs="Times New Roman"/>
          <w:sz w:val="20"/>
          <w:szCs w:val="20"/>
        </w:rPr>
      </w:pPr>
      <w:r w:rsidRPr="00E33488">
        <w:rPr>
          <w:rFonts w:ascii="Palatino Linotype" w:hAnsi="Palatino Linotype" w:cs="Times New Roman"/>
          <w:sz w:val="20"/>
          <w:szCs w:val="20"/>
        </w:rPr>
        <w:t>. . . .</w:t>
      </w:r>
    </w:p>
    <w:p w14:paraId="28E03BE5" w14:textId="0E0B82D0" w:rsidR="00EE4E10" w:rsidRPr="00E33488" w:rsidRDefault="008F70F0" w:rsidP="0025762C">
      <w:pPr>
        <w:ind w:firstLine="720"/>
        <w:jc w:val="both"/>
        <w:rPr>
          <w:rFonts w:ascii="Palatino Linotype" w:hAnsi="Palatino Linotype"/>
          <w:sz w:val="20"/>
          <w:szCs w:val="20"/>
        </w:rPr>
      </w:pPr>
      <w:r w:rsidRPr="00E33488">
        <w:rPr>
          <w:rFonts w:ascii="Palatino Linotype" w:hAnsi="Palatino Linotype"/>
          <w:sz w:val="20"/>
          <w:szCs w:val="20"/>
        </w:rPr>
        <w:t>Through its policy of accommodating their meetings, the University has created a forum generally open for use by student groups. Having done so, the University has assumed an obligation to justify its discriminations and exclusions under applicable constitutional norms. The Constitution forbids a State to enforce certain exclusions from a forum generally open to the public, even if it was not required to create the forum in the first place.</w:t>
      </w:r>
      <w:r w:rsidR="00D428B1" w:rsidRPr="00E33488">
        <w:rPr>
          <w:rFonts w:ascii="Palatino Linotype" w:hAnsi="Palatino Linotype"/>
          <w:sz w:val="20"/>
          <w:szCs w:val="20"/>
        </w:rPr>
        <w:t xml:space="preserve"> </w:t>
      </w:r>
      <w:r w:rsidR="00D428B1" w:rsidRPr="00E33488">
        <w:rPr>
          <w:rFonts w:ascii="Palatino Linotype" w:hAnsi="Palatino Linotype"/>
          <w:i/>
          <w:sz w:val="20"/>
          <w:szCs w:val="20"/>
        </w:rPr>
        <w:t>Southeastern Promotions, Ltd. v. Conrad</w:t>
      </w:r>
      <w:r w:rsidR="00D428B1" w:rsidRPr="00E33488">
        <w:rPr>
          <w:rFonts w:ascii="Palatino Linotype" w:hAnsi="Palatino Linotype"/>
          <w:sz w:val="20"/>
          <w:szCs w:val="20"/>
        </w:rPr>
        <w:t xml:space="preserve"> (1975).</w:t>
      </w:r>
    </w:p>
    <w:p w14:paraId="6AA61D02" w14:textId="43986780" w:rsidR="00D428B1" w:rsidRPr="00E33488" w:rsidRDefault="00D428B1" w:rsidP="0025762C">
      <w:pPr>
        <w:ind w:firstLine="720"/>
        <w:jc w:val="both"/>
        <w:rPr>
          <w:rFonts w:ascii="Palatino Linotype" w:hAnsi="Palatino Linotype"/>
          <w:sz w:val="20"/>
          <w:szCs w:val="20"/>
        </w:rPr>
      </w:pPr>
      <w:r w:rsidRPr="00E33488">
        <w:rPr>
          <w:rFonts w:ascii="Palatino Linotype" w:hAnsi="Palatino Linotype"/>
          <w:sz w:val="20"/>
          <w:szCs w:val="20"/>
        </w:rPr>
        <w:t>The University's institutional mission, which it describes as providing a "</w:t>
      </w:r>
      <w:r w:rsidRPr="00E33488">
        <w:rPr>
          <w:rFonts w:ascii="Palatino Linotype" w:hAnsi="Palatino Linotype"/>
          <w:i/>
          <w:iCs/>
          <w:sz w:val="20"/>
          <w:szCs w:val="20"/>
        </w:rPr>
        <w:t>secular</w:t>
      </w:r>
      <w:r w:rsidRPr="00E33488">
        <w:rPr>
          <w:rFonts w:ascii="Palatino Linotype" w:hAnsi="Palatino Linotype"/>
          <w:sz w:val="20"/>
          <w:szCs w:val="20"/>
        </w:rPr>
        <w:t xml:space="preserve"> education" to its students, Brief for Petitioners 44, does not exempt its actions from constitutional scrutiny. With respect to persons entitled to be there, our cases leave no doubt that the First Amendment rights of speech and association extend to the campuses of state universities. </w:t>
      </w:r>
      <w:r w:rsidRPr="00E33488">
        <w:rPr>
          <w:rFonts w:ascii="Palatino Linotype" w:hAnsi="Palatino Linotype"/>
          <w:i/>
          <w:sz w:val="20"/>
          <w:szCs w:val="20"/>
        </w:rPr>
        <w:t>Healy v. James</w:t>
      </w:r>
      <w:r w:rsidRPr="00E33488">
        <w:rPr>
          <w:rFonts w:ascii="Palatino Linotype" w:hAnsi="Palatino Linotype"/>
          <w:sz w:val="20"/>
          <w:szCs w:val="20"/>
        </w:rPr>
        <w:t xml:space="preserve"> (1972).</w:t>
      </w:r>
    </w:p>
    <w:p w14:paraId="48C7645A" w14:textId="4420D7EA" w:rsidR="00D428B1" w:rsidRPr="00E33488" w:rsidRDefault="00D428B1" w:rsidP="0025762C">
      <w:pPr>
        <w:ind w:firstLine="720"/>
        <w:jc w:val="both"/>
        <w:rPr>
          <w:rFonts w:ascii="Palatino Linotype" w:hAnsi="Palatino Linotype"/>
          <w:sz w:val="20"/>
          <w:szCs w:val="20"/>
        </w:rPr>
      </w:pPr>
      <w:r w:rsidRPr="00E33488">
        <w:rPr>
          <w:rFonts w:ascii="Palatino Linotype" w:hAnsi="Palatino Linotype"/>
          <w:sz w:val="20"/>
          <w:szCs w:val="20"/>
        </w:rPr>
        <w:t xml:space="preserve">Here UMKC has discriminated against student groups and speakers based on their desire to use a generally open forum to engage in religious worship and discussion. These are forms of speech and association protected by the First Amendment. </w:t>
      </w:r>
      <w:r w:rsidRPr="00E33488">
        <w:rPr>
          <w:rFonts w:ascii="Palatino Linotype" w:hAnsi="Palatino Linotype"/>
          <w:i/>
          <w:sz w:val="20"/>
          <w:szCs w:val="20"/>
        </w:rPr>
        <w:t>Heffron v. International Society for Krishna Consciousness, Inc</w:t>
      </w:r>
      <w:r w:rsidRPr="00E33488">
        <w:rPr>
          <w:rFonts w:ascii="Palatino Linotype" w:hAnsi="Palatino Linotype"/>
          <w:sz w:val="20"/>
          <w:szCs w:val="20"/>
        </w:rPr>
        <w:t>. (1981). In order to justify discriminatory exclusion from a public forum based on the religious content of a group's intended speech, the University must therefore satisfy the standard of review appropriate to content-based exclusions. It must show that its regulation is necessary to serve a compelling state interest and that it is narrowly drawn to achieve that end.</w:t>
      </w:r>
    </w:p>
    <w:p w14:paraId="3B080C71" w14:textId="49DD5700" w:rsidR="00D428B1" w:rsidRPr="00E33488" w:rsidRDefault="00D428B1" w:rsidP="0025762C">
      <w:pPr>
        <w:ind w:firstLine="720"/>
        <w:jc w:val="both"/>
        <w:rPr>
          <w:rFonts w:ascii="Palatino Linotype" w:hAnsi="Palatino Linotype"/>
          <w:sz w:val="20"/>
          <w:szCs w:val="20"/>
        </w:rPr>
      </w:pPr>
      <w:r w:rsidRPr="00E33488">
        <w:rPr>
          <w:rFonts w:ascii="Palatino Linotype" w:hAnsi="Palatino Linotype"/>
          <w:sz w:val="20"/>
          <w:szCs w:val="20"/>
        </w:rPr>
        <w:t>. . . .</w:t>
      </w:r>
    </w:p>
    <w:p w14:paraId="4B5F66C1" w14:textId="48629FE0" w:rsidR="00D428B1" w:rsidRPr="00E33488" w:rsidRDefault="00D428B1" w:rsidP="0025762C">
      <w:pPr>
        <w:ind w:firstLine="720"/>
        <w:jc w:val="both"/>
        <w:rPr>
          <w:rFonts w:ascii="Palatino Linotype" w:hAnsi="Palatino Linotype"/>
          <w:sz w:val="20"/>
          <w:szCs w:val="20"/>
        </w:rPr>
      </w:pPr>
      <w:r w:rsidRPr="00E33488">
        <w:rPr>
          <w:rFonts w:ascii="Palatino Linotype" w:hAnsi="Palatino Linotype"/>
          <w:sz w:val="20"/>
          <w:szCs w:val="20"/>
        </w:rPr>
        <w:t xml:space="preserve">The University's argument misconceives the nature of this case. The question is not whether the creation of a religious forum would violate the Establishment Clause. The University has opened its </w:t>
      </w:r>
      <w:r w:rsidRPr="00E33488">
        <w:rPr>
          <w:rFonts w:ascii="Palatino Linotype" w:hAnsi="Palatino Linotype"/>
          <w:sz w:val="20"/>
          <w:szCs w:val="20"/>
        </w:rPr>
        <w:lastRenderedPageBreak/>
        <w:t>facilities for use by student groups, and the question is whether it can now exclude groups because of the content to their speech. In this context we are unpersuaded that the primary effect of the public forum, open to all forms of discourse, would be to advance religion.</w:t>
      </w:r>
    </w:p>
    <w:p w14:paraId="0A9C357C" w14:textId="0C483F4C" w:rsidR="00D428B1" w:rsidRPr="00E33488" w:rsidRDefault="00D428B1" w:rsidP="0025762C">
      <w:pPr>
        <w:ind w:firstLine="720"/>
        <w:jc w:val="both"/>
        <w:rPr>
          <w:rFonts w:ascii="Palatino Linotype" w:hAnsi="Palatino Linotype"/>
          <w:sz w:val="20"/>
          <w:szCs w:val="20"/>
        </w:rPr>
      </w:pPr>
      <w:r w:rsidRPr="00E33488">
        <w:rPr>
          <w:rFonts w:ascii="Palatino Linotype" w:hAnsi="Palatino Linotype"/>
          <w:sz w:val="20"/>
          <w:szCs w:val="20"/>
        </w:rPr>
        <w:t xml:space="preserve">We are not oblivious to the range of an open forum's likely effects. It is possible — perhaps even foreseeable — that religious groups will benefit from access to University facilities. But this Court has explained that a religious organization's enjoyment of merely "incidental" benefits does not violate the prohibition against the "primary advancement" of religion. </w:t>
      </w:r>
      <w:r w:rsidRPr="00E33488">
        <w:rPr>
          <w:rFonts w:ascii="Palatino Linotype" w:hAnsi="Palatino Linotype"/>
          <w:i/>
          <w:sz w:val="20"/>
          <w:szCs w:val="20"/>
        </w:rPr>
        <w:t>McGowan v. Maryland</w:t>
      </w:r>
      <w:r w:rsidRPr="00E33488">
        <w:rPr>
          <w:rFonts w:ascii="Palatino Linotype" w:hAnsi="Palatino Linotype"/>
          <w:sz w:val="20"/>
          <w:szCs w:val="20"/>
        </w:rPr>
        <w:t xml:space="preserve"> (1961).</w:t>
      </w:r>
    </w:p>
    <w:p w14:paraId="4AB10B18" w14:textId="07326402" w:rsidR="00D428B1" w:rsidRPr="00E33488" w:rsidRDefault="00D428B1" w:rsidP="0025762C">
      <w:pPr>
        <w:ind w:firstLine="720"/>
        <w:jc w:val="both"/>
        <w:rPr>
          <w:rFonts w:ascii="Palatino Linotype" w:hAnsi="Palatino Linotype"/>
          <w:sz w:val="20"/>
          <w:szCs w:val="20"/>
        </w:rPr>
      </w:pPr>
      <w:r w:rsidRPr="00E33488">
        <w:rPr>
          <w:rFonts w:ascii="Palatino Linotype" w:hAnsi="Palatino Linotype"/>
          <w:sz w:val="20"/>
          <w:szCs w:val="20"/>
        </w:rPr>
        <w:t>. . . .</w:t>
      </w:r>
    </w:p>
    <w:p w14:paraId="33335B3F" w14:textId="551EDFBA" w:rsidR="00D428B1" w:rsidRPr="00E33488" w:rsidRDefault="00D428B1" w:rsidP="0025762C">
      <w:pPr>
        <w:ind w:firstLine="720"/>
        <w:jc w:val="both"/>
        <w:rPr>
          <w:rFonts w:ascii="Palatino Linotype" w:hAnsi="Palatino Linotype"/>
          <w:sz w:val="20"/>
          <w:szCs w:val="20"/>
        </w:rPr>
      </w:pPr>
      <w:r w:rsidRPr="00E33488">
        <w:rPr>
          <w:rFonts w:ascii="Palatino Linotype" w:hAnsi="Palatino Linotype"/>
          <w:sz w:val="20"/>
          <w:szCs w:val="20"/>
        </w:rPr>
        <w:t>On one hand, respondents' First Amendment rights are entitled to special constitutional solicitude. Our cases have required the most exacting scrutiny in cases in which a State undertakes to regulate speech on the basis of its content. On the other hand, the state interest asserted here — in achieving greater separation of church and State than is already ensured under the Establishment Clause of the Federal Constitution — is limited by the Free Exercise Clause and in this case by the Free Speech Clause as well. In this constitutional context, we are unable to recognize the State's interest as sufficiently "compelling" to justify content-based discrimination against respondents' religious speech.</w:t>
      </w:r>
    </w:p>
    <w:p w14:paraId="1C79BBE3" w14:textId="12C039CC" w:rsidR="00D428B1" w:rsidRPr="00E33488" w:rsidRDefault="00D428B1" w:rsidP="0025762C">
      <w:pPr>
        <w:ind w:firstLine="720"/>
        <w:jc w:val="both"/>
        <w:rPr>
          <w:rFonts w:ascii="Palatino Linotype" w:hAnsi="Palatino Linotype"/>
          <w:sz w:val="20"/>
          <w:szCs w:val="20"/>
        </w:rPr>
      </w:pPr>
      <w:r w:rsidRPr="00E33488">
        <w:rPr>
          <w:rFonts w:ascii="Palatino Linotype" w:hAnsi="Palatino Linotype"/>
          <w:sz w:val="20"/>
          <w:szCs w:val="20"/>
        </w:rPr>
        <w:t>Our holding in this case in no way undermines the capacity of the University to establish reasonable time, place, and manner regulations. Nor do we question the right of the University to make academic judgments as to how best to allocate scarce resources or "to determine for itself on academic grounds who may teach, what may be taught, how it shall be taught, and who may be admitted to study." Finally, we affirm the continuing validity of cases that recognize a university's right to exclude even First Amendment activities that violate reasonable campus rules or substantially interfere with the opportunity of other students to obtain an education.</w:t>
      </w:r>
    </w:p>
    <w:p w14:paraId="7375FEC7" w14:textId="19F67E65" w:rsidR="00D428B1" w:rsidRPr="00E33488" w:rsidRDefault="00D428B1" w:rsidP="0025762C">
      <w:pPr>
        <w:ind w:firstLine="720"/>
        <w:jc w:val="both"/>
        <w:rPr>
          <w:rFonts w:ascii="Palatino Linotype" w:hAnsi="Palatino Linotype"/>
          <w:sz w:val="20"/>
          <w:szCs w:val="20"/>
        </w:rPr>
      </w:pPr>
      <w:r w:rsidRPr="00E33488">
        <w:rPr>
          <w:rFonts w:ascii="Palatino Linotype" w:hAnsi="Palatino Linotype"/>
          <w:sz w:val="20"/>
          <w:szCs w:val="20"/>
        </w:rPr>
        <w:t>The basis for our decision is narrow. Having created a forum generally open to student groups, the University seeks to enforce a content-based exclusion of religious speech. Its exclusionary policy violates the fundamental principle that a state regulations of speech should be content-neutral, and the University is unable to justify this violation under applicable constitutional standards.</w:t>
      </w:r>
    </w:p>
    <w:p w14:paraId="205BA2D7" w14:textId="41B2EE80" w:rsidR="00D428B1" w:rsidRPr="00E33488" w:rsidRDefault="00D428B1" w:rsidP="0025762C">
      <w:pPr>
        <w:ind w:firstLine="720"/>
        <w:jc w:val="both"/>
        <w:rPr>
          <w:rFonts w:ascii="Palatino Linotype" w:hAnsi="Palatino Linotype"/>
          <w:sz w:val="20"/>
          <w:szCs w:val="20"/>
        </w:rPr>
      </w:pPr>
      <w:r w:rsidRPr="00E33488">
        <w:rPr>
          <w:rFonts w:ascii="Palatino Linotype" w:hAnsi="Palatino Linotype"/>
          <w:sz w:val="20"/>
          <w:szCs w:val="20"/>
        </w:rPr>
        <w:t>Affirmed.</w:t>
      </w:r>
    </w:p>
    <w:p w14:paraId="087472CE" w14:textId="782E34C0" w:rsidR="00D428B1" w:rsidRPr="00E33488" w:rsidRDefault="00D428B1" w:rsidP="0025762C">
      <w:pPr>
        <w:ind w:firstLine="720"/>
        <w:jc w:val="both"/>
        <w:rPr>
          <w:rFonts w:ascii="Palatino Linotype" w:hAnsi="Palatino Linotype"/>
          <w:sz w:val="20"/>
          <w:szCs w:val="20"/>
        </w:rPr>
      </w:pPr>
    </w:p>
    <w:p w14:paraId="1FAAA72F" w14:textId="31074A71" w:rsidR="00D428B1" w:rsidRPr="00E33488" w:rsidRDefault="00D428B1" w:rsidP="00D428B1">
      <w:pPr>
        <w:jc w:val="both"/>
        <w:rPr>
          <w:rFonts w:ascii="Palatino Linotype" w:hAnsi="Palatino Linotype"/>
          <w:sz w:val="20"/>
          <w:szCs w:val="20"/>
        </w:rPr>
      </w:pPr>
      <w:r w:rsidRPr="00E33488">
        <w:rPr>
          <w:rFonts w:ascii="Palatino Linotype" w:hAnsi="Palatino Linotype"/>
          <w:sz w:val="20"/>
          <w:szCs w:val="20"/>
        </w:rPr>
        <w:t>JUSTICE STEVENS, concurring.</w:t>
      </w:r>
    </w:p>
    <w:p w14:paraId="7FBF97EE" w14:textId="46B9C349" w:rsidR="00D428B1" w:rsidRPr="00E33488" w:rsidRDefault="00D428B1" w:rsidP="0025762C">
      <w:pPr>
        <w:ind w:firstLine="720"/>
        <w:jc w:val="both"/>
        <w:rPr>
          <w:rFonts w:ascii="Palatino Linotype" w:hAnsi="Palatino Linotype"/>
          <w:sz w:val="20"/>
          <w:szCs w:val="20"/>
        </w:rPr>
      </w:pPr>
      <w:r w:rsidRPr="00E33488">
        <w:rPr>
          <w:rFonts w:ascii="Palatino Linotype" w:hAnsi="Palatino Linotype"/>
          <w:sz w:val="20"/>
          <w:szCs w:val="20"/>
        </w:rPr>
        <w:t>As the Court recognizes, every university must "make academic judgments as to how best to allocate scarce resources." The Court appears to hold, however, that those judgments must "serve a compelling state interest" wherever they are based, even in part, on the content of speech. . . . In my opinion, the use of the terms "compelling state interest" and "public forum" to analyze the question presented in this case may needlessly undermine the academic freedom of public universities.</w:t>
      </w:r>
    </w:p>
    <w:p w14:paraId="604894FE" w14:textId="60A1CAD2" w:rsidR="00D428B1" w:rsidRPr="00E33488" w:rsidRDefault="00D428B1" w:rsidP="0025762C">
      <w:pPr>
        <w:ind w:firstLine="720"/>
        <w:jc w:val="both"/>
        <w:rPr>
          <w:rFonts w:ascii="Palatino Linotype" w:hAnsi="Palatino Linotype"/>
          <w:sz w:val="20"/>
          <w:szCs w:val="20"/>
        </w:rPr>
      </w:pPr>
      <w:r w:rsidRPr="00E33488">
        <w:rPr>
          <w:rFonts w:ascii="Palatino Linotype" w:hAnsi="Palatino Linotype"/>
          <w:sz w:val="20"/>
          <w:szCs w:val="20"/>
        </w:rPr>
        <w:t>Today most major colleges and universities are operated by public authority. Nevertheless, their facilities are not open to the public in the same way that streets and parks are. University facilities — private or public — are maintained primarily for the benefit of the student body and the faculty. In performing their learning and teaching missions, the managers of a university routinely make countless decisions based on the content of communicative materials. They select books for inclusion in the library, they hire professors on the basis of their academic philosophies, they select courses for inclusion in the curriculum, and they reward scholars for what they have written. In addition, in encouraging students to participate in extracurricular activities, they necessarily make decisions concerning the content of those activities.</w:t>
      </w:r>
    </w:p>
    <w:p w14:paraId="39EEC8E2" w14:textId="48327098" w:rsidR="00D428B1" w:rsidRPr="00E33488" w:rsidRDefault="00D428B1" w:rsidP="0025762C">
      <w:pPr>
        <w:ind w:firstLine="720"/>
        <w:jc w:val="both"/>
        <w:rPr>
          <w:rFonts w:ascii="Palatino Linotype" w:hAnsi="Palatino Linotype"/>
          <w:sz w:val="20"/>
          <w:szCs w:val="20"/>
        </w:rPr>
      </w:pPr>
      <w:r w:rsidRPr="00E33488">
        <w:rPr>
          <w:rFonts w:ascii="Palatino Linotype" w:hAnsi="Palatino Linotype"/>
          <w:sz w:val="20"/>
          <w:szCs w:val="20"/>
        </w:rPr>
        <w:t xml:space="preserve">Because every university's resources are limited, an educational institution must routinely make decisions concerning the use of the time and space that is available for extracurricular activities. In my judgment, it is both necessary and appropriate for those decisions to evaluate the content of a proposed student activity. I should think it obvious, for example, that if two groups of 25 students requested the use of a room at a particular time — one to view Mickey Mouse cartoons and the other to rehearse an amateur performance of Hamlet — the First Amendment would not require that the room he reserved for the group </w:t>
      </w:r>
      <w:r w:rsidRPr="00E33488">
        <w:rPr>
          <w:rFonts w:ascii="Palatino Linotype" w:hAnsi="Palatino Linotype"/>
          <w:sz w:val="20"/>
          <w:szCs w:val="20"/>
        </w:rPr>
        <w:lastRenderedPageBreak/>
        <w:t>that submitted its application first. Nor do I see why a university should have to establish a "compelling state interest" to defend its decision to permit one group to use the facility and not the other. In my opinion, a university should be allowed to decide for itself whether a program that illuminates the genius of Walt Disney should be given precedence over one that may duplicate material adequately covered in the classroom. Judgments of this kind should be made by academicians, not by federal judges,</w:t>
      </w:r>
      <w:bookmarkStart w:id="0" w:name="r[23]"/>
      <w:r w:rsidRPr="00E33488">
        <w:rPr>
          <w:rFonts w:ascii="Palatino Linotype" w:hAnsi="Palatino Linotype"/>
          <w:sz w:val="20"/>
          <w:szCs w:val="20"/>
          <w:vertAlign w:val="superscript"/>
        </w:rPr>
        <w:fldChar w:fldCharType="begin"/>
      </w:r>
      <w:r w:rsidRPr="00E33488">
        <w:rPr>
          <w:rFonts w:ascii="Palatino Linotype" w:hAnsi="Palatino Linotype"/>
          <w:sz w:val="20"/>
          <w:szCs w:val="20"/>
          <w:vertAlign w:val="superscript"/>
        </w:rPr>
        <w:instrText xml:space="preserve"> HYPERLINK "https://scholar.google.com/scholar_case?case=7188907281892258516&amp;hl=en&amp;as_sdt=6&amp;as_vis=1&amp;oi=scholarr" \l "[23]" </w:instrText>
      </w:r>
      <w:r w:rsidRPr="00E33488">
        <w:rPr>
          <w:rFonts w:ascii="Palatino Linotype" w:hAnsi="Palatino Linotype"/>
          <w:sz w:val="20"/>
          <w:szCs w:val="20"/>
          <w:vertAlign w:val="superscript"/>
        </w:rPr>
        <w:fldChar w:fldCharType="separate"/>
      </w:r>
      <w:r w:rsidRPr="00E33488">
        <w:rPr>
          <w:rStyle w:val="Hyperlink"/>
          <w:rFonts w:ascii="Palatino Linotype" w:hAnsi="Palatino Linotype"/>
          <w:sz w:val="20"/>
          <w:szCs w:val="20"/>
          <w:vertAlign w:val="superscript"/>
        </w:rPr>
        <w:t>[2]</w:t>
      </w:r>
      <w:r w:rsidRPr="00E33488">
        <w:rPr>
          <w:rFonts w:ascii="Palatino Linotype" w:hAnsi="Palatino Linotype"/>
          <w:sz w:val="20"/>
          <w:szCs w:val="20"/>
          <w:vertAlign w:val="superscript"/>
        </w:rPr>
        <w:fldChar w:fldCharType="end"/>
      </w:r>
      <w:bookmarkEnd w:id="0"/>
      <w:r w:rsidRPr="00E33488">
        <w:rPr>
          <w:rFonts w:ascii="Palatino Linotype" w:hAnsi="Palatino Linotype"/>
          <w:sz w:val="20"/>
          <w:szCs w:val="20"/>
        </w:rPr>
        <w:t xml:space="preserve"> and their standards for decision should not be encumbered with ambiguous phrases like "compelling state interest."</w:t>
      </w:r>
    </w:p>
    <w:p w14:paraId="52164E96" w14:textId="3262E8F2" w:rsidR="00D428B1" w:rsidRPr="00E33488" w:rsidRDefault="00D428B1" w:rsidP="0025762C">
      <w:pPr>
        <w:ind w:firstLine="720"/>
        <w:jc w:val="both"/>
        <w:rPr>
          <w:rFonts w:ascii="Palatino Linotype" w:hAnsi="Palatino Linotype"/>
          <w:sz w:val="20"/>
          <w:szCs w:val="20"/>
        </w:rPr>
      </w:pPr>
      <w:r w:rsidRPr="00E33488">
        <w:rPr>
          <w:rFonts w:ascii="Palatino Linotype" w:hAnsi="Palatino Linotype"/>
          <w:sz w:val="20"/>
          <w:szCs w:val="20"/>
        </w:rPr>
        <w:t>Thus, I do not subscribe to the view that a public university has no greater interest in the content of student activities than the police chief has in the content of a soapbox oration on Capitol Hill. A university legitimately may regard some subjects as more relevant to its educational mission than others. But the university, like the police officer, may not allow its agreement or disagreement with the viewpoint of a particular speaker to determine whether access to a forum will be granted. If a state university is to deny recognition to a student organization — or is to give it a lesser right to use school facilities than other student — it must have a valid reason for doing so.</w:t>
      </w:r>
    </w:p>
    <w:p w14:paraId="178F4CA8" w14:textId="0BEAA5DF" w:rsidR="00D428B1" w:rsidRPr="00E33488" w:rsidRDefault="00D428B1" w:rsidP="0025762C">
      <w:pPr>
        <w:ind w:firstLine="720"/>
        <w:jc w:val="both"/>
        <w:rPr>
          <w:rFonts w:ascii="Palatino Linotype" w:hAnsi="Palatino Linotype"/>
          <w:sz w:val="20"/>
          <w:szCs w:val="20"/>
        </w:rPr>
      </w:pPr>
      <w:r w:rsidRPr="00E33488">
        <w:rPr>
          <w:rFonts w:ascii="Palatino Linotype" w:hAnsi="Palatino Linotype"/>
          <w:sz w:val="20"/>
          <w:szCs w:val="20"/>
        </w:rPr>
        <w:t>. . . .</w:t>
      </w:r>
    </w:p>
    <w:p w14:paraId="43EA1170" w14:textId="1565B226" w:rsidR="00D428B1" w:rsidRPr="00E33488" w:rsidRDefault="00D428B1" w:rsidP="0025762C">
      <w:pPr>
        <w:ind w:firstLine="720"/>
        <w:jc w:val="both"/>
        <w:rPr>
          <w:rFonts w:ascii="Palatino Linotype" w:hAnsi="Palatino Linotype"/>
          <w:sz w:val="20"/>
          <w:szCs w:val="20"/>
        </w:rPr>
      </w:pPr>
      <w:r w:rsidRPr="00E33488">
        <w:rPr>
          <w:rFonts w:ascii="Palatino Linotype" w:hAnsi="Palatino Linotype"/>
          <w:sz w:val="20"/>
          <w:szCs w:val="20"/>
        </w:rPr>
        <w:t>. . . . Quite obviously, however, the University could not allow a group of Republicans or Presbyterians to meet while denying Democrats or Mormons the same privilege. It seems apparent that the policy under attack would allow groups of young philosophers to meet to discuss their skepticism that a Supreme Being exists, or a group of political scientists to meet to debate the accuracy of the view that religion is the "opium of the people." If school facilities may be used to discuss anticlerical doctrine, it seems to me that comparable use by a group desiring to express a belief in God must also be permitted. The fact that their expression of faith includes ceremonial conduct is not, in my opinion, a sufficient reason for suppressing their discussion entirely.</w:t>
      </w:r>
    </w:p>
    <w:p w14:paraId="79702741" w14:textId="77DE891F" w:rsidR="008536C6" w:rsidRPr="00E33488" w:rsidRDefault="008536C6" w:rsidP="0025762C">
      <w:pPr>
        <w:ind w:firstLine="720"/>
        <w:jc w:val="both"/>
        <w:rPr>
          <w:rFonts w:ascii="Palatino Linotype" w:hAnsi="Palatino Linotype"/>
          <w:sz w:val="20"/>
          <w:szCs w:val="20"/>
        </w:rPr>
      </w:pPr>
    </w:p>
    <w:p w14:paraId="2F3F637F" w14:textId="22749459" w:rsidR="008536C6" w:rsidRPr="00E33488" w:rsidRDefault="008536C6" w:rsidP="008536C6">
      <w:pPr>
        <w:jc w:val="both"/>
        <w:rPr>
          <w:rFonts w:ascii="Palatino Linotype" w:hAnsi="Palatino Linotype"/>
          <w:sz w:val="20"/>
          <w:szCs w:val="20"/>
        </w:rPr>
      </w:pPr>
      <w:r w:rsidRPr="00E33488">
        <w:rPr>
          <w:rFonts w:ascii="Palatino Linotype" w:hAnsi="Palatino Linotype"/>
          <w:sz w:val="20"/>
          <w:szCs w:val="20"/>
        </w:rPr>
        <w:t>JUSTICE WHITE, dissenting.</w:t>
      </w:r>
    </w:p>
    <w:p w14:paraId="6D6BE269" w14:textId="3708D975" w:rsidR="008536C6" w:rsidRPr="00E33488" w:rsidRDefault="008536C6" w:rsidP="0025762C">
      <w:pPr>
        <w:ind w:firstLine="720"/>
        <w:jc w:val="both"/>
        <w:rPr>
          <w:rFonts w:ascii="Palatino Linotype" w:hAnsi="Palatino Linotype"/>
          <w:sz w:val="20"/>
          <w:szCs w:val="20"/>
        </w:rPr>
      </w:pPr>
      <w:r w:rsidRPr="00E33488">
        <w:rPr>
          <w:rFonts w:ascii="Palatino Linotype" w:hAnsi="Palatino Linotype"/>
          <w:sz w:val="20"/>
          <w:szCs w:val="20"/>
        </w:rPr>
        <w:t xml:space="preserve">In affirming the decision of the Court of Appeals, the majority rejects petitioners' argument that the Establishment Clause of the Constitution prohibits the use of university buildings for religious purposes. A state university may permit its property to be used for purely religious services without violating the First and Fourteenth Amendments. With this I agree. The Establishment Clause, however, sets limits only on what the State may do with respect to religious organizations; it does not establish what the State is </w:t>
      </w:r>
      <w:r w:rsidRPr="00E33488">
        <w:rPr>
          <w:rFonts w:ascii="Palatino Linotype" w:hAnsi="Palatino Linotype"/>
          <w:i/>
          <w:iCs/>
          <w:sz w:val="20"/>
          <w:szCs w:val="20"/>
        </w:rPr>
        <w:t>required</w:t>
      </w:r>
      <w:r w:rsidRPr="00E33488">
        <w:rPr>
          <w:rFonts w:ascii="Palatino Linotype" w:hAnsi="Palatino Linotype"/>
          <w:sz w:val="20"/>
          <w:szCs w:val="20"/>
        </w:rPr>
        <w:t xml:space="preserve"> to do. I have long argued that Establishment Clause limits on state action which incidentally aids religion are not as strict as the Court has held. The step from the permissible to the necessary, however, is a long one. In my view, just as there is room under the Religion Clauses for state policies that may have some beneficial effect on religion, there is also room for state policies that may incidentally burden religion. In other words, I believe the State to be a good deal freer to formulate policies that affect religion in divergent ways than does the majority. . . .</w:t>
      </w:r>
    </w:p>
    <w:p w14:paraId="698B26A2" w14:textId="6EE7EF32" w:rsidR="008536C6" w:rsidRPr="00E33488" w:rsidRDefault="008536C6" w:rsidP="0025762C">
      <w:pPr>
        <w:ind w:firstLine="720"/>
        <w:jc w:val="both"/>
        <w:rPr>
          <w:rFonts w:ascii="Palatino Linotype" w:hAnsi="Palatino Linotype"/>
          <w:sz w:val="20"/>
          <w:szCs w:val="20"/>
        </w:rPr>
      </w:pPr>
      <w:r w:rsidRPr="00E33488">
        <w:rPr>
          <w:rFonts w:ascii="Palatino Linotype" w:hAnsi="Palatino Linotype"/>
          <w:sz w:val="20"/>
          <w:szCs w:val="20"/>
        </w:rPr>
        <w:t>. . . . Although there may be instances in which it would be difficult to determine whether a religious group used university facilities for "worship" or "religious teaching," rather than for secular ends, this is not such a case. The regulation was applied to respondents' religious group, Cornerstone, only after the group explicitly informed the University that it sought access to the facilities for the purpose of offering prayer, singing hymns, reading scripture, and teaching biblical principles. . . .</w:t>
      </w:r>
    </w:p>
    <w:p w14:paraId="52D0429B" w14:textId="22B20383" w:rsidR="008536C6" w:rsidRPr="00E33488" w:rsidRDefault="008536C6" w:rsidP="0025762C">
      <w:pPr>
        <w:ind w:firstLine="720"/>
        <w:jc w:val="both"/>
        <w:rPr>
          <w:rFonts w:ascii="Palatino Linotype" w:hAnsi="Palatino Linotype"/>
          <w:sz w:val="20"/>
          <w:szCs w:val="20"/>
        </w:rPr>
      </w:pPr>
      <w:r w:rsidRPr="00E33488">
        <w:rPr>
          <w:rFonts w:ascii="Palatino Linotype" w:hAnsi="Palatino Linotype"/>
          <w:sz w:val="20"/>
          <w:szCs w:val="20"/>
        </w:rPr>
        <w:t xml:space="preserve">A large part of respondents' argument, accepted by the court below and accepted by the majority, is founded on the proposition that because religious worship uses speech, it is protected by the Free Speech Clause of the First Amendment. Not only is it protected, they argue, but religious worship </w:t>
      </w:r>
      <w:r w:rsidRPr="00E33488">
        <w:rPr>
          <w:rFonts w:ascii="Palatino Linotype" w:hAnsi="Palatino Linotype"/>
          <w:i/>
          <w:iCs/>
          <w:sz w:val="20"/>
          <w:szCs w:val="20"/>
        </w:rPr>
        <w:t>qua</w:t>
      </w:r>
      <w:r w:rsidRPr="00E33488">
        <w:rPr>
          <w:rFonts w:ascii="Palatino Linotype" w:hAnsi="Palatino Linotype"/>
          <w:sz w:val="20"/>
          <w:szCs w:val="20"/>
        </w:rPr>
        <w:t xml:space="preserve"> speech is not different from any other variety of protected speech as a matter of constitutional principle. I believe that this proposition is plainly wrong. Were it right, the Religion Clauses would be emptied of any independent meaning in circumstances in which religious practice took the form of speech.</w:t>
      </w:r>
    </w:p>
    <w:p w14:paraId="223D73C9" w14:textId="31F0442B" w:rsidR="008536C6" w:rsidRPr="00E33488" w:rsidRDefault="008536C6" w:rsidP="0025762C">
      <w:pPr>
        <w:ind w:firstLine="720"/>
        <w:jc w:val="both"/>
        <w:rPr>
          <w:rFonts w:ascii="Palatino Linotype" w:hAnsi="Palatino Linotype"/>
          <w:sz w:val="20"/>
          <w:szCs w:val="20"/>
        </w:rPr>
      </w:pPr>
      <w:r w:rsidRPr="00E33488">
        <w:rPr>
          <w:rFonts w:ascii="Palatino Linotype" w:hAnsi="Palatino Linotype"/>
          <w:sz w:val="20"/>
          <w:szCs w:val="20"/>
        </w:rPr>
        <w:t xml:space="preserve">. . . . Just last Term, the Court found it sufficiently obvious that the Establishment Clause prohibited a State from posting a copy of the Ten Commandments on the classroom wall that a statute requiring such </w:t>
      </w:r>
      <w:r w:rsidRPr="00E33488">
        <w:rPr>
          <w:rFonts w:ascii="Palatino Linotype" w:hAnsi="Palatino Linotype"/>
          <w:sz w:val="20"/>
          <w:szCs w:val="20"/>
        </w:rPr>
        <w:lastRenderedPageBreak/>
        <w:t>a posting was summarily struck down. That case necessarily presumed that the State could not ignore the religious content of the written message, nor was it permitted to treat that content as it would, or must, treat other — secular — messages under the First Amendment's protection of speech. . . .</w:t>
      </w:r>
    </w:p>
    <w:p w14:paraId="6973FAD0" w14:textId="2A40A463" w:rsidR="008536C6" w:rsidRPr="00E33488" w:rsidRDefault="008536C6" w:rsidP="0025762C">
      <w:pPr>
        <w:ind w:firstLine="720"/>
        <w:jc w:val="both"/>
        <w:rPr>
          <w:rFonts w:ascii="Palatino Linotype" w:hAnsi="Palatino Linotype"/>
          <w:sz w:val="20"/>
          <w:szCs w:val="20"/>
        </w:rPr>
      </w:pPr>
      <w:r w:rsidRPr="00E33488">
        <w:rPr>
          <w:rFonts w:ascii="Palatino Linotype" w:hAnsi="Palatino Linotype"/>
          <w:sz w:val="20"/>
          <w:szCs w:val="20"/>
        </w:rPr>
        <w:t>If the majority were right that no distinction may be drawn between verbal acts of worship and other verbal acts, all of these cases would have to be reconsidered. Although I agree that the line may be difficult to draw in many cases, surely the majority cannot seriously suggest that no line may ever be drawn. If that were the case, the majority would have to uphold the University's right to offer a class entitled "Sunday Mass." Under the majority's view, such a class would be — as a matter of constitutional principle — indistinguishable from a class entitled "The History of the Catholic Church.</w:t>
      </w:r>
    </w:p>
    <w:p w14:paraId="0CEF34A8" w14:textId="75CD5FE4" w:rsidR="008536C6" w:rsidRPr="00E33488" w:rsidRDefault="008536C6" w:rsidP="0025762C">
      <w:pPr>
        <w:ind w:firstLine="720"/>
        <w:jc w:val="both"/>
        <w:rPr>
          <w:rFonts w:ascii="Palatino Linotype" w:hAnsi="Palatino Linotype"/>
          <w:sz w:val="20"/>
          <w:szCs w:val="20"/>
        </w:rPr>
      </w:pPr>
      <w:r w:rsidRPr="00E33488">
        <w:rPr>
          <w:rFonts w:ascii="Palatino Linotype" w:hAnsi="Palatino Linotype"/>
          <w:sz w:val="20"/>
          <w:szCs w:val="20"/>
        </w:rPr>
        <w:t>. . . .</w:t>
      </w:r>
    </w:p>
    <w:p w14:paraId="0AD7DE02" w14:textId="6DBBA017" w:rsidR="008536C6" w:rsidRPr="00E33488" w:rsidRDefault="008536C6" w:rsidP="0025762C">
      <w:pPr>
        <w:ind w:firstLine="720"/>
        <w:jc w:val="both"/>
        <w:rPr>
          <w:rFonts w:ascii="Palatino Linotype" w:hAnsi="Palatino Linotype"/>
          <w:sz w:val="20"/>
          <w:szCs w:val="20"/>
        </w:rPr>
      </w:pPr>
      <w:r w:rsidRPr="00E33488">
        <w:rPr>
          <w:rFonts w:ascii="Palatino Linotype" w:hAnsi="Palatino Linotype"/>
          <w:sz w:val="20"/>
          <w:szCs w:val="20"/>
        </w:rPr>
        <w:t>Respondents complain that compliance with the regulation would require them to meet "about a block and a half" from campus under conditions less comfortable than those previously available on campus. I view this burden on free exercise as minimal. Because the burden is minimal, the State need do no more than demonstrate that the regulation furthers some permissible state end. The State's interest in avoiding claims that it is financing or otherwise supporting religious worship — in maintaining a definitive separation between church and State — is such an end. That the State truly does mean to act toward this end is amply supported by the treatment of religion in the State Constitution. Thus, I believe the interest of the State is sufficiently strong to justify the imposition of the minimal burden on respondents' ability freely to exercise their religious beliefs.</w:t>
      </w:r>
    </w:p>
    <w:p w14:paraId="51F98E5C" w14:textId="03F14AE6" w:rsidR="008536C6" w:rsidRPr="00E33488" w:rsidRDefault="008536C6" w:rsidP="0025762C">
      <w:pPr>
        <w:ind w:firstLine="720"/>
        <w:jc w:val="both"/>
        <w:rPr>
          <w:rFonts w:ascii="Palatino Linotype" w:hAnsi="Palatino Linotype"/>
          <w:sz w:val="20"/>
          <w:szCs w:val="20"/>
        </w:rPr>
      </w:pPr>
      <w:r w:rsidRPr="00E33488">
        <w:rPr>
          <w:rFonts w:ascii="Palatino Linotype" w:hAnsi="Palatino Linotype"/>
          <w:sz w:val="20"/>
          <w:szCs w:val="20"/>
        </w:rPr>
        <w:t xml:space="preserve">. . . . </w:t>
      </w:r>
    </w:p>
    <w:sectPr w:rsidR="008536C6" w:rsidRPr="00E3348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1F7575" w14:textId="77777777" w:rsidR="00ED6486" w:rsidRDefault="00ED6486" w:rsidP="000E2F1A">
      <w:r>
        <w:separator/>
      </w:r>
    </w:p>
  </w:endnote>
  <w:endnote w:type="continuationSeparator" w:id="0">
    <w:p w14:paraId="77FC9F08" w14:textId="77777777" w:rsidR="00ED6486" w:rsidRDefault="00ED6486"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441495"/>
      <w:docPartObj>
        <w:docPartGallery w:val="Page Numbers (Bottom of Page)"/>
        <w:docPartUnique/>
      </w:docPartObj>
    </w:sdtPr>
    <w:sdtEndPr>
      <w:rPr>
        <w:noProof/>
      </w:rPr>
    </w:sdtEndPr>
    <w:sdtContent>
      <w:p w14:paraId="7A2E3024" w14:textId="1C4F88DB" w:rsidR="000E2F1A" w:rsidRDefault="000E2F1A">
        <w:pPr>
          <w:pStyle w:val="Footer"/>
          <w:jc w:val="center"/>
        </w:pPr>
        <w:r>
          <w:fldChar w:fldCharType="begin"/>
        </w:r>
        <w:r>
          <w:instrText xml:space="preserve"> PAGE   \* MERGEFORMAT </w:instrText>
        </w:r>
        <w:r>
          <w:fldChar w:fldCharType="separate"/>
        </w:r>
        <w:r w:rsidR="00E33488">
          <w:rPr>
            <w:noProof/>
          </w:rPr>
          <w:t>4</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ADC85E" w14:textId="77777777" w:rsidR="00ED6486" w:rsidRDefault="00ED6486" w:rsidP="000E2F1A">
      <w:r>
        <w:separator/>
      </w:r>
    </w:p>
  </w:footnote>
  <w:footnote w:type="continuationSeparator" w:id="0">
    <w:p w14:paraId="30395A77" w14:textId="77777777" w:rsidR="00ED6486" w:rsidRDefault="00ED6486"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F1A"/>
    <w:rsid w:val="0000200D"/>
    <w:rsid w:val="000216BC"/>
    <w:rsid w:val="00034280"/>
    <w:rsid w:val="00035522"/>
    <w:rsid w:val="000428DE"/>
    <w:rsid w:val="000473BF"/>
    <w:rsid w:val="000557EE"/>
    <w:rsid w:val="00056859"/>
    <w:rsid w:val="00060C5C"/>
    <w:rsid w:val="00087EC4"/>
    <w:rsid w:val="0009312E"/>
    <w:rsid w:val="000B1EB6"/>
    <w:rsid w:val="000B2ED5"/>
    <w:rsid w:val="000C0A00"/>
    <w:rsid w:val="000D59E7"/>
    <w:rsid w:val="000D6A67"/>
    <w:rsid w:val="000E073D"/>
    <w:rsid w:val="000E0C08"/>
    <w:rsid w:val="000E0C81"/>
    <w:rsid w:val="000E2F1A"/>
    <w:rsid w:val="000E5CF9"/>
    <w:rsid w:val="000E5EEF"/>
    <w:rsid w:val="000F1C11"/>
    <w:rsid w:val="000F4C64"/>
    <w:rsid w:val="00101523"/>
    <w:rsid w:val="00102D10"/>
    <w:rsid w:val="001246B5"/>
    <w:rsid w:val="00135FF7"/>
    <w:rsid w:val="00143EBC"/>
    <w:rsid w:val="00164C91"/>
    <w:rsid w:val="00164EFB"/>
    <w:rsid w:val="00173E2A"/>
    <w:rsid w:val="00180936"/>
    <w:rsid w:val="001A3876"/>
    <w:rsid w:val="001A4EBE"/>
    <w:rsid w:val="001A552C"/>
    <w:rsid w:val="001A65C7"/>
    <w:rsid w:val="001B6032"/>
    <w:rsid w:val="001D2A6C"/>
    <w:rsid w:val="001D457B"/>
    <w:rsid w:val="001F65A6"/>
    <w:rsid w:val="00200749"/>
    <w:rsid w:val="00200816"/>
    <w:rsid w:val="002020F3"/>
    <w:rsid w:val="00215764"/>
    <w:rsid w:val="002315CE"/>
    <w:rsid w:val="002370EC"/>
    <w:rsid w:val="00240EAB"/>
    <w:rsid w:val="0024712D"/>
    <w:rsid w:val="0025762C"/>
    <w:rsid w:val="00262C7F"/>
    <w:rsid w:val="002775FD"/>
    <w:rsid w:val="002833A8"/>
    <w:rsid w:val="002A5606"/>
    <w:rsid w:val="002B34BE"/>
    <w:rsid w:val="002B51C6"/>
    <w:rsid w:val="002B619F"/>
    <w:rsid w:val="002C5592"/>
    <w:rsid w:val="002C58E5"/>
    <w:rsid w:val="002F4939"/>
    <w:rsid w:val="002F508B"/>
    <w:rsid w:val="003050C6"/>
    <w:rsid w:val="003207CD"/>
    <w:rsid w:val="00322694"/>
    <w:rsid w:val="0033106B"/>
    <w:rsid w:val="00354B36"/>
    <w:rsid w:val="00361F18"/>
    <w:rsid w:val="0036691C"/>
    <w:rsid w:val="00372FB7"/>
    <w:rsid w:val="0038458C"/>
    <w:rsid w:val="00386388"/>
    <w:rsid w:val="00390885"/>
    <w:rsid w:val="003918BE"/>
    <w:rsid w:val="00391DD5"/>
    <w:rsid w:val="00393A7B"/>
    <w:rsid w:val="00397556"/>
    <w:rsid w:val="003A343B"/>
    <w:rsid w:val="003A3E7E"/>
    <w:rsid w:val="003B48AD"/>
    <w:rsid w:val="003B4BCA"/>
    <w:rsid w:val="003C14AE"/>
    <w:rsid w:val="003C6431"/>
    <w:rsid w:val="003D6369"/>
    <w:rsid w:val="003E626B"/>
    <w:rsid w:val="003E78B1"/>
    <w:rsid w:val="003F2081"/>
    <w:rsid w:val="003F2AAD"/>
    <w:rsid w:val="00436265"/>
    <w:rsid w:val="004527EB"/>
    <w:rsid w:val="0046492E"/>
    <w:rsid w:val="00467D49"/>
    <w:rsid w:val="00471B24"/>
    <w:rsid w:val="004753A6"/>
    <w:rsid w:val="004838F7"/>
    <w:rsid w:val="00490E71"/>
    <w:rsid w:val="004B27DE"/>
    <w:rsid w:val="004B5528"/>
    <w:rsid w:val="004C3BE4"/>
    <w:rsid w:val="004E456E"/>
    <w:rsid w:val="004F7FE7"/>
    <w:rsid w:val="00526FB3"/>
    <w:rsid w:val="00530FC0"/>
    <w:rsid w:val="00531A8A"/>
    <w:rsid w:val="00553C96"/>
    <w:rsid w:val="00562B67"/>
    <w:rsid w:val="00565B89"/>
    <w:rsid w:val="005927B1"/>
    <w:rsid w:val="00595709"/>
    <w:rsid w:val="005976CB"/>
    <w:rsid w:val="005A4FD0"/>
    <w:rsid w:val="005A5A99"/>
    <w:rsid w:val="005B1713"/>
    <w:rsid w:val="005C1BBA"/>
    <w:rsid w:val="005C5647"/>
    <w:rsid w:val="005D4895"/>
    <w:rsid w:val="005E48BF"/>
    <w:rsid w:val="00611B9B"/>
    <w:rsid w:val="006151C6"/>
    <w:rsid w:val="00622CF5"/>
    <w:rsid w:val="006276A1"/>
    <w:rsid w:val="00640D40"/>
    <w:rsid w:val="00644E22"/>
    <w:rsid w:val="0065732B"/>
    <w:rsid w:val="00660729"/>
    <w:rsid w:val="00664205"/>
    <w:rsid w:val="00671558"/>
    <w:rsid w:val="00676590"/>
    <w:rsid w:val="00683143"/>
    <w:rsid w:val="006B08D2"/>
    <w:rsid w:val="006C7931"/>
    <w:rsid w:val="006D6615"/>
    <w:rsid w:val="006E2465"/>
    <w:rsid w:val="006E5EF8"/>
    <w:rsid w:val="006F5095"/>
    <w:rsid w:val="00700E02"/>
    <w:rsid w:val="00704132"/>
    <w:rsid w:val="007138C4"/>
    <w:rsid w:val="00715EF2"/>
    <w:rsid w:val="007212AA"/>
    <w:rsid w:val="00725F35"/>
    <w:rsid w:val="00745A4D"/>
    <w:rsid w:val="00750009"/>
    <w:rsid w:val="00753169"/>
    <w:rsid w:val="007549DD"/>
    <w:rsid w:val="00762E75"/>
    <w:rsid w:val="00774FC8"/>
    <w:rsid w:val="00793EE2"/>
    <w:rsid w:val="007A32B0"/>
    <w:rsid w:val="007A3463"/>
    <w:rsid w:val="007A4B49"/>
    <w:rsid w:val="007B1007"/>
    <w:rsid w:val="007C34AB"/>
    <w:rsid w:val="007E3A9B"/>
    <w:rsid w:val="00852E91"/>
    <w:rsid w:val="008536C6"/>
    <w:rsid w:val="00860F3F"/>
    <w:rsid w:val="00864010"/>
    <w:rsid w:val="00866A93"/>
    <w:rsid w:val="00871CB2"/>
    <w:rsid w:val="008823B0"/>
    <w:rsid w:val="00882A59"/>
    <w:rsid w:val="00882CB5"/>
    <w:rsid w:val="00892F25"/>
    <w:rsid w:val="00893A90"/>
    <w:rsid w:val="0089467E"/>
    <w:rsid w:val="008A26B4"/>
    <w:rsid w:val="008A5E74"/>
    <w:rsid w:val="008C1AC6"/>
    <w:rsid w:val="008C57E4"/>
    <w:rsid w:val="008F70F0"/>
    <w:rsid w:val="00917F4D"/>
    <w:rsid w:val="009223C8"/>
    <w:rsid w:val="00924003"/>
    <w:rsid w:val="00935DAF"/>
    <w:rsid w:val="00946070"/>
    <w:rsid w:val="00950479"/>
    <w:rsid w:val="00954C68"/>
    <w:rsid w:val="009611F9"/>
    <w:rsid w:val="00976265"/>
    <w:rsid w:val="009A28D6"/>
    <w:rsid w:val="009B16AC"/>
    <w:rsid w:val="009B27B0"/>
    <w:rsid w:val="00A14A1B"/>
    <w:rsid w:val="00A33637"/>
    <w:rsid w:val="00A40B41"/>
    <w:rsid w:val="00A5645D"/>
    <w:rsid w:val="00A616D7"/>
    <w:rsid w:val="00A62C6F"/>
    <w:rsid w:val="00A875D2"/>
    <w:rsid w:val="00A972B8"/>
    <w:rsid w:val="00AB13A6"/>
    <w:rsid w:val="00AB391E"/>
    <w:rsid w:val="00AC4664"/>
    <w:rsid w:val="00AC7C58"/>
    <w:rsid w:val="00AE1E95"/>
    <w:rsid w:val="00B0763C"/>
    <w:rsid w:val="00B116BB"/>
    <w:rsid w:val="00B14CCC"/>
    <w:rsid w:val="00B24C72"/>
    <w:rsid w:val="00B41CA8"/>
    <w:rsid w:val="00B557B5"/>
    <w:rsid w:val="00B571F9"/>
    <w:rsid w:val="00B709E7"/>
    <w:rsid w:val="00B73345"/>
    <w:rsid w:val="00B9406A"/>
    <w:rsid w:val="00B97D2B"/>
    <w:rsid w:val="00BA49AE"/>
    <w:rsid w:val="00BB6128"/>
    <w:rsid w:val="00BC3046"/>
    <w:rsid w:val="00BC62BB"/>
    <w:rsid w:val="00BD0C6C"/>
    <w:rsid w:val="00BD1AD0"/>
    <w:rsid w:val="00BF4162"/>
    <w:rsid w:val="00BF55F1"/>
    <w:rsid w:val="00BF69A4"/>
    <w:rsid w:val="00C0192C"/>
    <w:rsid w:val="00C04042"/>
    <w:rsid w:val="00C04969"/>
    <w:rsid w:val="00C26AF0"/>
    <w:rsid w:val="00C37622"/>
    <w:rsid w:val="00C47BFC"/>
    <w:rsid w:val="00C64673"/>
    <w:rsid w:val="00C71127"/>
    <w:rsid w:val="00C74E17"/>
    <w:rsid w:val="00C87E6F"/>
    <w:rsid w:val="00C921EB"/>
    <w:rsid w:val="00C92C6B"/>
    <w:rsid w:val="00C92E8E"/>
    <w:rsid w:val="00CA2204"/>
    <w:rsid w:val="00CB3953"/>
    <w:rsid w:val="00CC59BB"/>
    <w:rsid w:val="00CD5307"/>
    <w:rsid w:val="00CD6ABE"/>
    <w:rsid w:val="00CF05A5"/>
    <w:rsid w:val="00CF2A5B"/>
    <w:rsid w:val="00CF614F"/>
    <w:rsid w:val="00D16AD8"/>
    <w:rsid w:val="00D349A9"/>
    <w:rsid w:val="00D428B1"/>
    <w:rsid w:val="00D61977"/>
    <w:rsid w:val="00D64B92"/>
    <w:rsid w:val="00D7323F"/>
    <w:rsid w:val="00D9018F"/>
    <w:rsid w:val="00DA08BA"/>
    <w:rsid w:val="00DB4AF4"/>
    <w:rsid w:val="00DB755B"/>
    <w:rsid w:val="00DC1D01"/>
    <w:rsid w:val="00DC23C4"/>
    <w:rsid w:val="00DD6037"/>
    <w:rsid w:val="00DE6176"/>
    <w:rsid w:val="00E02800"/>
    <w:rsid w:val="00E117B4"/>
    <w:rsid w:val="00E1544F"/>
    <w:rsid w:val="00E2103F"/>
    <w:rsid w:val="00E2543C"/>
    <w:rsid w:val="00E32457"/>
    <w:rsid w:val="00E33488"/>
    <w:rsid w:val="00E65009"/>
    <w:rsid w:val="00E70E1D"/>
    <w:rsid w:val="00E74ACD"/>
    <w:rsid w:val="00EB6FF6"/>
    <w:rsid w:val="00ED0A45"/>
    <w:rsid w:val="00ED3666"/>
    <w:rsid w:val="00ED6486"/>
    <w:rsid w:val="00ED6E9F"/>
    <w:rsid w:val="00ED74A1"/>
    <w:rsid w:val="00EE2339"/>
    <w:rsid w:val="00EE2ED8"/>
    <w:rsid w:val="00EE4E10"/>
    <w:rsid w:val="00EE4F7D"/>
    <w:rsid w:val="00EE58DA"/>
    <w:rsid w:val="00EE65D8"/>
    <w:rsid w:val="00EF13B7"/>
    <w:rsid w:val="00EF1E2F"/>
    <w:rsid w:val="00EF1E9C"/>
    <w:rsid w:val="00EF4443"/>
    <w:rsid w:val="00EF65A0"/>
    <w:rsid w:val="00F10497"/>
    <w:rsid w:val="00F14AD4"/>
    <w:rsid w:val="00F16AC3"/>
    <w:rsid w:val="00F23945"/>
    <w:rsid w:val="00F26BCC"/>
    <w:rsid w:val="00F27744"/>
    <w:rsid w:val="00F306DB"/>
    <w:rsid w:val="00F35904"/>
    <w:rsid w:val="00F4550B"/>
    <w:rsid w:val="00F457E3"/>
    <w:rsid w:val="00F6123E"/>
    <w:rsid w:val="00F666B6"/>
    <w:rsid w:val="00F71CD4"/>
    <w:rsid w:val="00F818F7"/>
    <w:rsid w:val="00FA2A63"/>
    <w:rsid w:val="00FB256D"/>
    <w:rsid w:val="00FB5FF3"/>
    <w:rsid w:val="00FB7D70"/>
    <w:rsid w:val="00FC2608"/>
    <w:rsid w:val="00FD17D5"/>
    <w:rsid w:val="00FD436A"/>
    <w:rsid w:val="00FE7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217147">
      <w:bodyDiv w:val="1"/>
      <w:marLeft w:val="0"/>
      <w:marRight w:val="0"/>
      <w:marTop w:val="0"/>
      <w:marBottom w:val="0"/>
      <w:divBdr>
        <w:top w:val="none" w:sz="0" w:space="0" w:color="auto"/>
        <w:left w:val="none" w:sz="0" w:space="0" w:color="auto"/>
        <w:bottom w:val="none" w:sz="0" w:space="0" w:color="auto"/>
        <w:right w:val="none" w:sz="0" w:space="0" w:color="auto"/>
      </w:divBdr>
    </w:div>
    <w:div w:id="897205383">
      <w:bodyDiv w:val="1"/>
      <w:marLeft w:val="0"/>
      <w:marRight w:val="0"/>
      <w:marTop w:val="0"/>
      <w:marBottom w:val="0"/>
      <w:divBdr>
        <w:top w:val="none" w:sz="0" w:space="0" w:color="auto"/>
        <w:left w:val="none" w:sz="0" w:space="0" w:color="auto"/>
        <w:bottom w:val="none" w:sz="0" w:space="0" w:color="auto"/>
        <w:right w:val="none" w:sz="0" w:space="0" w:color="auto"/>
      </w:divBdr>
    </w:div>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 w:id="154409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965E2-A661-49B0-A75C-459F3340E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2166</Words>
  <Characters>12348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2020-12-23T00:29:00Z</dcterms:created>
  <dcterms:modified xsi:type="dcterms:W3CDTF">2020-12-23T00:29:00Z</dcterms:modified>
</cp:coreProperties>
</file>