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4DB9F" w14:textId="77777777" w:rsidR="00A9493B" w:rsidRPr="00A9493B" w:rsidRDefault="00A9493B" w:rsidP="00A9493B">
      <w:pPr>
        <w:jc w:val="center"/>
        <w:rPr>
          <w:rFonts w:ascii="Palatino Linotype" w:hAnsi="Palatino Linotype"/>
          <w:sz w:val="20"/>
          <w:szCs w:val="20"/>
        </w:rPr>
      </w:pPr>
      <w:r w:rsidRPr="00A9493B">
        <w:rPr>
          <w:rFonts w:ascii="Palatino Linotype" w:hAnsi="Palatino Linotype"/>
          <w:sz w:val="20"/>
          <w:szCs w:val="20"/>
        </w:rPr>
        <w:t>AMERICAN CONSTITUTIONALISM</w:t>
      </w:r>
    </w:p>
    <w:p w14:paraId="374A0C93" w14:textId="77777777" w:rsidR="00A9493B" w:rsidRPr="00A9493B" w:rsidRDefault="00A9493B" w:rsidP="00A9493B">
      <w:pPr>
        <w:jc w:val="center"/>
        <w:rPr>
          <w:rFonts w:ascii="Palatino Linotype" w:hAnsi="Palatino Linotype"/>
          <w:sz w:val="20"/>
          <w:szCs w:val="20"/>
        </w:rPr>
      </w:pPr>
      <w:r w:rsidRPr="00A9493B">
        <w:rPr>
          <w:rFonts w:ascii="Palatino Linotype" w:hAnsi="Palatino Linotype"/>
          <w:sz w:val="20"/>
          <w:szCs w:val="20"/>
        </w:rPr>
        <w:t>VOLUME II: RIGHTS AND LIBERTIES</w:t>
      </w:r>
    </w:p>
    <w:p w14:paraId="2ED12484" w14:textId="77777777" w:rsidR="00A9493B" w:rsidRPr="00A9493B" w:rsidRDefault="00A9493B" w:rsidP="00A9493B">
      <w:pPr>
        <w:jc w:val="center"/>
        <w:rPr>
          <w:rFonts w:ascii="Palatino Linotype" w:hAnsi="Palatino Linotype"/>
          <w:sz w:val="20"/>
          <w:szCs w:val="20"/>
        </w:rPr>
      </w:pPr>
      <w:r w:rsidRPr="00A9493B">
        <w:rPr>
          <w:rFonts w:ascii="Palatino Linotype" w:hAnsi="Palatino Linotype"/>
          <w:sz w:val="20"/>
          <w:szCs w:val="20"/>
        </w:rPr>
        <w:t>Howard Gillman • Mark A. Graber • Keith E. Whittington</w:t>
      </w:r>
    </w:p>
    <w:p w14:paraId="2872AFE0" w14:textId="77777777" w:rsidR="00A9493B" w:rsidRPr="00A9493B" w:rsidRDefault="00A9493B" w:rsidP="00A9493B">
      <w:pPr>
        <w:jc w:val="center"/>
        <w:rPr>
          <w:rFonts w:ascii="Palatino Linotype" w:hAnsi="Palatino Linotype"/>
          <w:sz w:val="20"/>
          <w:szCs w:val="20"/>
        </w:rPr>
      </w:pPr>
    </w:p>
    <w:p w14:paraId="52D1E8A2" w14:textId="77777777" w:rsidR="00A9493B" w:rsidRPr="00A9493B" w:rsidRDefault="00A9493B" w:rsidP="00A9493B">
      <w:pPr>
        <w:jc w:val="center"/>
        <w:rPr>
          <w:rFonts w:ascii="Palatino Linotype" w:hAnsi="Palatino Linotype"/>
          <w:sz w:val="20"/>
          <w:szCs w:val="20"/>
        </w:rPr>
      </w:pPr>
      <w:r w:rsidRPr="00A9493B">
        <w:rPr>
          <w:rFonts w:ascii="Palatino Linotype" w:hAnsi="Palatino Linotype"/>
          <w:sz w:val="20"/>
          <w:szCs w:val="20"/>
        </w:rPr>
        <w:t>Supplementary Material</w:t>
      </w:r>
    </w:p>
    <w:p w14:paraId="59D67AE6" w14:textId="77777777" w:rsidR="00A9493B" w:rsidRPr="00A9493B" w:rsidRDefault="00A9493B" w:rsidP="00A9493B">
      <w:pPr>
        <w:jc w:val="center"/>
        <w:rPr>
          <w:rFonts w:ascii="Palatino Linotype" w:hAnsi="Palatino Linotype"/>
          <w:sz w:val="20"/>
          <w:szCs w:val="20"/>
        </w:rPr>
      </w:pPr>
    </w:p>
    <w:p w14:paraId="1435A08D" w14:textId="77777777" w:rsidR="00A9493B" w:rsidRPr="00A9493B" w:rsidRDefault="00A9493B" w:rsidP="00A9493B">
      <w:pPr>
        <w:jc w:val="center"/>
        <w:rPr>
          <w:rFonts w:ascii="Palatino Linotype" w:hAnsi="Palatino Linotype"/>
          <w:sz w:val="20"/>
          <w:szCs w:val="20"/>
        </w:rPr>
      </w:pPr>
      <w:r w:rsidRPr="00A9493B">
        <w:rPr>
          <w:rFonts w:ascii="Palatino Linotype" w:hAnsi="Palatino Linotype"/>
          <w:sz w:val="20"/>
          <w:szCs w:val="20"/>
        </w:rPr>
        <w:t>Chapter 10: The Reagan Era—Democratic Rights/Free Speech/Public Property, Subsidies, Employees, and Schools</w:t>
      </w:r>
    </w:p>
    <w:p w14:paraId="685CF047" w14:textId="77777777" w:rsidR="00A9493B" w:rsidRPr="00A9493B" w:rsidRDefault="00A9493B" w:rsidP="00A9493B">
      <w:pPr>
        <w:jc w:val="both"/>
        <w:rPr>
          <w:rFonts w:ascii="Palatino Linotype" w:hAnsi="Palatino Linotype"/>
          <w:sz w:val="20"/>
          <w:szCs w:val="20"/>
        </w:rPr>
      </w:pPr>
    </w:p>
    <w:p w14:paraId="507AB054" w14:textId="77777777" w:rsidR="00A9493B" w:rsidRPr="00A9493B" w:rsidRDefault="00384ADE" w:rsidP="00A9493B">
      <w:pPr>
        <w:rPr>
          <w:rFonts w:ascii="Palatino Linotype" w:hAnsi="Palatino Linotype"/>
          <w:sz w:val="20"/>
          <w:szCs w:val="20"/>
        </w:rPr>
      </w:pPr>
      <w:r>
        <w:rPr>
          <w:rFonts w:ascii="Palatino Linotype" w:hAnsi="Palatino Linotype"/>
          <w:sz w:val="20"/>
          <w:szCs w:val="20"/>
        </w:rPr>
        <w:pict w14:anchorId="7A760FFA">
          <v:rect id="_x0000_i1025" style="width:468pt;height:1.5pt" o:hralign="center" o:hrstd="t" o:hrnoshade="t" o:hr="t" fillcolor="black" stroked="f"/>
        </w:pict>
      </w:r>
    </w:p>
    <w:p w14:paraId="0DCB6CDF" w14:textId="77777777" w:rsidR="00A9493B" w:rsidRPr="00A9493B" w:rsidRDefault="00A9493B" w:rsidP="00A9493B">
      <w:pPr>
        <w:jc w:val="center"/>
        <w:rPr>
          <w:rFonts w:ascii="Palatino Linotype" w:hAnsi="Palatino Linotype"/>
          <w:sz w:val="20"/>
          <w:szCs w:val="20"/>
        </w:rPr>
      </w:pPr>
      <w:r>
        <w:rPr>
          <w:rFonts w:ascii="Palatino Linotype" w:hAnsi="Palatino Linotype"/>
          <w:b/>
          <w:sz w:val="20"/>
          <w:szCs w:val="20"/>
        </w:rPr>
        <w:t>Heffron v. International Society for Krishna Consciousness, 452 U.S. 640</w:t>
      </w:r>
      <w:r w:rsidRPr="00A9493B">
        <w:rPr>
          <w:rFonts w:ascii="Palatino Linotype" w:hAnsi="Palatino Linotype"/>
          <w:sz w:val="20"/>
          <w:szCs w:val="20"/>
        </w:rPr>
        <w:t xml:space="preserve"> (</w:t>
      </w:r>
      <w:r>
        <w:rPr>
          <w:rFonts w:ascii="Palatino Linotype" w:hAnsi="Palatino Linotype"/>
          <w:sz w:val="20"/>
          <w:szCs w:val="20"/>
        </w:rPr>
        <w:t>1981</w:t>
      </w:r>
      <w:r w:rsidRPr="00A9493B">
        <w:rPr>
          <w:rFonts w:ascii="Palatino Linotype" w:hAnsi="Palatino Linotype"/>
          <w:sz w:val="20"/>
          <w:szCs w:val="20"/>
        </w:rPr>
        <w:t>)</w:t>
      </w:r>
    </w:p>
    <w:p w14:paraId="501C5F22" w14:textId="77777777" w:rsidR="00A9493B" w:rsidRPr="00A9493B" w:rsidRDefault="00384ADE" w:rsidP="00A9493B">
      <w:pPr>
        <w:rPr>
          <w:rFonts w:ascii="Palatino Linotype" w:hAnsi="Palatino Linotype"/>
          <w:sz w:val="20"/>
          <w:szCs w:val="20"/>
        </w:rPr>
      </w:pPr>
      <w:r>
        <w:rPr>
          <w:rFonts w:ascii="Palatino Linotype" w:hAnsi="Palatino Linotype"/>
          <w:sz w:val="20"/>
          <w:szCs w:val="20"/>
        </w:rPr>
        <w:pict w14:anchorId="1E4FD711">
          <v:rect id="_x0000_i1026" style="width:468pt;height:1.5pt" o:hralign="center" o:hrstd="t" o:hrnoshade="t" o:hr="t" fillcolor="black" stroked="f"/>
        </w:pict>
      </w:r>
    </w:p>
    <w:p w14:paraId="6B7A7710" w14:textId="77777777" w:rsidR="00C712EA" w:rsidRPr="00A9493B" w:rsidRDefault="00C712EA">
      <w:pPr>
        <w:rPr>
          <w:rFonts w:ascii="Palatino Linotype" w:hAnsi="Palatino Linotype"/>
          <w:sz w:val="20"/>
          <w:szCs w:val="20"/>
        </w:rPr>
      </w:pPr>
    </w:p>
    <w:p w14:paraId="5436873D" w14:textId="77777777" w:rsidR="00C712EA" w:rsidRPr="00A9493B" w:rsidRDefault="00DE6D13" w:rsidP="00C712EA">
      <w:pPr>
        <w:ind w:firstLine="720"/>
        <w:rPr>
          <w:rFonts w:ascii="Palatino Linotype" w:hAnsi="Palatino Linotype"/>
          <w:i/>
          <w:sz w:val="20"/>
          <w:szCs w:val="20"/>
        </w:rPr>
      </w:pPr>
      <w:r w:rsidRPr="00A9493B">
        <w:rPr>
          <w:rFonts w:ascii="Palatino Linotype" w:hAnsi="Palatino Linotype"/>
          <w:i/>
          <w:sz w:val="20"/>
          <w:szCs w:val="20"/>
        </w:rPr>
        <w:t xml:space="preserve">The Minnesota Agricultural Society is a public corporation that operates an annual state fair on a state-owned tract of land in St. Paul, Minnesota.  The rules of the state fair required that all groups selling, </w:t>
      </w:r>
      <w:proofErr w:type="gramStart"/>
      <w:r w:rsidRPr="00A9493B">
        <w:rPr>
          <w:rFonts w:ascii="Palatino Linotype" w:hAnsi="Palatino Linotype"/>
          <w:i/>
          <w:sz w:val="20"/>
          <w:szCs w:val="20"/>
        </w:rPr>
        <w:t>exhibiting</w:t>
      </w:r>
      <w:proofErr w:type="gramEnd"/>
      <w:r w:rsidRPr="00A9493B">
        <w:rPr>
          <w:rFonts w:ascii="Palatino Linotype" w:hAnsi="Palatino Linotype"/>
          <w:i/>
          <w:sz w:val="20"/>
          <w:szCs w:val="20"/>
        </w:rPr>
        <w:t xml:space="preserve"> or distributing material on the fairgrounds must do so from a rented booth.  Booths were available on a</w:t>
      </w:r>
      <w:r w:rsidR="00090904" w:rsidRPr="00A9493B">
        <w:rPr>
          <w:rFonts w:ascii="Palatino Linotype" w:hAnsi="Palatino Linotype"/>
          <w:i/>
          <w:sz w:val="20"/>
          <w:szCs w:val="20"/>
        </w:rPr>
        <w:t xml:space="preserve"> first-come, first-served basis, and the state fair drew over 1400 exhibitors and over a million visitors.</w:t>
      </w:r>
    </w:p>
    <w:p w14:paraId="4AEF14B0" w14:textId="77777777" w:rsidR="00F278C0" w:rsidRPr="00A9493B" w:rsidRDefault="00090904" w:rsidP="00F278C0">
      <w:pPr>
        <w:ind w:firstLine="720"/>
        <w:rPr>
          <w:rFonts w:ascii="Palatino Linotype" w:hAnsi="Palatino Linotype"/>
          <w:i/>
          <w:sz w:val="20"/>
          <w:szCs w:val="20"/>
        </w:rPr>
      </w:pPr>
      <w:r w:rsidRPr="00A9493B">
        <w:rPr>
          <w:rFonts w:ascii="Palatino Linotype" w:hAnsi="Palatino Linotype"/>
          <w:i/>
          <w:sz w:val="20"/>
          <w:szCs w:val="20"/>
        </w:rPr>
        <w:t>The day before the start of the 1977 state fair, the International Society for Krishna Consciousness (</w:t>
      </w:r>
      <w:r w:rsidR="007B3439" w:rsidRPr="00A9493B">
        <w:rPr>
          <w:rFonts w:ascii="Palatino Linotype" w:hAnsi="Palatino Linotype"/>
          <w:i/>
          <w:sz w:val="20"/>
          <w:szCs w:val="20"/>
        </w:rPr>
        <w:t>ISKCON</w:t>
      </w:r>
      <w:r w:rsidRPr="00A9493B">
        <w:rPr>
          <w:rFonts w:ascii="Palatino Linotype" w:hAnsi="Palatino Linotype"/>
          <w:i/>
          <w:sz w:val="20"/>
          <w:szCs w:val="20"/>
        </w:rPr>
        <w:t>) sued Michael Heffron, the secretary of the Minnesota A</w:t>
      </w:r>
      <w:r w:rsidR="00163520" w:rsidRPr="00A9493B">
        <w:rPr>
          <w:rFonts w:ascii="Palatino Linotype" w:hAnsi="Palatino Linotype"/>
          <w:i/>
          <w:sz w:val="20"/>
          <w:szCs w:val="20"/>
        </w:rPr>
        <w:t xml:space="preserve">gricultural Society, and other state fair officials in </w:t>
      </w:r>
      <w:r w:rsidR="00F278C0" w:rsidRPr="00A9493B">
        <w:rPr>
          <w:rFonts w:ascii="Palatino Linotype" w:hAnsi="Palatino Linotype"/>
          <w:i/>
          <w:sz w:val="20"/>
          <w:szCs w:val="20"/>
        </w:rPr>
        <w:t>state</w:t>
      </w:r>
      <w:r w:rsidR="00163520" w:rsidRPr="00A9493B">
        <w:rPr>
          <w:rFonts w:ascii="Palatino Linotype" w:hAnsi="Palatino Linotype"/>
          <w:i/>
          <w:sz w:val="20"/>
          <w:szCs w:val="20"/>
        </w:rPr>
        <w:t xml:space="preserve"> district court.  ISKCON sought a declaration that the state fair rule that groups must work out of booths was unconstitutional and an injunction against its enforcement.  </w:t>
      </w:r>
      <w:proofErr w:type="gramStart"/>
      <w:r w:rsidR="00163520" w:rsidRPr="00A9493B">
        <w:rPr>
          <w:rFonts w:ascii="Palatino Linotype" w:hAnsi="Palatino Linotype"/>
          <w:i/>
          <w:sz w:val="20"/>
          <w:szCs w:val="20"/>
        </w:rPr>
        <w:t>In particular, ISKCON</w:t>
      </w:r>
      <w:proofErr w:type="gramEnd"/>
      <w:r w:rsidR="00163520" w:rsidRPr="00A9493B">
        <w:rPr>
          <w:rFonts w:ascii="Palatino Linotype" w:hAnsi="Palatino Linotype"/>
          <w:i/>
          <w:sz w:val="20"/>
          <w:szCs w:val="20"/>
        </w:rPr>
        <w:t xml:space="preserve"> argued that its religious rituals required that its adherents “greet members of the public” by giving them small gifts and circulate in public places selling religious literature and soliciting donations.  The trial court upheld the rule limiting the distribution and selling of materials, so long as the </w:t>
      </w:r>
      <w:proofErr w:type="spellStart"/>
      <w:r w:rsidR="00163520" w:rsidRPr="00A9493B">
        <w:rPr>
          <w:rFonts w:ascii="Palatino Linotype" w:hAnsi="Palatino Linotype"/>
          <w:i/>
          <w:sz w:val="20"/>
          <w:szCs w:val="20"/>
        </w:rPr>
        <w:t>Krishna</w:t>
      </w:r>
      <w:r w:rsidR="00F278C0" w:rsidRPr="00A9493B">
        <w:rPr>
          <w:rFonts w:ascii="Palatino Linotype" w:hAnsi="Palatino Linotype"/>
          <w:i/>
          <w:sz w:val="20"/>
          <w:szCs w:val="20"/>
        </w:rPr>
        <w:t>s</w:t>
      </w:r>
      <w:proofErr w:type="spellEnd"/>
      <w:r w:rsidR="00163520" w:rsidRPr="00A9493B">
        <w:rPr>
          <w:rFonts w:ascii="Palatino Linotype" w:hAnsi="Palatino Linotype"/>
          <w:i/>
          <w:sz w:val="20"/>
          <w:szCs w:val="20"/>
        </w:rPr>
        <w:t xml:space="preserve"> could </w:t>
      </w:r>
      <w:r w:rsidR="00F278C0" w:rsidRPr="00A9493B">
        <w:rPr>
          <w:rFonts w:ascii="Palatino Linotype" w:hAnsi="Palatino Linotype"/>
          <w:i/>
          <w:sz w:val="20"/>
          <w:szCs w:val="20"/>
        </w:rPr>
        <w:t xml:space="preserve">otherwise </w:t>
      </w:r>
      <w:r w:rsidR="00163520" w:rsidRPr="00A9493B">
        <w:rPr>
          <w:rFonts w:ascii="Palatino Linotype" w:hAnsi="Palatino Linotype"/>
          <w:i/>
          <w:sz w:val="20"/>
          <w:szCs w:val="20"/>
        </w:rPr>
        <w:t xml:space="preserve">move through the </w:t>
      </w:r>
      <w:r w:rsidR="00F278C0" w:rsidRPr="00A9493B">
        <w:rPr>
          <w:rFonts w:ascii="Palatino Linotype" w:hAnsi="Palatino Linotype"/>
          <w:i/>
          <w:sz w:val="20"/>
          <w:szCs w:val="20"/>
        </w:rPr>
        <w:t xml:space="preserve">public </w:t>
      </w:r>
      <w:r w:rsidR="00163520" w:rsidRPr="00A9493B">
        <w:rPr>
          <w:rFonts w:ascii="Palatino Linotype" w:hAnsi="Palatino Linotype"/>
          <w:i/>
          <w:sz w:val="20"/>
          <w:szCs w:val="20"/>
        </w:rPr>
        <w:t>fairgrounds and engage in normal discussions of their religious beliefs.</w:t>
      </w:r>
      <w:r w:rsidR="00F278C0" w:rsidRPr="00A9493B">
        <w:rPr>
          <w:rFonts w:ascii="Palatino Linotype" w:hAnsi="Palatino Linotype"/>
          <w:i/>
          <w:sz w:val="20"/>
          <w:szCs w:val="20"/>
        </w:rPr>
        <w:t xml:space="preserve">  On appeal, the Minnesota Supreme Court reversed and struck down the rule as an unconstitutional restriction on free speech.  The Minnesota Agricultural Society appealed to the U.S. Supreme Court.</w:t>
      </w:r>
    </w:p>
    <w:p w14:paraId="50F9827F" w14:textId="77777777" w:rsidR="00F278C0" w:rsidRPr="00A9493B" w:rsidRDefault="00F278C0" w:rsidP="00F278C0">
      <w:pPr>
        <w:ind w:firstLine="720"/>
        <w:rPr>
          <w:rFonts w:ascii="Palatino Linotype" w:hAnsi="Palatino Linotype"/>
          <w:i/>
          <w:sz w:val="20"/>
          <w:szCs w:val="20"/>
        </w:rPr>
      </w:pPr>
      <w:r w:rsidRPr="00A9493B">
        <w:rPr>
          <w:rFonts w:ascii="Palatino Linotype" w:hAnsi="Palatino Linotype"/>
          <w:i/>
          <w:sz w:val="20"/>
          <w:szCs w:val="20"/>
        </w:rPr>
        <w:t>In a 5-4 decision, the Supreme Court reversed the state supreme court and upheld the state fair rule.</w:t>
      </w:r>
      <w:r w:rsidR="006401C5" w:rsidRPr="00A9493B">
        <w:rPr>
          <w:rFonts w:ascii="Palatino Linotype" w:hAnsi="Palatino Linotype"/>
          <w:i/>
          <w:sz w:val="20"/>
          <w:szCs w:val="20"/>
        </w:rPr>
        <w:t xml:space="preserve">  The majority found that the booth rule was a reasonable time, </w:t>
      </w:r>
      <w:proofErr w:type="gramStart"/>
      <w:r w:rsidR="006401C5" w:rsidRPr="00A9493B">
        <w:rPr>
          <w:rFonts w:ascii="Palatino Linotype" w:hAnsi="Palatino Linotype"/>
          <w:i/>
          <w:sz w:val="20"/>
          <w:szCs w:val="20"/>
        </w:rPr>
        <w:t>place</w:t>
      </w:r>
      <w:proofErr w:type="gramEnd"/>
      <w:r w:rsidR="006401C5" w:rsidRPr="00A9493B">
        <w:rPr>
          <w:rFonts w:ascii="Palatino Linotype" w:hAnsi="Palatino Linotype"/>
          <w:i/>
          <w:sz w:val="20"/>
          <w:szCs w:val="20"/>
        </w:rPr>
        <w:t xml:space="preserve"> and manner regulation on speech, given the conditions of the fairgrounds.  What principles guide the Court in evaluating the constitutionality of the fair’s rule?  </w:t>
      </w:r>
      <w:r w:rsidR="00D40EE7" w:rsidRPr="00A9493B">
        <w:rPr>
          <w:rFonts w:ascii="Palatino Linotype" w:hAnsi="Palatino Linotype"/>
          <w:i/>
          <w:sz w:val="20"/>
          <w:szCs w:val="20"/>
        </w:rPr>
        <w:t>How hard</w:t>
      </w:r>
      <w:r w:rsidR="006401C5" w:rsidRPr="00A9493B">
        <w:rPr>
          <w:rFonts w:ascii="Palatino Linotype" w:hAnsi="Palatino Linotype"/>
          <w:i/>
          <w:sz w:val="20"/>
          <w:szCs w:val="20"/>
        </w:rPr>
        <w:t xml:space="preserve"> should judges </w:t>
      </w:r>
      <w:r w:rsidR="00D40EE7" w:rsidRPr="00A9493B">
        <w:rPr>
          <w:rFonts w:ascii="Palatino Linotype" w:hAnsi="Palatino Linotype"/>
          <w:i/>
          <w:sz w:val="20"/>
          <w:szCs w:val="20"/>
        </w:rPr>
        <w:t>scrutinize</w:t>
      </w:r>
      <w:r w:rsidR="006401C5" w:rsidRPr="00A9493B">
        <w:rPr>
          <w:rFonts w:ascii="Palatino Linotype" w:hAnsi="Palatino Linotype"/>
          <w:i/>
          <w:sz w:val="20"/>
          <w:szCs w:val="20"/>
        </w:rPr>
        <w:t xml:space="preserve"> the practical judgments </w:t>
      </w:r>
      <w:r w:rsidR="00D40EE7" w:rsidRPr="00A9493B">
        <w:rPr>
          <w:rFonts w:ascii="Palatino Linotype" w:hAnsi="Palatino Linotype"/>
          <w:i/>
          <w:sz w:val="20"/>
          <w:szCs w:val="20"/>
        </w:rPr>
        <w:t>that</w:t>
      </w:r>
      <w:r w:rsidR="006401C5" w:rsidRPr="00A9493B">
        <w:rPr>
          <w:rFonts w:ascii="Palatino Linotype" w:hAnsi="Palatino Linotype"/>
          <w:i/>
          <w:sz w:val="20"/>
          <w:szCs w:val="20"/>
        </w:rPr>
        <w:t xml:space="preserve"> government officials </w:t>
      </w:r>
      <w:r w:rsidR="00D40EE7" w:rsidRPr="00A9493B">
        <w:rPr>
          <w:rFonts w:ascii="Palatino Linotype" w:hAnsi="Palatino Linotype"/>
          <w:i/>
          <w:sz w:val="20"/>
          <w:szCs w:val="20"/>
        </w:rPr>
        <w:t>make on what type of regulations might be necessary to advance governmental interests?</w:t>
      </w:r>
    </w:p>
    <w:p w14:paraId="0F1024D2" w14:textId="77777777" w:rsidR="00C712EA" w:rsidRPr="00A9493B" w:rsidRDefault="00C712EA">
      <w:pPr>
        <w:rPr>
          <w:rFonts w:ascii="Palatino Linotype" w:hAnsi="Palatino Linotype"/>
          <w:sz w:val="20"/>
          <w:szCs w:val="20"/>
        </w:rPr>
      </w:pPr>
    </w:p>
    <w:p w14:paraId="7961483B" w14:textId="77777777" w:rsidR="00C712EA" w:rsidRPr="00A9493B" w:rsidRDefault="00C712EA">
      <w:pPr>
        <w:rPr>
          <w:rFonts w:ascii="Palatino Linotype" w:hAnsi="Palatino Linotype"/>
          <w:sz w:val="20"/>
          <w:szCs w:val="20"/>
        </w:rPr>
      </w:pPr>
      <w:r w:rsidRPr="00A9493B">
        <w:rPr>
          <w:rFonts w:ascii="Palatino Linotype" w:hAnsi="Palatino Linotype"/>
          <w:sz w:val="20"/>
          <w:szCs w:val="20"/>
        </w:rPr>
        <w:t>JUSTICE WHITE delivered the opinion of the Court.</w:t>
      </w:r>
    </w:p>
    <w:p w14:paraId="241CE543" w14:textId="77777777" w:rsidR="00C712EA" w:rsidRPr="00A9493B" w:rsidRDefault="00C712EA">
      <w:pPr>
        <w:rPr>
          <w:rFonts w:ascii="Palatino Linotype" w:hAnsi="Palatino Linotype"/>
          <w:sz w:val="20"/>
          <w:szCs w:val="20"/>
        </w:rPr>
      </w:pPr>
    </w:p>
    <w:p w14:paraId="03940F7D" w14:textId="77777777" w:rsidR="00C712EA" w:rsidRPr="00A9493B" w:rsidRDefault="00F278C0" w:rsidP="00C712EA">
      <w:pPr>
        <w:ind w:firstLine="720"/>
        <w:rPr>
          <w:rFonts w:ascii="Palatino Linotype" w:hAnsi="Palatino Linotype"/>
          <w:sz w:val="20"/>
          <w:szCs w:val="20"/>
        </w:rPr>
      </w:pPr>
      <w:r w:rsidRPr="00A9493B">
        <w:rPr>
          <w:rFonts w:ascii="Palatino Linotype" w:hAnsi="Palatino Linotype"/>
          <w:sz w:val="20"/>
          <w:szCs w:val="20"/>
        </w:rPr>
        <w:t xml:space="preserve">. . . . </w:t>
      </w:r>
    </w:p>
    <w:p w14:paraId="6222E136" w14:textId="77777777" w:rsidR="00F278C0" w:rsidRPr="00A9493B" w:rsidRDefault="00F278C0" w:rsidP="00C712EA">
      <w:pPr>
        <w:ind w:firstLine="720"/>
        <w:rPr>
          <w:rStyle w:val="verdana"/>
          <w:rFonts w:ascii="Palatino Linotype" w:hAnsi="Palatino Linotype"/>
          <w:sz w:val="20"/>
          <w:szCs w:val="20"/>
        </w:rPr>
      </w:pPr>
      <w:r w:rsidRPr="00A9493B">
        <w:rPr>
          <w:rStyle w:val="verdana"/>
          <w:rFonts w:ascii="Palatino Linotype" w:hAnsi="Palatino Linotype"/>
          <w:sz w:val="20"/>
          <w:szCs w:val="20"/>
        </w:rPr>
        <w:t>It is common ground tha</w:t>
      </w:r>
      <w:bookmarkStart w:id="0" w:name="clsccl3"/>
      <w:bookmarkEnd w:id="0"/>
      <w:r w:rsidRPr="00A9493B">
        <w:rPr>
          <w:rStyle w:val="verdana"/>
          <w:rFonts w:ascii="Palatino Linotype" w:hAnsi="Palatino Linotype"/>
          <w:sz w:val="20"/>
          <w:szCs w:val="20"/>
        </w:rPr>
        <w:t xml:space="preserve">t the First Amendment does not guarantee the right to </w:t>
      </w:r>
      <w:proofErr w:type="gramStart"/>
      <w:r w:rsidRPr="00A9493B">
        <w:rPr>
          <w:rStyle w:val="verdana"/>
          <w:rFonts w:ascii="Palatino Linotype" w:hAnsi="Palatino Linotype"/>
          <w:sz w:val="20"/>
          <w:szCs w:val="20"/>
        </w:rPr>
        <w:t>communicate one's views at all times</w:t>
      </w:r>
      <w:proofErr w:type="gramEnd"/>
      <w:r w:rsidRPr="00A9493B">
        <w:rPr>
          <w:rStyle w:val="verdana"/>
          <w:rFonts w:ascii="Palatino Linotype" w:hAnsi="Palatino Linotype"/>
          <w:sz w:val="20"/>
          <w:szCs w:val="20"/>
        </w:rPr>
        <w:t xml:space="preserve"> and places or in any manner that may be desired. As the Minnesota Supreme Court recognized, the activities of ISKCON, like those of others protected by the First Amendment, are subject to reasonable time, place, and manner restrictions. "We have often approved</w:t>
      </w:r>
      <w:bookmarkStart w:id="1" w:name="PAGE_648_1100"/>
      <w:bookmarkEnd w:id="1"/>
      <w:r w:rsidRPr="00A9493B">
        <w:rPr>
          <w:rStyle w:val="verdana"/>
          <w:rFonts w:ascii="Palatino Linotype" w:hAnsi="Palatino Linotype"/>
          <w:sz w:val="20"/>
          <w:szCs w:val="20"/>
        </w:rPr>
        <w:t xml:space="preserve"> restrictions of that kind provided that they are justified without reference to the content of the regulated speech, that they serve a significant governmental interest, and that in doing so they leave open ample alternative channels for communication of the information." </w:t>
      </w:r>
      <w:r w:rsidRPr="00A9493B">
        <w:rPr>
          <w:rStyle w:val="verdana"/>
          <w:rFonts w:ascii="Palatino Linotype" w:hAnsi="Palatino Linotype"/>
          <w:i/>
          <w:sz w:val="20"/>
          <w:szCs w:val="20"/>
        </w:rPr>
        <w:t>Virginia Pharmacy Board v. Virginia Citizens Consumer Council</w:t>
      </w:r>
      <w:r w:rsidRPr="00A9493B">
        <w:rPr>
          <w:rStyle w:val="verdana"/>
          <w:rFonts w:ascii="Palatino Linotype" w:hAnsi="Palatino Linotype"/>
          <w:sz w:val="20"/>
          <w:szCs w:val="20"/>
        </w:rPr>
        <w:t xml:space="preserve"> (</w:t>
      </w:r>
      <w:proofErr w:type="gramStart"/>
      <w:r w:rsidRPr="00A9493B">
        <w:rPr>
          <w:rStyle w:val="verdana"/>
          <w:rFonts w:ascii="Palatino Linotype" w:hAnsi="Palatino Linotype"/>
          <w:sz w:val="20"/>
          <w:szCs w:val="20"/>
        </w:rPr>
        <w:t>1976). . .</w:t>
      </w:r>
      <w:proofErr w:type="gramEnd"/>
      <w:r w:rsidRPr="00A9493B">
        <w:rPr>
          <w:rStyle w:val="verdana"/>
          <w:rFonts w:ascii="Palatino Linotype" w:hAnsi="Palatino Linotype"/>
          <w:sz w:val="20"/>
          <w:szCs w:val="20"/>
        </w:rPr>
        <w:t xml:space="preserve"> . </w:t>
      </w:r>
    </w:p>
    <w:p w14:paraId="6F26B44C" w14:textId="77777777" w:rsidR="00F278C0" w:rsidRPr="00A9493B" w:rsidRDefault="00F278C0" w:rsidP="00C712EA">
      <w:pPr>
        <w:ind w:firstLine="720"/>
        <w:rPr>
          <w:rStyle w:val="verdana"/>
          <w:rFonts w:ascii="Palatino Linotype" w:hAnsi="Palatino Linotype"/>
          <w:sz w:val="20"/>
          <w:szCs w:val="20"/>
        </w:rPr>
      </w:pPr>
      <w:r w:rsidRPr="00A9493B">
        <w:rPr>
          <w:rStyle w:val="verdana"/>
          <w:rFonts w:ascii="Palatino Linotype" w:hAnsi="Palatino Linotype"/>
          <w:sz w:val="20"/>
          <w:szCs w:val="20"/>
        </w:rPr>
        <w:t xml:space="preserve">A major criterion for a valid time, place, and manner restriction is that the restriction "may not be based upon either the content or subject matter of speech." [The rule] qualifies in this respect, since . . . [it] applies evenhandedly to all who wish to distribute and sell written materials or to solicit funds.  No </w:t>
      </w:r>
      <w:r w:rsidRPr="00A9493B">
        <w:rPr>
          <w:rStyle w:val="verdana"/>
          <w:rFonts w:ascii="Palatino Linotype" w:hAnsi="Palatino Linotype"/>
          <w:sz w:val="20"/>
          <w:szCs w:val="20"/>
        </w:rPr>
        <w:lastRenderedPageBreak/>
        <w:t>person or organization, whether commercial or charitable, is permitted to engage in such activities except from a booth rented for such purposes.</w:t>
      </w:r>
    </w:p>
    <w:p w14:paraId="3ADFC617" w14:textId="77777777" w:rsidR="00F278C0" w:rsidRPr="00A9493B" w:rsidRDefault="00F278C0" w:rsidP="00C712EA">
      <w:pPr>
        <w:ind w:firstLine="720"/>
        <w:rPr>
          <w:rStyle w:val="verdana"/>
          <w:rFonts w:ascii="Palatino Linotype" w:hAnsi="Palatino Linotype"/>
          <w:sz w:val="20"/>
          <w:szCs w:val="20"/>
        </w:rPr>
      </w:pPr>
      <w:r w:rsidRPr="00A9493B">
        <w:rPr>
          <w:rStyle w:val="verdana"/>
          <w:rFonts w:ascii="Palatino Linotype" w:hAnsi="Palatino Linotype"/>
          <w:sz w:val="20"/>
          <w:szCs w:val="20"/>
        </w:rPr>
        <w:t>. . . .</w:t>
      </w:r>
    </w:p>
    <w:p w14:paraId="35BF2B36" w14:textId="77777777" w:rsidR="00F278C0" w:rsidRPr="00A9493B" w:rsidRDefault="00F278C0" w:rsidP="00C712EA">
      <w:pPr>
        <w:ind w:firstLine="720"/>
        <w:rPr>
          <w:rStyle w:val="verdana"/>
          <w:rFonts w:ascii="Palatino Linotype" w:hAnsi="Palatino Linotype"/>
          <w:sz w:val="20"/>
          <w:szCs w:val="20"/>
        </w:rPr>
      </w:pPr>
      <w:r w:rsidRPr="00A9493B">
        <w:rPr>
          <w:rStyle w:val="verdana"/>
          <w:rFonts w:ascii="Palatino Linotype" w:hAnsi="Palatino Linotype"/>
          <w:sz w:val="20"/>
          <w:szCs w:val="20"/>
        </w:rPr>
        <w:t xml:space="preserve">A valid time, place, and manner regulation must also “serve a significant governmental interest.” Here, the </w:t>
      </w:r>
      <w:proofErr w:type="gramStart"/>
      <w:r w:rsidRPr="00A9493B">
        <w:rPr>
          <w:rStyle w:val="verdana"/>
          <w:rFonts w:ascii="Palatino Linotype" w:hAnsi="Palatino Linotype"/>
          <w:sz w:val="20"/>
          <w:szCs w:val="20"/>
        </w:rPr>
        <w:t>principle</w:t>
      </w:r>
      <w:proofErr w:type="gramEnd"/>
      <w:r w:rsidRPr="00A9493B">
        <w:rPr>
          <w:rStyle w:val="verdana"/>
          <w:rFonts w:ascii="Palatino Linotype" w:hAnsi="Palatino Linotype"/>
          <w:sz w:val="20"/>
          <w:szCs w:val="20"/>
        </w:rPr>
        <w:t xml:space="preserve"> justification asserted by the State . . . is the need to maintain the orderly movement of the crowd given the large number of exhibitors and persons attending the Fair.</w:t>
      </w:r>
    </w:p>
    <w:p w14:paraId="01E97BB5" w14:textId="77777777" w:rsidR="00F278C0" w:rsidRPr="00A9493B" w:rsidRDefault="00F278C0" w:rsidP="00C712EA">
      <w:pPr>
        <w:ind w:firstLine="720"/>
        <w:rPr>
          <w:rStyle w:val="verdana"/>
          <w:rFonts w:ascii="Palatino Linotype" w:hAnsi="Palatino Linotype"/>
          <w:sz w:val="20"/>
          <w:szCs w:val="20"/>
        </w:rPr>
      </w:pPr>
      <w:r w:rsidRPr="00A9493B">
        <w:rPr>
          <w:rStyle w:val="verdana"/>
          <w:rFonts w:ascii="Palatino Linotype" w:hAnsi="Palatino Linotype"/>
          <w:sz w:val="20"/>
          <w:szCs w:val="20"/>
        </w:rPr>
        <w:t xml:space="preserve">. . . . </w:t>
      </w:r>
    </w:p>
    <w:p w14:paraId="753B6DFF" w14:textId="6D62B554" w:rsidR="00F278C0" w:rsidRPr="00A9493B" w:rsidRDefault="00956D90" w:rsidP="00C712EA">
      <w:pPr>
        <w:ind w:firstLine="720"/>
        <w:rPr>
          <w:rStyle w:val="verdana"/>
          <w:rFonts w:ascii="Palatino Linotype" w:hAnsi="Palatino Linotype"/>
          <w:sz w:val="20"/>
          <w:szCs w:val="20"/>
        </w:rPr>
      </w:pPr>
      <w:r>
        <w:rPr>
          <w:rStyle w:val="verdana"/>
          <w:rFonts w:ascii="Palatino Linotype" w:hAnsi="Palatino Linotype"/>
          <w:sz w:val="20"/>
          <w:szCs w:val="20"/>
        </w:rPr>
        <w:t>As a</w:t>
      </w:r>
      <w:r w:rsidR="00F278C0" w:rsidRPr="00A9493B">
        <w:rPr>
          <w:rStyle w:val="verdana"/>
          <w:rFonts w:ascii="Palatino Linotype" w:hAnsi="Palatino Linotype"/>
          <w:sz w:val="20"/>
          <w:szCs w:val="20"/>
        </w:rPr>
        <w:t xml:space="preserve"> general matter, it is clear that</w:t>
      </w:r>
      <w:bookmarkStart w:id="2" w:name="clsccl7"/>
      <w:bookmarkEnd w:id="2"/>
      <w:r w:rsidR="00F278C0" w:rsidRPr="00A9493B">
        <w:rPr>
          <w:rStyle w:val="verdana"/>
          <w:rFonts w:ascii="Palatino Linotype" w:hAnsi="Palatino Linotype"/>
          <w:sz w:val="20"/>
          <w:szCs w:val="20"/>
        </w:rPr>
        <w:t xml:space="preserve"> a State's interest in protecting the "safety and convenience" of persons using a public forum is a valid governmental objective.</w:t>
      </w:r>
      <w:r w:rsidR="003356BB" w:rsidRPr="00A9493B">
        <w:rPr>
          <w:rStyle w:val="verdana"/>
          <w:rFonts w:ascii="Palatino Linotype" w:hAnsi="Palatino Linotype"/>
          <w:sz w:val="20"/>
          <w:szCs w:val="20"/>
        </w:rPr>
        <w:t xml:space="preserve"> Furthermore, consideration of a forum's special attributes is relevant to the constitutionality of a regulation since the significance of the governmental </w:t>
      </w:r>
      <w:bookmarkStart w:id="3" w:name="PAGE_651_1100"/>
      <w:bookmarkEnd w:id="3"/>
      <w:r w:rsidR="003356BB" w:rsidRPr="00A9493B">
        <w:rPr>
          <w:rStyle w:val="verdana"/>
          <w:rFonts w:ascii="Palatino Linotype" w:hAnsi="Palatino Linotype"/>
          <w:sz w:val="20"/>
          <w:szCs w:val="20"/>
        </w:rPr>
        <w:t>interest must be assessed in light of the characteristic nature and function of the particular forum involved</w:t>
      </w:r>
      <w:proofErr w:type="gramStart"/>
      <w:r w:rsidR="003356BB" w:rsidRPr="00A9493B">
        <w:rPr>
          <w:rStyle w:val="verdana"/>
          <w:rFonts w:ascii="Palatino Linotype" w:hAnsi="Palatino Linotype"/>
          <w:sz w:val="20"/>
          <w:szCs w:val="20"/>
        </w:rPr>
        <w:t>. . . .</w:t>
      </w:r>
      <w:proofErr w:type="gramEnd"/>
      <w:r w:rsidR="003356BB" w:rsidRPr="00A9493B">
        <w:rPr>
          <w:rStyle w:val="verdana"/>
          <w:rFonts w:ascii="Palatino Linotype" w:hAnsi="Palatino Linotype"/>
          <w:sz w:val="20"/>
          <w:szCs w:val="20"/>
        </w:rPr>
        <w:t xml:space="preserve"> [I]t is clear that there are significant differences between a street and the fairgrounds. A street is continually open, often uncongested, and constitutes not only a necessary conduit in the daily affairs of a locality's citizens, but also a place where people may enjoy the open air or the company of friends and neighbors in a </w:t>
      </w:r>
      <w:bookmarkStart w:id="4" w:name="PAGE_309_1391"/>
      <w:bookmarkEnd w:id="4"/>
      <w:r w:rsidR="003356BB" w:rsidRPr="00A9493B">
        <w:rPr>
          <w:rStyle w:val="verdana"/>
          <w:rFonts w:ascii="Palatino Linotype" w:hAnsi="Palatino Linotype"/>
          <w:sz w:val="20"/>
          <w:szCs w:val="20"/>
        </w:rPr>
        <w:t>relaxed environment. The Minnesota Fair, as described above, is a temporary event attracting great numbers of visitors who come to the event for a short period to see and experience the host of exhibits and attractions at the Fair. The flow of the crowd and demands of safety are more pressing in the context of the Fair. As such, any comparisons to public streets are necessarily inexact.</w:t>
      </w:r>
    </w:p>
    <w:p w14:paraId="03F7C608" w14:textId="77777777" w:rsidR="003356BB" w:rsidRPr="00A9493B" w:rsidRDefault="003356BB" w:rsidP="00C712EA">
      <w:pPr>
        <w:ind w:firstLine="720"/>
        <w:rPr>
          <w:rStyle w:val="verdana"/>
          <w:rFonts w:ascii="Palatino Linotype" w:hAnsi="Palatino Linotype"/>
          <w:sz w:val="20"/>
          <w:szCs w:val="20"/>
        </w:rPr>
      </w:pPr>
      <w:r w:rsidRPr="00A9493B">
        <w:rPr>
          <w:rStyle w:val="verdana"/>
          <w:rFonts w:ascii="Palatino Linotype" w:hAnsi="Palatino Linotype"/>
          <w:sz w:val="20"/>
          <w:szCs w:val="20"/>
        </w:rPr>
        <w:t>. . . .</w:t>
      </w:r>
    </w:p>
    <w:p w14:paraId="5374C4CC" w14:textId="77777777" w:rsidR="003356BB" w:rsidRPr="00A9493B" w:rsidRDefault="003356BB" w:rsidP="00C712EA">
      <w:pPr>
        <w:ind w:firstLine="720"/>
        <w:rPr>
          <w:rStyle w:val="verdana"/>
          <w:rFonts w:ascii="Palatino Linotype" w:hAnsi="Palatino Linotype"/>
          <w:sz w:val="20"/>
          <w:szCs w:val="20"/>
        </w:rPr>
      </w:pPr>
      <w:r w:rsidRPr="00A9493B">
        <w:rPr>
          <w:rStyle w:val="verdana"/>
          <w:rFonts w:ascii="Palatino Linotype" w:hAnsi="Palatino Linotype"/>
          <w:sz w:val="20"/>
          <w:szCs w:val="20"/>
        </w:rPr>
        <w:t xml:space="preserve">. . . . The justification for the Rule should not be measured by the disorder that would result from granting an exemption solely to ISKCON. That organization and its ritual of </w:t>
      </w:r>
      <w:proofErr w:type="spellStart"/>
      <w:r w:rsidRPr="00A9493B">
        <w:rPr>
          <w:rStyle w:val="verdana"/>
          <w:rFonts w:ascii="Palatino Linotype" w:hAnsi="Palatino Linotype"/>
          <w:sz w:val="20"/>
          <w:szCs w:val="20"/>
        </w:rPr>
        <w:t>Sankirtan</w:t>
      </w:r>
      <w:proofErr w:type="spellEnd"/>
      <w:r w:rsidRPr="00A9493B">
        <w:rPr>
          <w:rStyle w:val="verdana"/>
          <w:rFonts w:ascii="Palatino Linotype" w:hAnsi="Palatino Linotype"/>
          <w:sz w:val="20"/>
          <w:szCs w:val="20"/>
        </w:rPr>
        <w:t xml:space="preserve"> have no special claim to First Amendment protection as compared to that of other religions who also distribute literature and solicit funds</w:t>
      </w:r>
      <w:proofErr w:type="gramStart"/>
      <w:r w:rsidRPr="00A9493B">
        <w:rPr>
          <w:rStyle w:val="verdana"/>
          <w:rFonts w:ascii="Palatino Linotype" w:hAnsi="Palatino Linotype"/>
          <w:sz w:val="20"/>
          <w:szCs w:val="20"/>
        </w:rPr>
        <w:t>. . . .</w:t>
      </w:r>
      <w:proofErr w:type="gramEnd"/>
      <w:r w:rsidRPr="00A9493B">
        <w:rPr>
          <w:rStyle w:val="verdana"/>
          <w:rFonts w:ascii="Palatino Linotype" w:hAnsi="Palatino Linotype"/>
          <w:sz w:val="20"/>
          <w:szCs w:val="20"/>
        </w:rPr>
        <w:t xml:space="preserve"> </w:t>
      </w:r>
    </w:p>
    <w:p w14:paraId="41AEA02C" w14:textId="77777777" w:rsidR="003356BB" w:rsidRPr="00A9493B" w:rsidRDefault="003356BB" w:rsidP="00C712EA">
      <w:pPr>
        <w:ind w:firstLine="720"/>
        <w:rPr>
          <w:rStyle w:val="verdana"/>
          <w:rFonts w:ascii="Palatino Linotype" w:hAnsi="Palatino Linotype"/>
          <w:sz w:val="20"/>
          <w:szCs w:val="20"/>
        </w:rPr>
      </w:pPr>
      <w:r w:rsidRPr="00A9493B">
        <w:rPr>
          <w:rStyle w:val="verdana"/>
          <w:rFonts w:ascii="Palatino Linotype" w:hAnsi="Palatino Linotype"/>
          <w:sz w:val="20"/>
          <w:szCs w:val="20"/>
        </w:rPr>
        <w:t xml:space="preserve">If [the rule] is an invalid restriction </w:t>
      </w:r>
      <w:bookmarkStart w:id="5" w:name="PAGE_310_1391"/>
      <w:bookmarkEnd w:id="5"/>
      <w:r w:rsidRPr="00A9493B">
        <w:rPr>
          <w:rStyle w:val="verdana"/>
          <w:rFonts w:ascii="Palatino Linotype" w:hAnsi="Palatino Linotype"/>
          <w:sz w:val="20"/>
          <w:szCs w:val="20"/>
        </w:rPr>
        <w:t xml:space="preserve">on the activities of ISKCON, it is no more valid with respect to the other social, political, or charitable organizations that have </w:t>
      </w:r>
      <w:bookmarkStart w:id="6" w:name="PAGE_2567_1990"/>
      <w:bookmarkEnd w:id="6"/>
      <w:r w:rsidRPr="00A9493B">
        <w:rPr>
          <w:rStyle w:val="verdana"/>
          <w:rFonts w:ascii="Palatino Linotype" w:hAnsi="Palatino Linotype"/>
          <w:sz w:val="20"/>
          <w:szCs w:val="20"/>
        </w:rPr>
        <w:t>rented booths at the Fair and confined their distribution, sale, and fund solicitation to those locations. Nor would it be valid with respect to other organizations that did not rent booths, either because they were unavailable due to a lack of space or because they chose to avoid the expense involved, but that would in all probability appear in the fairgrounds to distribute, sell, and solicit if they could freely do so. The question would also inevitably arise as to what extent the First Amendment also gives commercial organizations a right to move among the crowd to distribute information about or to sell their wares as respondents claim they may do.</w:t>
      </w:r>
    </w:p>
    <w:p w14:paraId="63439E8F" w14:textId="77777777" w:rsidR="003356BB" w:rsidRPr="00A9493B" w:rsidRDefault="003356BB" w:rsidP="00C712EA">
      <w:pPr>
        <w:ind w:firstLine="720"/>
        <w:rPr>
          <w:rStyle w:val="verdana"/>
          <w:rFonts w:ascii="Palatino Linotype" w:hAnsi="Palatino Linotype"/>
          <w:sz w:val="20"/>
          <w:szCs w:val="20"/>
        </w:rPr>
      </w:pPr>
      <w:r w:rsidRPr="00A9493B">
        <w:rPr>
          <w:rStyle w:val="verdana"/>
          <w:rFonts w:ascii="Palatino Linotype" w:hAnsi="Palatino Linotype"/>
          <w:sz w:val="20"/>
          <w:szCs w:val="20"/>
        </w:rPr>
        <w:t xml:space="preserve">. . . . By focusing on the incidental effect of providing an exemption from [the rule] to ISKCON, the Minnesota Supreme Court did not </w:t>
      </w:r>
      <w:proofErr w:type="gramStart"/>
      <w:r w:rsidRPr="00A9493B">
        <w:rPr>
          <w:rStyle w:val="verdana"/>
          <w:rFonts w:ascii="Palatino Linotype" w:hAnsi="Palatino Linotype"/>
          <w:sz w:val="20"/>
          <w:szCs w:val="20"/>
        </w:rPr>
        <w:t>take into account</w:t>
      </w:r>
      <w:proofErr w:type="gramEnd"/>
      <w:r w:rsidRPr="00A9493B">
        <w:rPr>
          <w:rStyle w:val="verdana"/>
          <w:rFonts w:ascii="Palatino Linotype" w:hAnsi="Palatino Linotype"/>
          <w:sz w:val="20"/>
          <w:szCs w:val="20"/>
        </w:rPr>
        <w:t xml:space="preserve"> the fact that any such exemption cannot be meaningfully limited to ISKCON, and as applied to similarly situated groups would prevent the State from furthering its important concern with managing the flow of the crowd. In our view, the Society may apply its Rule and confine the type of transactions at issue to designated locations without violating the First Amendment.</w:t>
      </w:r>
    </w:p>
    <w:p w14:paraId="3426C757" w14:textId="77777777" w:rsidR="003356BB" w:rsidRPr="00A9493B" w:rsidRDefault="003356BB" w:rsidP="00C712EA">
      <w:pPr>
        <w:ind w:firstLine="720"/>
        <w:rPr>
          <w:rStyle w:val="verdana"/>
          <w:rFonts w:ascii="Palatino Linotype" w:hAnsi="Palatino Linotype"/>
          <w:sz w:val="20"/>
          <w:szCs w:val="20"/>
        </w:rPr>
      </w:pPr>
      <w:r w:rsidRPr="00A9493B">
        <w:rPr>
          <w:rStyle w:val="verdana"/>
          <w:rFonts w:ascii="Palatino Linotype" w:hAnsi="Palatino Linotype"/>
          <w:sz w:val="20"/>
          <w:szCs w:val="20"/>
        </w:rPr>
        <w:t>. . . .</w:t>
      </w:r>
    </w:p>
    <w:p w14:paraId="4EBA23F4" w14:textId="77777777" w:rsidR="003356BB" w:rsidRPr="00A9493B" w:rsidRDefault="00A9493B" w:rsidP="00C712EA">
      <w:pPr>
        <w:ind w:firstLine="720"/>
        <w:rPr>
          <w:rStyle w:val="verdana"/>
          <w:rFonts w:ascii="Palatino Linotype" w:hAnsi="Palatino Linotype"/>
          <w:sz w:val="20"/>
          <w:szCs w:val="20"/>
        </w:rPr>
      </w:pPr>
      <w:r w:rsidRPr="00A9493B">
        <w:rPr>
          <w:rStyle w:val="verdana"/>
          <w:rFonts w:ascii="Palatino Linotype" w:hAnsi="Palatino Linotype"/>
          <w:i/>
          <w:sz w:val="20"/>
          <w:szCs w:val="20"/>
        </w:rPr>
        <w:t>Reversed</w:t>
      </w:r>
      <w:r>
        <w:rPr>
          <w:rStyle w:val="verdana"/>
          <w:rFonts w:ascii="Palatino Linotype" w:hAnsi="Palatino Linotype"/>
          <w:sz w:val="20"/>
          <w:szCs w:val="20"/>
        </w:rPr>
        <w:t>.</w:t>
      </w:r>
    </w:p>
    <w:p w14:paraId="56022F31" w14:textId="77777777" w:rsidR="003356BB" w:rsidRPr="00A9493B" w:rsidRDefault="003356BB" w:rsidP="00C712EA">
      <w:pPr>
        <w:ind w:firstLine="720"/>
        <w:rPr>
          <w:rStyle w:val="verdana"/>
          <w:rFonts w:ascii="Palatino Linotype" w:hAnsi="Palatino Linotype"/>
          <w:sz w:val="20"/>
          <w:szCs w:val="20"/>
        </w:rPr>
      </w:pPr>
    </w:p>
    <w:p w14:paraId="2CD945B1" w14:textId="77777777" w:rsidR="003356BB" w:rsidRPr="00A9493B" w:rsidRDefault="003356BB" w:rsidP="00C712EA">
      <w:pPr>
        <w:ind w:firstLine="720"/>
        <w:rPr>
          <w:rStyle w:val="verdana"/>
          <w:rFonts w:ascii="Palatino Linotype" w:hAnsi="Palatino Linotype"/>
          <w:sz w:val="20"/>
          <w:szCs w:val="20"/>
        </w:rPr>
      </w:pPr>
    </w:p>
    <w:p w14:paraId="26535771" w14:textId="77777777" w:rsidR="003356BB" w:rsidRPr="00A9493B" w:rsidRDefault="003356BB" w:rsidP="003356BB">
      <w:pPr>
        <w:rPr>
          <w:rStyle w:val="verdana"/>
          <w:rFonts w:ascii="Palatino Linotype" w:hAnsi="Palatino Linotype"/>
          <w:sz w:val="20"/>
          <w:szCs w:val="20"/>
        </w:rPr>
      </w:pPr>
      <w:r w:rsidRPr="00A9493B">
        <w:rPr>
          <w:rStyle w:val="verdana"/>
          <w:rFonts w:ascii="Palatino Linotype" w:hAnsi="Palatino Linotype"/>
          <w:sz w:val="20"/>
          <w:szCs w:val="20"/>
        </w:rPr>
        <w:t>JUSTICE BRENNAN, with whom JUSTICE MARSHALL and JUSTICE STEVENS join, concurring in part and dissenting in part.</w:t>
      </w:r>
    </w:p>
    <w:p w14:paraId="664E501B" w14:textId="77777777" w:rsidR="003356BB" w:rsidRPr="00A9493B" w:rsidRDefault="003356BB" w:rsidP="00C712EA">
      <w:pPr>
        <w:ind w:firstLine="720"/>
        <w:rPr>
          <w:rStyle w:val="verdana"/>
          <w:rFonts w:ascii="Palatino Linotype" w:hAnsi="Palatino Linotype"/>
          <w:sz w:val="20"/>
          <w:szCs w:val="20"/>
        </w:rPr>
      </w:pPr>
      <w:r w:rsidRPr="00A9493B">
        <w:rPr>
          <w:rStyle w:val="verdana"/>
          <w:rFonts w:ascii="Palatino Linotype" w:hAnsi="Palatino Linotype"/>
          <w:sz w:val="20"/>
          <w:szCs w:val="20"/>
        </w:rPr>
        <w:t xml:space="preserve"> </w:t>
      </w:r>
    </w:p>
    <w:p w14:paraId="656415A4" w14:textId="77777777" w:rsidR="003356BB" w:rsidRPr="00A9493B" w:rsidRDefault="006D252C" w:rsidP="00C712EA">
      <w:pPr>
        <w:ind w:firstLine="720"/>
        <w:rPr>
          <w:rStyle w:val="verdana"/>
          <w:rFonts w:ascii="Palatino Linotype" w:hAnsi="Palatino Linotype"/>
          <w:sz w:val="20"/>
          <w:szCs w:val="20"/>
        </w:rPr>
      </w:pPr>
      <w:r w:rsidRPr="00A9493B">
        <w:rPr>
          <w:rFonts w:ascii="Palatino Linotype" w:hAnsi="Palatino Linotype"/>
          <w:sz w:val="20"/>
          <w:szCs w:val="20"/>
        </w:rPr>
        <w:t xml:space="preserve">. . . . </w:t>
      </w:r>
      <w:r w:rsidRPr="00A9493B">
        <w:rPr>
          <w:rStyle w:val="verdana"/>
          <w:rFonts w:ascii="Palatino Linotype" w:hAnsi="Palatino Linotype"/>
          <w:sz w:val="20"/>
          <w:szCs w:val="20"/>
        </w:rPr>
        <w:t>[T]he Court fails to recognize that some of the State's restrictions may be reasonable while others may not.</w:t>
      </w:r>
    </w:p>
    <w:p w14:paraId="4B9F1BC1" w14:textId="77777777" w:rsidR="006D252C" w:rsidRPr="00A9493B" w:rsidRDefault="006D252C" w:rsidP="00C712EA">
      <w:pPr>
        <w:ind w:firstLine="720"/>
        <w:rPr>
          <w:rStyle w:val="verdana"/>
          <w:rFonts w:ascii="Palatino Linotype" w:hAnsi="Palatino Linotype"/>
          <w:sz w:val="20"/>
          <w:szCs w:val="20"/>
        </w:rPr>
      </w:pPr>
      <w:r w:rsidRPr="00A9493B">
        <w:rPr>
          <w:rStyle w:val="verdana"/>
          <w:rFonts w:ascii="Palatino Linotype" w:hAnsi="Palatino Linotype"/>
          <w:sz w:val="20"/>
          <w:szCs w:val="20"/>
        </w:rPr>
        <w:t>. . . .</w:t>
      </w:r>
    </w:p>
    <w:p w14:paraId="31F89986" w14:textId="77777777" w:rsidR="006D252C" w:rsidRPr="00A9493B" w:rsidRDefault="006D252C" w:rsidP="006D252C">
      <w:pPr>
        <w:pStyle w:val="loose"/>
        <w:spacing w:before="0" w:beforeAutospacing="0" w:after="0" w:afterAutospacing="0"/>
        <w:ind w:firstLine="720"/>
        <w:rPr>
          <w:rFonts w:ascii="Palatino Linotype" w:hAnsi="Palatino Linotype"/>
          <w:sz w:val="20"/>
          <w:szCs w:val="20"/>
        </w:rPr>
      </w:pPr>
      <w:r w:rsidRPr="00A9493B">
        <w:rPr>
          <w:rStyle w:val="verdana"/>
          <w:rFonts w:ascii="Palatino Linotype" w:hAnsi="Palatino Linotype"/>
          <w:sz w:val="20"/>
          <w:szCs w:val="20"/>
        </w:rPr>
        <w:lastRenderedPageBreak/>
        <w:t xml:space="preserve">I quite agree with the Court that the State has a significant interest in maintaining crowd control on its fairgrounds.  I also have no doubt that the State has a significant interest in protecting its fairgoers from fraudulent or deceptive solicitation practices. </w:t>
      </w:r>
      <w:r w:rsidRPr="00A9493B">
        <w:rPr>
          <w:rFonts w:ascii="Palatino Linotype" w:hAnsi="Palatino Linotype"/>
          <w:sz w:val="20"/>
          <w:szCs w:val="20"/>
        </w:rPr>
        <w:t xml:space="preserve">Indeed, because I believe on this record that this latter interest is substantially furthered by a Rule that restricts sales and solicitation activities to fixed booth locations, where the State will have the greatest opportunity to police and prevent possible deceptive practices, I would hold that [the rule’s] restriction on those </w:t>
      </w:r>
      <w:proofErr w:type="gramStart"/>
      <w:r w:rsidRPr="00A9493B">
        <w:rPr>
          <w:rFonts w:ascii="Palatino Linotype" w:hAnsi="Palatino Linotype"/>
          <w:sz w:val="20"/>
          <w:szCs w:val="20"/>
        </w:rPr>
        <w:t>particular forms</w:t>
      </w:r>
      <w:proofErr w:type="gramEnd"/>
      <w:r w:rsidRPr="00A9493B">
        <w:rPr>
          <w:rFonts w:ascii="Palatino Linotype" w:hAnsi="Palatino Linotype"/>
          <w:sz w:val="20"/>
          <w:szCs w:val="20"/>
        </w:rPr>
        <w:t xml:space="preserve"> of First Amendment expression is justified as an antifraud measure. Accordingly, I join the judgment of the Court insofar as it upholds the restriction on sales and solicitations. However, because I believe </w:t>
      </w:r>
      <w:bookmarkStart w:id="7" w:name="PAGE_313_1391"/>
      <w:bookmarkEnd w:id="7"/>
      <w:r w:rsidRPr="00A9493B">
        <w:rPr>
          <w:rFonts w:ascii="Palatino Linotype" w:hAnsi="Palatino Linotype"/>
          <w:sz w:val="20"/>
          <w:szCs w:val="20"/>
        </w:rPr>
        <w:t>that the booth Rule is an overly intrusive means of achieving the State's interest in crowd control, and because I cannot accept the validity of the State's third asserted justification, I dissent from the Court's approval of the restriction on the distribution of literature.</w:t>
      </w:r>
    </w:p>
    <w:p w14:paraId="29267E6D" w14:textId="77777777" w:rsidR="006D252C" w:rsidRPr="00A9493B" w:rsidRDefault="006D252C" w:rsidP="006D252C">
      <w:pPr>
        <w:pStyle w:val="loose"/>
        <w:spacing w:before="0" w:beforeAutospacing="0" w:after="0" w:afterAutospacing="0"/>
        <w:ind w:firstLine="720"/>
        <w:rPr>
          <w:rStyle w:val="verdana"/>
          <w:rFonts w:ascii="Palatino Linotype" w:hAnsi="Palatino Linotype"/>
          <w:sz w:val="20"/>
          <w:szCs w:val="20"/>
        </w:rPr>
      </w:pPr>
      <w:r w:rsidRPr="00A9493B">
        <w:rPr>
          <w:rFonts w:ascii="Palatino Linotype" w:hAnsi="Palatino Linotype"/>
          <w:sz w:val="20"/>
          <w:szCs w:val="20"/>
        </w:rPr>
        <w:t xml:space="preserve">. . . . </w:t>
      </w:r>
      <w:r w:rsidRPr="00A9493B">
        <w:rPr>
          <w:rStyle w:val="verdana"/>
          <w:rFonts w:ascii="Palatino Linotype" w:hAnsi="Palatino Linotype"/>
          <w:sz w:val="20"/>
          <w:szCs w:val="20"/>
        </w:rPr>
        <w:t>If fairgoers can make speeches, engage in face-to-face proselytizing, and buttonhole prospective supporters, they can surely distribute literature to members of their audience without significantly adding to the State's asserted crowd control problem. The record is devoid of any evidence that the 125-acre fairgrounds could not accommodate peripatetic distributors of literature just as easily as it now accommodates peripatetic speechmakers and proselytizers.</w:t>
      </w:r>
    </w:p>
    <w:p w14:paraId="44CCDFC8" w14:textId="77777777" w:rsidR="006401C5" w:rsidRPr="00A9493B" w:rsidRDefault="006401C5" w:rsidP="006D252C">
      <w:pPr>
        <w:pStyle w:val="loose"/>
        <w:spacing w:before="0" w:beforeAutospacing="0" w:after="0" w:afterAutospacing="0"/>
        <w:ind w:firstLine="720"/>
        <w:rPr>
          <w:rStyle w:val="verdana"/>
          <w:rFonts w:ascii="Palatino Linotype" w:hAnsi="Palatino Linotype"/>
          <w:sz w:val="20"/>
          <w:szCs w:val="20"/>
        </w:rPr>
      </w:pPr>
      <w:r w:rsidRPr="00A9493B">
        <w:rPr>
          <w:rStyle w:val="verdana"/>
          <w:rFonts w:ascii="Palatino Linotype" w:hAnsi="Palatino Linotype"/>
          <w:sz w:val="20"/>
          <w:szCs w:val="20"/>
        </w:rPr>
        <w:t>. . . .</w:t>
      </w:r>
    </w:p>
    <w:p w14:paraId="02B1E0BD" w14:textId="77777777" w:rsidR="006401C5" w:rsidRPr="00A9493B" w:rsidRDefault="006401C5" w:rsidP="006D252C">
      <w:pPr>
        <w:pStyle w:val="loose"/>
        <w:spacing w:before="0" w:beforeAutospacing="0" w:after="0" w:afterAutospacing="0"/>
        <w:ind w:firstLine="720"/>
        <w:rPr>
          <w:rStyle w:val="verdana"/>
          <w:rFonts w:ascii="Palatino Linotype" w:hAnsi="Palatino Linotype"/>
          <w:sz w:val="20"/>
          <w:szCs w:val="20"/>
        </w:rPr>
      </w:pPr>
    </w:p>
    <w:p w14:paraId="7D076768" w14:textId="77777777" w:rsidR="006401C5" w:rsidRPr="00A9493B" w:rsidRDefault="006401C5" w:rsidP="006D252C">
      <w:pPr>
        <w:pStyle w:val="loose"/>
        <w:spacing w:before="0" w:beforeAutospacing="0" w:after="0" w:afterAutospacing="0"/>
        <w:ind w:firstLine="720"/>
        <w:rPr>
          <w:rStyle w:val="verdana"/>
          <w:rFonts w:ascii="Palatino Linotype" w:hAnsi="Palatino Linotype"/>
          <w:sz w:val="20"/>
          <w:szCs w:val="20"/>
        </w:rPr>
      </w:pPr>
    </w:p>
    <w:p w14:paraId="2016FC31" w14:textId="77777777" w:rsidR="006401C5" w:rsidRPr="00A9493B" w:rsidRDefault="006401C5" w:rsidP="006401C5">
      <w:pPr>
        <w:pStyle w:val="loose"/>
        <w:spacing w:before="0" w:beforeAutospacing="0" w:after="0" w:afterAutospacing="0"/>
        <w:rPr>
          <w:rStyle w:val="verdana"/>
          <w:rFonts w:ascii="Palatino Linotype" w:hAnsi="Palatino Linotype"/>
          <w:sz w:val="20"/>
          <w:szCs w:val="20"/>
        </w:rPr>
      </w:pPr>
      <w:r w:rsidRPr="00A9493B">
        <w:rPr>
          <w:rStyle w:val="verdana"/>
          <w:rFonts w:ascii="Palatino Linotype" w:hAnsi="Palatino Linotype"/>
          <w:sz w:val="20"/>
          <w:szCs w:val="20"/>
        </w:rPr>
        <w:t>JUSTICE BLACKMUN, concurring in part and dissenting in part.</w:t>
      </w:r>
    </w:p>
    <w:p w14:paraId="2CD5B480" w14:textId="77777777" w:rsidR="006401C5" w:rsidRPr="00A9493B" w:rsidRDefault="006401C5" w:rsidP="006D252C">
      <w:pPr>
        <w:pStyle w:val="loose"/>
        <w:spacing w:before="0" w:beforeAutospacing="0" w:after="0" w:afterAutospacing="0"/>
        <w:ind w:firstLine="720"/>
        <w:rPr>
          <w:rStyle w:val="verdana"/>
          <w:rFonts w:ascii="Palatino Linotype" w:hAnsi="Palatino Linotype"/>
          <w:sz w:val="20"/>
          <w:szCs w:val="20"/>
        </w:rPr>
      </w:pPr>
    </w:p>
    <w:p w14:paraId="1D7A5E08" w14:textId="77777777" w:rsidR="006401C5" w:rsidRPr="00A9493B" w:rsidRDefault="006401C5" w:rsidP="006D252C">
      <w:pPr>
        <w:pStyle w:val="loose"/>
        <w:spacing w:before="0" w:beforeAutospacing="0" w:after="0" w:afterAutospacing="0"/>
        <w:ind w:firstLine="720"/>
        <w:rPr>
          <w:rFonts w:ascii="Palatino Linotype" w:hAnsi="Palatino Linotype"/>
          <w:sz w:val="20"/>
          <w:szCs w:val="20"/>
        </w:rPr>
      </w:pPr>
      <w:r w:rsidRPr="00A9493B">
        <w:rPr>
          <w:rFonts w:ascii="Palatino Linotype" w:hAnsi="Palatino Linotype"/>
          <w:sz w:val="20"/>
          <w:szCs w:val="20"/>
        </w:rPr>
        <w:t xml:space="preserve">. . . . </w:t>
      </w:r>
    </w:p>
    <w:sectPr w:rsidR="006401C5" w:rsidRPr="00A9493B" w:rsidSect="00F10EF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B6926" w14:textId="77777777" w:rsidR="00384ADE" w:rsidRDefault="00384ADE" w:rsidP="00A9493B">
      <w:r>
        <w:separator/>
      </w:r>
    </w:p>
  </w:endnote>
  <w:endnote w:type="continuationSeparator" w:id="0">
    <w:p w14:paraId="48968A0B" w14:textId="77777777" w:rsidR="00384ADE" w:rsidRDefault="00384ADE" w:rsidP="00A9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3613C" w14:textId="77777777" w:rsidR="00A9493B" w:rsidRDefault="00A9493B">
    <w:pPr>
      <w:pStyle w:val="Footer"/>
      <w:jc w:val="center"/>
    </w:pPr>
    <w:r>
      <w:fldChar w:fldCharType="begin"/>
    </w:r>
    <w:r>
      <w:instrText xml:space="preserve"> PAGE   \* MERGEFORMAT </w:instrText>
    </w:r>
    <w:r>
      <w:fldChar w:fldCharType="separate"/>
    </w:r>
    <w:r>
      <w:rPr>
        <w:noProof/>
      </w:rPr>
      <w:t>1</w:t>
    </w:r>
    <w:r>
      <w:rPr>
        <w:noProof/>
      </w:rPr>
      <w:fldChar w:fldCharType="end"/>
    </w:r>
  </w:p>
  <w:p w14:paraId="0435F58B" w14:textId="77777777" w:rsidR="00A9493B" w:rsidRDefault="00A94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B526B" w14:textId="77777777" w:rsidR="00384ADE" w:rsidRDefault="00384ADE" w:rsidP="00A9493B">
      <w:r>
        <w:separator/>
      </w:r>
    </w:p>
  </w:footnote>
  <w:footnote w:type="continuationSeparator" w:id="0">
    <w:p w14:paraId="0D65EADE" w14:textId="77777777" w:rsidR="00384ADE" w:rsidRDefault="00384ADE" w:rsidP="00A949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2EA"/>
    <w:rsid w:val="00090904"/>
    <w:rsid w:val="00162246"/>
    <w:rsid w:val="00163520"/>
    <w:rsid w:val="00265561"/>
    <w:rsid w:val="003356BB"/>
    <w:rsid w:val="00384ADE"/>
    <w:rsid w:val="0047321A"/>
    <w:rsid w:val="00487573"/>
    <w:rsid w:val="006401C5"/>
    <w:rsid w:val="006D252C"/>
    <w:rsid w:val="007B3439"/>
    <w:rsid w:val="008E7557"/>
    <w:rsid w:val="008F2554"/>
    <w:rsid w:val="00956D90"/>
    <w:rsid w:val="00A11D95"/>
    <w:rsid w:val="00A9493B"/>
    <w:rsid w:val="00B03E04"/>
    <w:rsid w:val="00B5626F"/>
    <w:rsid w:val="00BF5362"/>
    <w:rsid w:val="00C712EA"/>
    <w:rsid w:val="00D15042"/>
    <w:rsid w:val="00D40EE7"/>
    <w:rsid w:val="00DE6D13"/>
    <w:rsid w:val="00EF77B2"/>
    <w:rsid w:val="00F10EF2"/>
    <w:rsid w:val="00F2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B9AA4"/>
  <w15:chartTrackingRefBased/>
  <w15:docId w15:val="{E294148A-35B7-4D9A-A272-7017D74E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F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dana">
    <w:name w:val="verdana"/>
    <w:basedOn w:val="DefaultParagraphFont"/>
    <w:rsid w:val="00F278C0"/>
  </w:style>
  <w:style w:type="character" w:styleId="Hyperlink">
    <w:name w:val="Hyperlink"/>
    <w:basedOn w:val="DefaultParagraphFont"/>
    <w:uiPriority w:val="99"/>
    <w:semiHidden/>
    <w:unhideWhenUsed/>
    <w:rsid w:val="00F278C0"/>
    <w:rPr>
      <w:color w:val="0000FF"/>
      <w:u w:val="single"/>
    </w:rPr>
  </w:style>
  <w:style w:type="paragraph" w:customStyle="1" w:styleId="loose">
    <w:name w:val="loose"/>
    <w:basedOn w:val="Normal"/>
    <w:rsid w:val="006D252C"/>
    <w:pPr>
      <w:spacing w:before="100" w:beforeAutospacing="1" w:after="100" w:afterAutospacing="1"/>
    </w:pPr>
    <w:rPr>
      <w:rFonts w:eastAsia="Times New Roman"/>
      <w:sz w:val="24"/>
      <w:szCs w:val="24"/>
    </w:rPr>
  </w:style>
  <w:style w:type="character" w:customStyle="1" w:styleId="blue">
    <w:name w:val="blue"/>
    <w:basedOn w:val="DefaultParagraphFont"/>
    <w:rsid w:val="006D252C"/>
  </w:style>
  <w:style w:type="paragraph" w:styleId="Header">
    <w:name w:val="header"/>
    <w:basedOn w:val="Normal"/>
    <w:link w:val="HeaderChar"/>
    <w:uiPriority w:val="99"/>
    <w:unhideWhenUsed/>
    <w:rsid w:val="00A9493B"/>
    <w:pPr>
      <w:tabs>
        <w:tab w:val="center" w:pos="4680"/>
        <w:tab w:val="right" w:pos="9360"/>
      </w:tabs>
    </w:pPr>
  </w:style>
  <w:style w:type="character" w:customStyle="1" w:styleId="HeaderChar">
    <w:name w:val="Header Char"/>
    <w:basedOn w:val="DefaultParagraphFont"/>
    <w:link w:val="Header"/>
    <w:uiPriority w:val="99"/>
    <w:rsid w:val="00A9493B"/>
    <w:rPr>
      <w:sz w:val="22"/>
      <w:szCs w:val="22"/>
    </w:rPr>
  </w:style>
  <w:style w:type="paragraph" w:styleId="Footer">
    <w:name w:val="footer"/>
    <w:basedOn w:val="Normal"/>
    <w:link w:val="FooterChar"/>
    <w:uiPriority w:val="99"/>
    <w:unhideWhenUsed/>
    <w:rsid w:val="00A9493B"/>
    <w:pPr>
      <w:tabs>
        <w:tab w:val="center" w:pos="4680"/>
        <w:tab w:val="right" w:pos="9360"/>
      </w:tabs>
    </w:pPr>
  </w:style>
  <w:style w:type="character" w:customStyle="1" w:styleId="FooterChar">
    <w:name w:val="Footer Char"/>
    <w:basedOn w:val="DefaultParagraphFont"/>
    <w:link w:val="Footer"/>
    <w:uiPriority w:val="99"/>
    <w:rsid w:val="00A9493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391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kewhitt</dc:creator>
  <cp:keywords/>
  <cp:lastModifiedBy>Graber, Mark</cp:lastModifiedBy>
  <cp:revision>2</cp:revision>
  <dcterms:created xsi:type="dcterms:W3CDTF">2020-12-21T19:56:00Z</dcterms:created>
  <dcterms:modified xsi:type="dcterms:W3CDTF">2020-12-21T19:56:00Z</dcterms:modified>
</cp:coreProperties>
</file>