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057219" w14:textId="77777777" w:rsidR="002604D2" w:rsidRPr="002604D2" w:rsidRDefault="002604D2" w:rsidP="002604D2">
      <w:pPr>
        <w:jc w:val="center"/>
        <w:rPr>
          <w:rFonts w:ascii="Palatino Linotype" w:hAnsi="Palatino Linotype"/>
          <w:sz w:val="20"/>
          <w:szCs w:val="20"/>
        </w:rPr>
      </w:pPr>
      <w:r w:rsidRPr="002604D2">
        <w:rPr>
          <w:rFonts w:ascii="Palatino Linotype" w:hAnsi="Palatino Linotype"/>
          <w:sz w:val="20"/>
          <w:szCs w:val="20"/>
        </w:rPr>
        <w:t>AMERICAN CONSTITUTIONALISM</w:t>
      </w:r>
    </w:p>
    <w:p w14:paraId="6CF72709" w14:textId="77777777" w:rsidR="002604D2" w:rsidRPr="002604D2" w:rsidRDefault="002604D2" w:rsidP="002604D2">
      <w:pPr>
        <w:jc w:val="center"/>
        <w:rPr>
          <w:rFonts w:ascii="Palatino Linotype" w:hAnsi="Palatino Linotype"/>
          <w:sz w:val="20"/>
          <w:szCs w:val="20"/>
        </w:rPr>
      </w:pPr>
      <w:r w:rsidRPr="002604D2">
        <w:rPr>
          <w:rFonts w:ascii="Palatino Linotype" w:hAnsi="Palatino Linotype"/>
          <w:sz w:val="20"/>
          <w:szCs w:val="20"/>
        </w:rPr>
        <w:t>VOLUME II: RIGHTS AND LIBERTIES</w:t>
      </w:r>
    </w:p>
    <w:p w14:paraId="60A16B25" w14:textId="77777777" w:rsidR="002604D2" w:rsidRPr="002604D2" w:rsidRDefault="002604D2" w:rsidP="002604D2">
      <w:pPr>
        <w:jc w:val="center"/>
        <w:rPr>
          <w:rFonts w:ascii="Palatino Linotype" w:hAnsi="Palatino Linotype"/>
          <w:sz w:val="20"/>
          <w:szCs w:val="20"/>
        </w:rPr>
      </w:pPr>
      <w:r w:rsidRPr="002604D2">
        <w:rPr>
          <w:rFonts w:ascii="Palatino Linotype" w:hAnsi="Palatino Linotype"/>
          <w:sz w:val="20"/>
          <w:szCs w:val="20"/>
        </w:rPr>
        <w:t>Howard Gillman • Mark A. Graber • Keith E. Whittington</w:t>
      </w:r>
    </w:p>
    <w:p w14:paraId="2B98536B" w14:textId="77777777" w:rsidR="002604D2" w:rsidRPr="002604D2" w:rsidRDefault="002604D2" w:rsidP="002604D2">
      <w:pPr>
        <w:jc w:val="center"/>
        <w:rPr>
          <w:rFonts w:ascii="Palatino Linotype" w:hAnsi="Palatino Linotype"/>
          <w:sz w:val="20"/>
          <w:szCs w:val="20"/>
        </w:rPr>
      </w:pPr>
    </w:p>
    <w:p w14:paraId="0DC4F5B5" w14:textId="77777777" w:rsidR="002604D2" w:rsidRPr="002604D2" w:rsidRDefault="002604D2" w:rsidP="002604D2">
      <w:pPr>
        <w:jc w:val="center"/>
        <w:rPr>
          <w:rFonts w:ascii="Palatino Linotype" w:hAnsi="Palatino Linotype"/>
          <w:sz w:val="20"/>
          <w:szCs w:val="20"/>
        </w:rPr>
      </w:pPr>
      <w:r w:rsidRPr="002604D2">
        <w:rPr>
          <w:rFonts w:ascii="Palatino Linotype" w:hAnsi="Palatino Linotype"/>
          <w:sz w:val="20"/>
          <w:szCs w:val="20"/>
        </w:rPr>
        <w:t>Supplementary Material</w:t>
      </w:r>
    </w:p>
    <w:p w14:paraId="5812DF51" w14:textId="77777777" w:rsidR="002604D2" w:rsidRPr="002604D2" w:rsidRDefault="002604D2" w:rsidP="002604D2">
      <w:pPr>
        <w:jc w:val="center"/>
        <w:rPr>
          <w:rFonts w:ascii="Palatino Linotype" w:hAnsi="Palatino Linotype"/>
          <w:sz w:val="20"/>
          <w:szCs w:val="20"/>
        </w:rPr>
      </w:pPr>
    </w:p>
    <w:p w14:paraId="670E19F7" w14:textId="77777777" w:rsidR="002604D2" w:rsidRPr="002604D2" w:rsidRDefault="002604D2" w:rsidP="002604D2">
      <w:pPr>
        <w:jc w:val="center"/>
        <w:rPr>
          <w:rFonts w:ascii="Palatino Linotype" w:hAnsi="Palatino Linotype"/>
          <w:sz w:val="20"/>
          <w:szCs w:val="20"/>
        </w:rPr>
      </w:pPr>
      <w:r w:rsidRPr="002604D2">
        <w:rPr>
          <w:rFonts w:ascii="Palatino Linotype" w:hAnsi="Palatino Linotype"/>
          <w:sz w:val="20"/>
          <w:szCs w:val="20"/>
        </w:rPr>
        <w:t>Chapter 9: Liberalism Divided—Democratic Rights/Free Speech/Public Property, Subsidies, Employees, and Schools</w:t>
      </w:r>
    </w:p>
    <w:p w14:paraId="2306F605" w14:textId="77777777" w:rsidR="002604D2" w:rsidRPr="002604D2" w:rsidRDefault="002604D2" w:rsidP="002604D2">
      <w:pPr>
        <w:jc w:val="both"/>
        <w:rPr>
          <w:rFonts w:ascii="Palatino Linotype" w:hAnsi="Palatino Linotype"/>
          <w:sz w:val="20"/>
          <w:szCs w:val="20"/>
        </w:rPr>
      </w:pPr>
    </w:p>
    <w:p w14:paraId="5D18D6C3" w14:textId="77777777" w:rsidR="002604D2" w:rsidRPr="002604D2" w:rsidRDefault="00627DC4" w:rsidP="002604D2">
      <w:pPr>
        <w:rPr>
          <w:rFonts w:ascii="Palatino Linotype" w:hAnsi="Palatino Linotype"/>
          <w:sz w:val="20"/>
          <w:szCs w:val="20"/>
        </w:rPr>
      </w:pPr>
      <w:r>
        <w:rPr>
          <w:rFonts w:ascii="Palatino Linotype" w:hAnsi="Palatino Linotype"/>
          <w:sz w:val="20"/>
          <w:szCs w:val="20"/>
        </w:rPr>
        <w:pict w14:anchorId="5C9ADF83">
          <v:rect id="_x0000_i1025" style="width:468pt;height:1.5pt" o:hralign="center" o:hrstd="t" o:hrnoshade="t" o:hr="t" fillcolor="black" stroked="f"/>
        </w:pict>
      </w:r>
    </w:p>
    <w:p w14:paraId="1CF3D27B" w14:textId="77777777" w:rsidR="002604D2" w:rsidRPr="002604D2" w:rsidRDefault="002604D2" w:rsidP="002604D2">
      <w:pPr>
        <w:jc w:val="center"/>
        <w:rPr>
          <w:rFonts w:ascii="Palatino Linotype" w:hAnsi="Palatino Linotype"/>
          <w:sz w:val="20"/>
          <w:szCs w:val="20"/>
        </w:rPr>
      </w:pPr>
      <w:r w:rsidRPr="002604D2">
        <w:rPr>
          <w:rFonts w:ascii="Palatino Linotype" w:hAnsi="Palatino Linotype"/>
          <w:b/>
          <w:sz w:val="20"/>
          <w:szCs w:val="20"/>
        </w:rPr>
        <w:t>PruneYard Shopping Center v. Robins, 447 U.S. 74</w:t>
      </w:r>
      <w:r w:rsidRPr="002604D2">
        <w:rPr>
          <w:rFonts w:ascii="Palatino Linotype" w:hAnsi="Palatino Linotype"/>
          <w:sz w:val="20"/>
          <w:szCs w:val="20"/>
        </w:rPr>
        <w:t xml:space="preserve"> (1980)</w:t>
      </w:r>
    </w:p>
    <w:p w14:paraId="50DE71C7" w14:textId="77777777" w:rsidR="002604D2" w:rsidRPr="002604D2" w:rsidRDefault="00627DC4" w:rsidP="002604D2">
      <w:pPr>
        <w:rPr>
          <w:rFonts w:ascii="Palatino Linotype" w:hAnsi="Palatino Linotype"/>
          <w:sz w:val="20"/>
          <w:szCs w:val="20"/>
        </w:rPr>
      </w:pPr>
      <w:r>
        <w:rPr>
          <w:rFonts w:ascii="Palatino Linotype" w:hAnsi="Palatino Linotype"/>
          <w:sz w:val="20"/>
          <w:szCs w:val="20"/>
        </w:rPr>
        <w:pict w14:anchorId="3C7D87B8">
          <v:rect id="_x0000_i1026" style="width:468pt;height:1.5pt" o:hralign="center" o:hrstd="t" o:hrnoshade="t" o:hr="t" fillcolor="black" stroked="f"/>
        </w:pict>
      </w:r>
    </w:p>
    <w:p w14:paraId="00BFC8DF" w14:textId="77777777" w:rsidR="00EA2892" w:rsidRPr="002604D2" w:rsidRDefault="00EA2892">
      <w:pPr>
        <w:rPr>
          <w:rFonts w:ascii="Palatino Linotype" w:hAnsi="Palatino Linotype"/>
          <w:sz w:val="20"/>
          <w:szCs w:val="20"/>
        </w:rPr>
      </w:pPr>
    </w:p>
    <w:p w14:paraId="5889C3DD" w14:textId="77777777" w:rsidR="00EA2892" w:rsidRPr="002604D2" w:rsidRDefault="00531EAB" w:rsidP="00EA2892">
      <w:pPr>
        <w:ind w:firstLine="720"/>
        <w:rPr>
          <w:rFonts w:ascii="Palatino Linotype" w:hAnsi="Palatino Linotype"/>
          <w:i/>
          <w:sz w:val="20"/>
          <w:szCs w:val="20"/>
        </w:rPr>
      </w:pPr>
      <w:r w:rsidRPr="002604D2">
        <w:rPr>
          <w:rFonts w:ascii="Palatino Linotype" w:hAnsi="Palatino Linotype"/>
          <w:i/>
          <w:sz w:val="20"/>
          <w:szCs w:val="20"/>
        </w:rPr>
        <w:t xml:space="preserve">PruneYard Shopping Center </w:t>
      </w:r>
      <w:r w:rsidR="00841A68" w:rsidRPr="002604D2">
        <w:rPr>
          <w:rFonts w:ascii="Palatino Linotype" w:hAnsi="Palatino Linotype"/>
          <w:i/>
          <w:sz w:val="20"/>
          <w:szCs w:val="20"/>
        </w:rPr>
        <w:t>is</w:t>
      </w:r>
      <w:r w:rsidRPr="002604D2">
        <w:rPr>
          <w:rFonts w:ascii="Palatino Linotype" w:hAnsi="Palatino Linotype"/>
          <w:i/>
          <w:sz w:val="20"/>
          <w:szCs w:val="20"/>
        </w:rPr>
        <w:t xml:space="preserve"> a large</w:t>
      </w:r>
      <w:r w:rsidR="00841A68" w:rsidRPr="002604D2">
        <w:rPr>
          <w:rFonts w:ascii="Palatino Linotype" w:hAnsi="Palatino Linotype"/>
          <w:i/>
          <w:sz w:val="20"/>
          <w:szCs w:val="20"/>
        </w:rPr>
        <w:t>, open-air</w:t>
      </w:r>
      <w:r w:rsidRPr="002604D2">
        <w:rPr>
          <w:rFonts w:ascii="Palatino Linotype" w:hAnsi="Palatino Linotype"/>
          <w:i/>
          <w:sz w:val="20"/>
          <w:szCs w:val="20"/>
        </w:rPr>
        <w:t xml:space="preserve"> commercial shopping center in </w:t>
      </w:r>
      <w:r w:rsidR="00841A68" w:rsidRPr="002604D2">
        <w:rPr>
          <w:rFonts w:ascii="Palatino Linotype" w:hAnsi="Palatino Linotype"/>
          <w:i/>
          <w:sz w:val="20"/>
          <w:szCs w:val="20"/>
        </w:rPr>
        <w:t>Santa Clara county, California.   A group of high school students went to the shopping center seeking to collect signatures on a petition against a United Nations resolution on Zionism.  PruneYard maintained a policy against any expressive activity on the premises and asked the students to leave</w:t>
      </w:r>
      <w:r w:rsidR="002E7D9E" w:rsidRPr="002604D2">
        <w:rPr>
          <w:rFonts w:ascii="Palatino Linotype" w:hAnsi="Palatino Linotype"/>
          <w:i/>
          <w:sz w:val="20"/>
          <w:szCs w:val="20"/>
        </w:rPr>
        <w:t>, suggesting that they set up on the public sidewalk outside the shopping center instead</w:t>
      </w:r>
      <w:r w:rsidR="00841A68" w:rsidRPr="002604D2">
        <w:rPr>
          <w:rFonts w:ascii="Palatino Linotype" w:hAnsi="Palatino Linotype"/>
          <w:i/>
          <w:sz w:val="20"/>
          <w:szCs w:val="20"/>
        </w:rPr>
        <w:t>.  They subsequently filed suit</w:t>
      </w:r>
      <w:r w:rsidR="003C5699" w:rsidRPr="002604D2">
        <w:rPr>
          <w:rFonts w:ascii="Palatino Linotype" w:hAnsi="Palatino Linotype"/>
          <w:i/>
          <w:sz w:val="20"/>
          <w:szCs w:val="20"/>
        </w:rPr>
        <w:t xml:space="preserve"> in state court</w:t>
      </w:r>
      <w:r w:rsidR="00841A68" w:rsidRPr="002604D2">
        <w:rPr>
          <w:rFonts w:ascii="Palatino Linotype" w:hAnsi="Palatino Linotype"/>
          <w:i/>
          <w:sz w:val="20"/>
          <w:szCs w:val="20"/>
        </w:rPr>
        <w:t xml:space="preserve"> </w:t>
      </w:r>
      <w:r w:rsidR="003C5699" w:rsidRPr="002604D2">
        <w:rPr>
          <w:rFonts w:ascii="Palatino Linotype" w:hAnsi="Palatino Linotype"/>
          <w:i/>
          <w:sz w:val="20"/>
          <w:szCs w:val="20"/>
        </w:rPr>
        <w:t>to enjoin PruneYard from enforcing the policy in the future.  They lost in trial court, but the California Supreme Court reversed, holding that the California state constitution required the shopping center to accommodate the students in order to realize their right to speech and petition.  The owner of the shopping center appealed to the U.S. Supreme Court, arguing that their property rights had been violated by the California court decision.</w:t>
      </w:r>
    </w:p>
    <w:p w14:paraId="382BDF9C" w14:textId="77777777" w:rsidR="003C5699" w:rsidRPr="002604D2" w:rsidRDefault="003C5699" w:rsidP="00EA2892">
      <w:pPr>
        <w:ind w:firstLine="720"/>
        <w:rPr>
          <w:rFonts w:ascii="Palatino Linotype" w:hAnsi="Palatino Linotype"/>
          <w:sz w:val="20"/>
          <w:szCs w:val="20"/>
        </w:rPr>
      </w:pPr>
      <w:r w:rsidRPr="002604D2">
        <w:rPr>
          <w:rFonts w:ascii="Palatino Linotype" w:hAnsi="Palatino Linotype"/>
          <w:i/>
          <w:sz w:val="20"/>
          <w:szCs w:val="20"/>
        </w:rPr>
        <w:t>In a unanimous decision authored by Justice William Rehnquist, the U.S. Supreme Court affirmed the ruling of the California Supreme Court.  Although the federal First Amendment did not require the shopping center to serve as a forum for public expression, the California requirement did not violate either the property rights or the speech rights of the shopping center owners.</w:t>
      </w:r>
      <w:r w:rsidR="00531011" w:rsidRPr="002604D2">
        <w:rPr>
          <w:rFonts w:ascii="Palatino Linotype" w:hAnsi="Palatino Linotype"/>
          <w:i/>
          <w:sz w:val="20"/>
          <w:szCs w:val="20"/>
        </w:rPr>
        <w:t xml:space="preserve">  Why might Justice Rehnquist support this restriction on property rights by the California court?  How limited is this right of access recognized in this case?</w:t>
      </w:r>
    </w:p>
    <w:p w14:paraId="062E3F50" w14:textId="77777777" w:rsidR="00EA2892" w:rsidRPr="002604D2" w:rsidRDefault="00EA2892">
      <w:pPr>
        <w:rPr>
          <w:rFonts w:ascii="Palatino Linotype" w:hAnsi="Palatino Linotype"/>
          <w:sz w:val="20"/>
          <w:szCs w:val="20"/>
        </w:rPr>
      </w:pPr>
    </w:p>
    <w:p w14:paraId="373F9929" w14:textId="77777777" w:rsidR="00EA2892" w:rsidRPr="002604D2" w:rsidRDefault="00EA2892">
      <w:pPr>
        <w:rPr>
          <w:rFonts w:ascii="Palatino Linotype" w:hAnsi="Palatino Linotype"/>
          <w:sz w:val="20"/>
          <w:szCs w:val="20"/>
        </w:rPr>
      </w:pPr>
      <w:r w:rsidRPr="002604D2">
        <w:rPr>
          <w:rFonts w:ascii="Palatino Linotype" w:hAnsi="Palatino Linotype"/>
          <w:sz w:val="20"/>
          <w:szCs w:val="20"/>
        </w:rPr>
        <w:t>JUSTICE REHNQUIST delivered the opinion of the Court.</w:t>
      </w:r>
    </w:p>
    <w:p w14:paraId="1DE37D1C" w14:textId="77777777" w:rsidR="00EA2892" w:rsidRPr="002604D2" w:rsidRDefault="00EA2892">
      <w:pPr>
        <w:rPr>
          <w:rFonts w:ascii="Palatino Linotype" w:hAnsi="Palatino Linotype"/>
          <w:sz w:val="20"/>
          <w:szCs w:val="20"/>
        </w:rPr>
      </w:pPr>
    </w:p>
    <w:p w14:paraId="3B434C07" w14:textId="77777777" w:rsidR="00EA2892" w:rsidRPr="002604D2" w:rsidRDefault="00EA2892" w:rsidP="00EA2892">
      <w:pPr>
        <w:ind w:firstLine="720"/>
        <w:rPr>
          <w:rFonts w:ascii="Palatino Linotype" w:hAnsi="Palatino Linotype"/>
          <w:sz w:val="20"/>
          <w:szCs w:val="20"/>
        </w:rPr>
      </w:pPr>
      <w:r w:rsidRPr="002604D2">
        <w:rPr>
          <w:rFonts w:ascii="Palatino Linotype" w:hAnsi="Palatino Linotype"/>
          <w:sz w:val="20"/>
          <w:szCs w:val="20"/>
        </w:rPr>
        <w:t>. . . .</w:t>
      </w:r>
    </w:p>
    <w:p w14:paraId="1FC86C81" w14:textId="77777777" w:rsidR="00EA2892" w:rsidRPr="002604D2" w:rsidRDefault="0016551E" w:rsidP="00EA2892">
      <w:pPr>
        <w:ind w:firstLine="720"/>
        <w:rPr>
          <w:rFonts w:ascii="Palatino Linotype" w:hAnsi="Palatino Linotype"/>
          <w:sz w:val="20"/>
          <w:szCs w:val="20"/>
        </w:rPr>
      </w:pPr>
      <w:r w:rsidRPr="002604D2">
        <w:rPr>
          <w:rFonts w:ascii="Palatino Linotype" w:hAnsi="Palatino Linotype"/>
          <w:sz w:val="20"/>
          <w:szCs w:val="20"/>
        </w:rPr>
        <w:t xml:space="preserve">. . . . It is well established that a State in the exercise of its police power may adopt reasonable restrictions on private property so long as the restrictions do not amount to a taking without just compensation or contravene any other federal constitutional provision. . . . </w:t>
      </w:r>
      <w:r w:rsidRPr="002604D2">
        <w:rPr>
          <w:rFonts w:ascii="Palatino Linotype" w:hAnsi="Palatino Linotype"/>
          <w:i/>
          <w:sz w:val="20"/>
          <w:szCs w:val="20"/>
        </w:rPr>
        <w:t>Lloyd Corp. v. Tanner</w:t>
      </w:r>
      <w:r w:rsidRPr="002604D2">
        <w:rPr>
          <w:rFonts w:ascii="Palatino Linotype" w:hAnsi="Palatino Linotype"/>
          <w:sz w:val="20"/>
          <w:szCs w:val="20"/>
        </w:rPr>
        <w:t xml:space="preserve"> (1972) held that when a shopping center owner opens his private property to the public for the purpose of shopping, the First Amendment to the United States Constitution does not thereby create individual rights in expression beyond those already existing under applicable law.</w:t>
      </w:r>
    </w:p>
    <w:p w14:paraId="66F76109" w14:textId="77777777" w:rsidR="0016551E" w:rsidRPr="002604D2" w:rsidRDefault="0016551E" w:rsidP="00EA2892">
      <w:pPr>
        <w:ind w:firstLine="720"/>
        <w:rPr>
          <w:rFonts w:ascii="Palatino Linotype" w:hAnsi="Palatino Linotype"/>
          <w:sz w:val="20"/>
          <w:szCs w:val="20"/>
        </w:rPr>
      </w:pPr>
      <w:r w:rsidRPr="002604D2">
        <w:rPr>
          <w:rFonts w:ascii="Palatino Linotype" w:hAnsi="Palatino Linotype"/>
          <w:sz w:val="20"/>
          <w:szCs w:val="20"/>
        </w:rPr>
        <w:t>Appellants next contend that the right to exclude others underlies the Fifth Amendment guarantee against the taking of property without just compensation and the Fourteenth Amendment guarantee against the deprivation of property without due process of law.</w:t>
      </w:r>
    </w:p>
    <w:p w14:paraId="3B527DBF" w14:textId="77777777" w:rsidR="0016551E" w:rsidRPr="002604D2" w:rsidRDefault="0016551E" w:rsidP="00EA2892">
      <w:pPr>
        <w:ind w:firstLine="720"/>
        <w:rPr>
          <w:rFonts w:ascii="Palatino Linotype" w:hAnsi="Palatino Linotype"/>
          <w:sz w:val="20"/>
          <w:szCs w:val="20"/>
        </w:rPr>
      </w:pPr>
      <w:r w:rsidRPr="002604D2">
        <w:rPr>
          <w:rFonts w:ascii="Palatino Linotype" w:hAnsi="Palatino Linotype"/>
          <w:sz w:val="20"/>
          <w:szCs w:val="20"/>
        </w:rPr>
        <w:t xml:space="preserve">It is true that one of the essential sticks in the bundle of property rights is the right to exclude others. </w:t>
      </w:r>
      <w:r w:rsidR="007D4144" w:rsidRPr="002604D2">
        <w:rPr>
          <w:rFonts w:ascii="Palatino Linotype" w:hAnsi="Palatino Linotype"/>
          <w:sz w:val="20"/>
          <w:szCs w:val="20"/>
        </w:rPr>
        <w:t xml:space="preserve">And here there has literally been a “taking” of that right to the extent that the California Supreme Court has interpreted the State Constitution to entitle its citizens to exercise free expression and petition rights on shopping center property. But it is well established that “not every destruction or injury to property by governmental action has been held to be a ‘taking’ in the constitutional sense.”  Rather, the determination whether a state law unlawfully infringes a landowner’s property in violation of the Takings Clause requires an examination of whether the restriction on private property “[forces] some </w:t>
      </w:r>
      <w:r w:rsidR="007D4144" w:rsidRPr="002604D2">
        <w:rPr>
          <w:rFonts w:ascii="Palatino Linotype" w:hAnsi="Palatino Linotype"/>
          <w:sz w:val="20"/>
          <w:szCs w:val="20"/>
        </w:rPr>
        <w:lastRenderedPageBreak/>
        <w:t xml:space="preserve">people alone to bear public burdens which, in all fairness and justice, should be borne by the public as a whole.” </w:t>
      </w:r>
      <w:r w:rsidR="007D4144" w:rsidRPr="002604D2">
        <w:rPr>
          <w:rFonts w:ascii="Palatino Linotype" w:hAnsi="Palatino Linotype"/>
          <w:i/>
          <w:sz w:val="20"/>
          <w:szCs w:val="20"/>
        </w:rPr>
        <w:t>Armstrong v. United States</w:t>
      </w:r>
      <w:r w:rsidR="007D4144" w:rsidRPr="002604D2">
        <w:rPr>
          <w:rFonts w:ascii="Palatino Linotype" w:hAnsi="Palatino Linotype"/>
          <w:sz w:val="20"/>
          <w:szCs w:val="20"/>
        </w:rPr>
        <w:t xml:space="preserve"> (1960). . . . </w:t>
      </w:r>
    </w:p>
    <w:p w14:paraId="66AEDC4E" w14:textId="77777777" w:rsidR="007D4144" w:rsidRPr="002604D2" w:rsidRDefault="007D4144" w:rsidP="00EA2892">
      <w:pPr>
        <w:ind w:firstLine="720"/>
        <w:rPr>
          <w:rFonts w:ascii="Palatino Linotype" w:hAnsi="Palatino Linotype"/>
          <w:sz w:val="20"/>
          <w:szCs w:val="20"/>
        </w:rPr>
      </w:pPr>
      <w:r w:rsidRPr="002604D2">
        <w:rPr>
          <w:rFonts w:ascii="Palatino Linotype" w:hAnsi="Palatino Linotype"/>
          <w:sz w:val="20"/>
          <w:szCs w:val="20"/>
        </w:rPr>
        <w:t xml:space="preserve">Here the requirement that appellants permit appellees to exercise state-protected rights of free expression and petition on shopping center property clearly does not amount to an unconstitutional infringement of appellants’ property rights under the Takings Clause. </w:t>
      </w:r>
      <w:r w:rsidR="0067345E" w:rsidRPr="002604D2">
        <w:rPr>
          <w:rFonts w:ascii="Palatino Linotype" w:hAnsi="Palatino Linotype"/>
          <w:sz w:val="20"/>
          <w:szCs w:val="20"/>
        </w:rPr>
        <w:t>There is nothing to suggest that preventing appellants from prohibiting this sort of activity will unreasonably impair the value or use of their property as a shopping center. . . . The decision of the California Supreme Court makes it clear that the PruneYard may restrict expressive activity by adopting time, place, and manner regulations that will minimize any interference with its commercial functions.  Appellees were orderly, and they limited their activity to the common areas of the shopping center. In these circumstances, the fact that they may “physically invaded” appellants’ property cannot be viewed as determinative.</w:t>
      </w:r>
    </w:p>
    <w:p w14:paraId="5D4686F5" w14:textId="77777777" w:rsidR="0067345E" w:rsidRPr="002604D2" w:rsidRDefault="0067345E" w:rsidP="00EA2892">
      <w:pPr>
        <w:ind w:firstLine="720"/>
        <w:rPr>
          <w:rFonts w:ascii="Palatino Linotype" w:hAnsi="Palatino Linotype"/>
          <w:sz w:val="20"/>
          <w:szCs w:val="20"/>
        </w:rPr>
      </w:pPr>
      <w:r w:rsidRPr="002604D2">
        <w:rPr>
          <w:rFonts w:ascii="Palatino Linotype" w:hAnsi="Palatino Linotype"/>
          <w:sz w:val="20"/>
          <w:szCs w:val="20"/>
        </w:rPr>
        <w:t>. . . .</w:t>
      </w:r>
    </w:p>
    <w:p w14:paraId="75B4510C" w14:textId="77777777" w:rsidR="00531011" w:rsidRPr="002604D2" w:rsidRDefault="00531011" w:rsidP="00EA2892">
      <w:pPr>
        <w:ind w:firstLine="720"/>
        <w:rPr>
          <w:rFonts w:ascii="Palatino Linotype" w:hAnsi="Palatino Linotype"/>
          <w:sz w:val="20"/>
          <w:szCs w:val="20"/>
        </w:rPr>
      </w:pPr>
      <w:r w:rsidRPr="002604D2">
        <w:rPr>
          <w:rFonts w:ascii="Palatino Linotype" w:hAnsi="Palatino Linotype"/>
          <w:sz w:val="20"/>
          <w:szCs w:val="20"/>
        </w:rPr>
        <w:t xml:space="preserve">There is also little merit to appellants’ argument that they have been denied their property without due process of law. In </w:t>
      </w:r>
      <w:r w:rsidRPr="002604D2">
        <w:rPr>
          <w:rFonts w:ascii="Palatino Linotype" w:hAnsi="Palatino Linotype"/>
          <w:i/>
          <w:sz w:val="20"/>
          <w:szCs w:val="20"/>
        </w:rPr>
        <w:t>Nebbia v. New York</w:t>
      </w:r>
      <w:r w:rsidRPr="002604D2">
        <w:rPr>
          <w:rFonts w:ascii="Palatino Linotype" w:hAnsi="Palatino Linotype"/>
          <w:sz w:val="20"/>
          <w:szCs w:val="20"/>
        </w:rPr>
        <w:t xml:space="preserve"> (1934), this Court stated:</w:t>
      </w:r>
    </w:p>
    <w:p w14:paraId="219636B7" w14:textId="77777777" w:rsidR="00531011" w:rsidRPr="002604D2" w:rsidRDefault="00531011" w:rsidP="00EA2892">
      <w:pPr>
        <w:ind w:firstLine="720"/>
        <w:rPr>
          <w:rFonts w:ascii="Palatino Linotype" w:hAnsi="Palatino Linotype"/>
          <w:sz w:val="20"/>
          <w:szCs w:val="20"/>
        </w:rPr>
      </w:pPr>
      <w:r w:rsidRPr="002604D2">
        <w:rPr>
          <w:rFonts w:ascii="Palatino Linotype" w:hAnsi="Palatino Linotype"/>
          <w:sz w:val="20"/>
          <w:szCs w:val="20"/>
        </w:rPr>
        <w:t>“[Neither] property rights nor contract rights are absolute . . . . Equally fundamental with the private right is that of the public to regulate it in the common interest . . .”</w:t>
      </w:r>
    </w:p>
    <w:p w14:paraId="1ABDDFFA" w14:textId="77777777" w:rsidR="00531011" w:rsidRPr="002604D2" w:rsidRDefault="00531011" w:rsidP="00EA2892">
      <w:pPr>
        <w:ind w:firstLine="720"/>
        <w:rPr>
          <w:rFonts w:ascii="Palatino Linotype" w:hAnsi="Palatino Linotype"/>
          <w:sz w:val="20"/>
          <w:szCs w:val="20"/>
        </w:rPr>
      </w:pPr>
      <w:r w:rsidRPr="002604D2">
        <w:rPr>
          <w:rFonts w:ascii="Palatino Linotype" w:hAnsi="Palatino Linotype"/>
          <w:sz w:val="20"/>
          <w:szCs w:val="20"/>
        </w:rPr>
        <w:t>. . . .</w:t>
      </w:r>
    </w:p>
    <w:p w14:paraId="014636F7" w14:textId="77777777" w:rsidR="0067345E" w:rsidRPr="002604D2" w:rsidRDefault="0067345E" w:rsidP="00EA2892">
      <w:pPr>
        <w:ind w:firstLine="720"/>
        <w:rPr>
          <w:rFonts w:ascii="Palatino Linotype" w:hAnsi="Palatino Linotype"/>
          <w:sz w:val="20"/>
          <w:szCs w:val="20"/>
        </w:rPr>
      </w:pPr>
      <w:r w:rsidRPr="002604D2">
        <w:rPr>
          <w:rFonts w:ascii="Palatino Linotype" w:hAnsi="Palatino Linotype"/>
          <w:sz w:val="20"/>
          <w:szCs w:val="20"/>
        </w:rPr>
        <w:t xml:space="preserve">Appellants finally contend that a private property owner has a First Amendment right not to be forced by the State to use his property as a </w:t>
      </w:r>
      <w:r w:rsidR="00AD49C6" w:rsidRPr="002604D2">
        <w:rPr>
          <w:rFonts w:ascii="Palatino Linotype" w:hAnsi="Palatino Linotype"/>
          <w:sz w:val="20"/>
          <w:szCs w:val="20"/>
        </w:rPr>
        <w:t>forum f</w:t>
      </w:r>
      <w:r w:rsidR="002401EA" w:rsidRPr="002604D2">
        <w:rPr>
          <w:rFonts w:ascii="Palatino Linotype" w:hAnsi="Palatino Linotype"/>
          <w:sz w:val="20"/>
          <w:szCs w:val="20"/>
        </w:rPr>
        <w:t>or the speech of others. . . . Most important, t</w:t>
      </w:r>
      <w:r w:rsidR="00AD49C6" w:rsidRPr="002604D2">
        <w:rPr>
          <w:rFonts w:ascii="Palatino Linotype" w:hAnsi="Palatino Linotype"/>
          <w:sz w:val="20"/>
          <w:szCs w:val="20"/>
        </w:rPr>
        <w:t xml:space="preserve">he shopping center by choice of its owner is not limited to the personal use of appellants. It is instead a business establishment that is open to the public to come and go as they please.  The views expressed by members of the public in passing out pamphlets or seeking signatures for a petition thus will </w:t>
      </w:r>
      <w:r w:rsidR="002401EA" w:rsidRPr="002604D2">
        <w:rPr>
          <w:rFonts w:ascii="Palatino Linotype" w:hAnsi="Palatino Linotype"/>
          <w:sz w:val="20"/>
          <w:szCs w:val="20"/>
        </w:rPr>
        <w:t>not likely be identified with those of the owner. Second, no specific message is dictated by the State to be displayed on appellants’ property. . . . Finally, as far as appears here appellants can expressly disavow any connection with the message by simply posting signs in the area where the speakers or handbillers stand. . . .</w:t>
      </w:r>
    </w:p>
    <w:p w14:paraId="7DB75D98" w14:textId="77777777" w:rsidR="002401EA" w:rsidRPr="002604D2" w:rsidRDefault="002401EA" w:rsidP="00EA2892">
      <w:pPr>
        <w:ind w:firstLine="720"/>
        <w:rPr>
          <w:rFonts w:ascii="Palatino Linotype" w:hAnsi="Palatino Linotype"/>
          <w:sz w:val="20"/>
          <w:szCs w:val="20"/>
        </w:rPr>
      </w:pPr>
      <w:r w:rsidRPr="002604D2">
        <w:rPr>
          <w:rFonts w:ascii="Palatino Linotype" w:hAnsi="Palatino Linotype"/>
          <w:sz w:val="20"/>
          <w:szCs w:val="20"/>
        </w:rPr>
        <w:t>. . . .</w:t>
      </w:r>
    </w:p>
    <w:p w14:paraId="7E8E9570" w14:textId="77777777" w:rsidR="002401EA" w:rsidRPr="002604D2" w:rsidRDefault="002401EA" w:rsidP="00EA2892">
      <w:pPr>
        <w:ind w:firstLine="720"/>
        <w:rPr>
          <w:rFonts w:ascii="Palatino Linotype" w:hAnsi="Palatino Linotype"/>
          <w:sz w:val="20"/>
          <w:szCs w:val="20"/>
        </w:rPr>
      </w:pPr>
      <w:r w:rsidRPr="002604D2">
        <w:rPr>
          <w:rFonts w:ascii="Palatino Linotype" w:hAnsi="Palatino Linotype"/>
          <w:sz w:val="20"/>
          <w:szCs w:val="20"/>
        </w:rPr>
        <w:t>The judgment of the Supreme Court of California is therefore</w:t>
      </w:r>
    </w:p>
    <w:p w14:paraId="3F07F3C8" w14:textId="77777777" w:rsidR="002401EA" w:rsidRPr="002604D2" w:rsidRDefault="002401EA" w:rsidP="00EA2892">
      <w:pPr>
        <w:ind w:firstLine="720"/>
        <w:rPr>
          <w:rFonts w:ascii="Palatino Linotype" w:hAnsi="Palatino Linotype"/>
          <w:sz w:val="20"/>
          <w:szCs w:val="20"/>
        </w:rPr>
      </w:pPr>
      <w:r w:rsidRPr="002604D2">
        <w:rPr>
          <w:rFonts w:ascii="Palatino Linotype" w:hAnsi="Palatino Linotype"/>
          <w:i/>
          <w:sz w:val="20"/>
          <w:szCs w:val="20"/>
        </w:rPr>
        <w:t>Affirmed</w:t>
      </w:r>
      <w:r w:rsidRPr="002604D2">
        <w:rPr>
          <w:rFonts w:ascii="Palatino Linotype" w:hAnsi="Palatino Linotype"/>
          <w:sz w:val="20"/>
          <w:szCs w:val="20"/>
        </w:rPr>
        <w:t>.</w:t>
      </w:r>
    </w:p>
    <w:p w14:paraId="2F201081" w14:textId="77777777" w:rsidR="002401EA" w:rsidRPr="002604D2" w:rsidRDefault="002401EA" w:rsidP="00EA2892">
      <w:pPr>
        <w:ind w:firstLine="720"/>
        <w:rPr>
          <w:rFonts w:ascii="Palatino Linotype" w:hAnsi="Palatino Linotype"/>
          <w:sz w:val="20"/>
          <w:szCs w:val="20"/>
        </w:rPr>
      </w:pPr>
    </w:p>
    <w:p w14:paraId="7C25FE53" w14:textId="77777777" w:rsidR="00AB590C" w:rsidRPr="002604D2" w:rsidRDefault="00AB590C" w:rsidP="00EA2892">
      <w:pPr>
        <w:ind w:firstLine="720"/>
        <w:rPr>
          <w:rFonts w:ascii="Palatino Linotype" w:hAnsi="Palatino Linotype"/>
          <w:sz w:val="20"/>
          <w:szCs w:val="20"/>
        </w:rPr>
      </w:pPr>
    </w:p>
    <w:p w14:paraId="589AB1B5" w14:textId="77777777" w:rsidR="002401EA" w:rsidRPr="002604D2" w:rsidRDefault="00AB590C" w:rsidP="00AB590C">
      <w:pPr>
        <w:rPr>
          <w:rFonts w:ascii="Palatino Linotype" w:hAnsi="Palatino Linotype"/>
          <w:sz w:val="20"/>
          <w:szCs w:val="20"/>
        </w:rPr>
      </w:pPr>
      <w:r w:rsidRPr="002604D2">
        <w:rPr>
          <w:rFonts w:ascii="Palatino Linotype" w:hAnsi="Palatino Linotype"/>
          <w:sz w:val="20"/>
          <w:szCs w:val="20"/>
        </w:rPr>
        <w:t>JUSTICE MARSHALL, concurring.</w:t>
      </w:r>
    </w:p>
    <w:p w14:paraId="41A05AD3" w14:textId="77777777" w:rsidR="00AB590C" w:rsidRPr="002604D2" w:rsidRDefault="00AB590C" w:rsidP="00AB590C">
      <w:pPr>
        <w:ind w:firstLine="720"/>
        <w:rPr>
          <w:rFonts w:ascii="Palatino Linotype" w:hAnsi="Palatino Linotype"/>
          <w:sz w:val="20"/>
          <w:szCs w:val="20"/>
        </w:rPr>
      </w:pPr>
      <w:r w:rsidRPr="002604D2">
        <w:rPr>
          <w:rFonts w:ascii="Palatino Linotype" w:hAnsi="Palatino Linotype"/>
          <w:sz w:val="20"/>
          <w:szCs w:val="20"/>
        </w:rPr>
        <w:t>. . . .</w:t>
      </w:r>
    </w:p>
    <w:p w14:paraId="3FC923F9" w14:textId="77777777" w:rsidR="00AB590C" w:rsidRPr="002604D2" w:rsidRDefault="00AB590C" w:rsidP="00AB590C">
      <w:pPr>
        <w:ind w:firstLine="720"/>
        <w:rPr>
          <w:rFonts w:ascii="Palatino Linotype" w:hAnsi="Palatino Linotype"/>
          <w:sz w:val="20"/>
          <w:szCs w:val="20"/>
        </w:rPr>
      </w:pPr>
      <w:r w:rsidRPr="002604D2">
        <w:rPr>
          <w:rFonts w:ascii="Palatino Linotype" w:hAnsi="Palatino Linotype"/>
          <w:sz w:val="20"/>
          <w:szCs w:val="20"/>
        </w:rPr>
        <w:t xml:space="preserve">I continue to believe that </w:t>
      </w:r>
      <w:r w:rsidRPr="002604D2">
        <w:rPr>
          <w:rFonts w:ascii="Palatino Linotype" w:hAnsi="Palatino Linotype"/>
          <w:i/>
          <w:sz w:val="20"/>
          <w:szCs w:val="20"/>
        </w:rPr>
        <w:t>Food Employees v. Logan Valley Plaza</w:t>
      </w:r>
      <w:r w:rsidRPr="002604D2">
        <w:rPr>
          <w:rFonts w:ascii="Palatino Linotype" w:hAnsi="Palatino Linotype"/>
          <w:sz w:val="20"/>
          <w:szCs w:val="20"/>
        </w:rPr>
        <w:t xml:space="preserve"> (1968) was rightly decided, and that Lloyd [was] an incorrect interpretation of the First and Fourteenth Amendments. State action was present in both cases. . . . [S]hopping center owners had opened their centers to the public at large, effectively replacing the State with respect to such traditional First Amendment forums</w:t>
      </w:r>
      <w:r w:rsidR="0021623A" w:rsidRPr="002604D2">
        <w:rPr>
          <w:rFonts w:ascii="Palatino Linotype" w:hAnsi="Palatino Linotype"/>
          <w:sz w:val="20"/>
          <w:szCs w:val="20"/>
        </w:rPr>
        <w:t xml:space="preserve"> as streets, sidewalks, and parks. The State had in turn made its laws of trespass available to shopping center owners, enabling them to exclude those who wished to engage in expressive activity on their premises. Rights of free expression are illusory when a State has operated in such a way as to shut off effective channels of communication. . . . </w:t>
      </w:r>
    </w:p>
    <w:p w14:paraId="2275E0B3" w14:textId="77777777" w:rsidR="0021623A" w:rsidRPr="002604D2" w:rsidRDefault="0021623A" w:rsidP="00AB590C">
      <w:pPr>
        <w:ind w:firstLine="720"/>
        <w:rPr>
          <w:rStyle w:val="verdana"/>
          <w:rFonts w:ascii="Palatino Linotype" w:hAnsi="Palatino Linotype"/>
          <w:sz w:val="20"/>
          <w:szCs w:val="20"/>
        </w:rPr>
      </w:pPr>
      <w:r w:rsidRPr="002604D2">
        <w:rPr>
          <w:rFonts w:ascii="Palatino Linotype" w:hAnsi="Palatino Linotype"/>
          <w:sz w:val="20"/>
          <w:szCs w:val="20"/>
        </w:rPr>
        <w:t>. . . .</w:t>
      </w:r>
      <w:r w:rsidRPr="002604D2">
        <w:rPr>
          <w:rStyle w:val="verdana"/>
          <w:rFonts w:ascii="Palatino Linotype" w:hAnsi="Palatino Linotype"/>
          <w:sz w:val="20"/>
          <w:szCs w:val="20"/>
        </w:rPr>
        <w:t xml:space="preserve"> Quite serious constitutional questions might be raised if a legislature attempted to abolish certain</w:t>
      </w:r>
      <w:bookmarkStart w:id="0" w:name="PAGE_94_1100"/>
      <w:bookmarkEnd w:id="0"/>
      <w:r w:rsidRPr="002604D2">
        <w:rPr>
          <w:rStyle w:val="verdana"/>
          <w:rFonts w:ascii="Palatino Linotype" w:hAnsi="Palatino Linotype"/>
          <w:sz w:val="20"/>
          <w:szCs w:val="20"/>
        </w:rPr>
        <w:t xml:space="preserve"> categories of common-law rights in some general way. Indeed, our cases demonstrate that there are limits on governmental authority to abolish "core" common-law rights, including rights against trespass, at least without a compelling showing of necessity or a provision for a reasonable alternative remedy.</w:t>
      </w:r>
    </w:p>
    <w:p w14:paraId="1F39F351" w14:textId="77777777" w:rsidR="0021623A" w:rsidRPr="002604D2" w:rsidRDefault="0021623A" w:rsidP="00AB590C">
      <w:pPr>
        <w:ind w:firstLine="720"/>
        <w:rPr>
          <w:rStyle w:val="verdana"/>
          <w:rFonts w:ascii="Palatino Linotype" w:hAnsi="Palatino Linotype"/>
          <w:sz w:val="20"/>
          <w:szCs w:val="20"/>
        </w:rPr>
      </w:pPr>
      <w:r w:rsidRPr="002604D2">
        <w:rPr>
          <w:rStyle w:val="verdana"/>
          <w:rFonts w:ascii="Palatino Linotype" w:hAnsi="Palatino Linotype"/>
          <w:sz w:val="20"/>
          <w:szCs w:val="20"/>
        </w:rPr>
        <w:t xml:space="preserve">That "core" has not been approached in this case. The California Supreme Court's decision is limited to shopping centers, which are already open to the general public. The owners are permitted to impose reasonable restrictions on expressive activity. There has been no showing of interference with </w:t>
      </w:r>
      <w:r w:rsidRPr="002604D2">
        <w:rPr>
          <w:rStyle w:val="verdana"/>
          <w:rFonts w:ascii="Palatino Linotype" w:hAnsi="Palatino Linotype"/>
          <w:sz w:val="20"/>
          <w:szCs w:val="20"/>
        </w:rPr>
        <w:lastRenderedPageBreak/>
        <w:t xml:space="preserve">appellants' normal business operations. The California court has not permitted an invasion of any personal sanctuary. No rights of privacy are implicated. In these circumstances </w:t>
      </w:r>
      <w:bookmarkStart w:id="1" w:name="PAGE_95_1100"/>
      <w:bookmarkEnd w:id="1"/>
      <w:r w:rsidRPr="002604D2">
        <w:rPr>
          <w:rStyle w:val="verdana"/>
          <w:rFonts w:ascii="Palatino Linotype" w:hAnsi="Palatino Linotype"/>
          <w:sz w:val="20"/>
          <w:szCs w:val="20"/>
        </w:rPr>
        <w:t>there is no basis for strictly scrutinizing the intrusion authorized by the California Supreme Court.</w:t>
      </w:r>
    </w:p>
    <w:p w14:paraId="0D383E6C" w14:textId="77777777" w:rsidR="00E32F86" w:rsidRPr="002604D2" w:rsidRDefault="00E32F86" w:rsidP="00AB590C">
      <w:pPr>
        <w:ind w:firstLine="720"/>
        <w:rPr>
          <w:rStyle w:val="verdana"/>
          <w:rFonts w:ascii="Palatino Linotype" w:hAnsi="Palatino Linotype"/>
          <w:sz w:val="20"/>
          <w:szCs w:val="20"/>
        </w:rPr>
      </w:pPr>
    </w:p>
    <w:p w14:paraId="41BF8076" w14:textId="77777777" w:rsidR="00E32F86" w:rsidRPr="002604D2" w:rsidRDefault="00E32F86" w:rsidP="00AB590C">
      <w:pPr>
        <w:ind w:firstLine="720"/>
        <w:rPr>
          <w:rStyle w:val="verdana"/>
          <w:rFonts w:ascii="Palatino Linotype" w:hAnsi="Palatino Linotype"/>
          <w:sz w:val="20"/>
          <w:szCs w:val="20"/>
        </w:rPr>
      </w:pPr>
      <w:r w:rsidRPr="002604D2">
        <w:rPr>
          <w:rStyle w:val="verdana"/>
          <w:rFonts w:ascii="Palatino Linotype" w:hAnsi="Palatino Linotype"/>
          <w:sz w:val="20"/>
          <w:szCs w:val="20"/>
        </w:rPr>
        <w:t>JUSTICE POWELL, concurring.</w:t>
      </w:r>
    </w:p>
    <w:p w14:paraId="6AB016CA" w14:textId="77777777" w:rsidR="00E32F86" w:rsidRPr="002604D2" w:rsidRDefault="00E32F86" w:rsidP="00AB590C">
      <w:pPr>
        <w:ind w:firstLine="720"/>
        <w:rPr>
          <w:rStyle w:val="verdana"/>
          <w:rFonts w:ascii="Palatino Linotype" w:hAnsi="Palatino Linotype"/>
          <w:sz w:val="20"/>
          <w:szCs w:val="20"/>
        </w:rPr>
      </w:pPr>
      <w:r w:rsidRPr="002604D2">
        <w:rPr>
          <w:rStyle w:val="verdana"/>
          <w:rFonts w:ascii="Palatino Linotype" w:hAnsi="Palatino Linotype"/>
          <w:sz w:val="20"/>
          <w:szCs w:val="20"/>
        </w:rPr>
        <w:t xml:space="preserve">. . . . </w:t>
      </w:r>
    </w:p>
    <w:p w14:paraId="0067411E" w14:textId="77777777" w:rsidR="00E32F86" w:rsidRPr="002604D2" w:rsidRDefault="00E32F86" w:rsidP="00AB590C">
      <w:pPr>
        <w:ind w:firstLine="720"/>
        <w:rPr>
          <w:rStyle w:val="verdana"/>
          <w:rFonts w:ascii="Palatino Linotype" w:hAnsi="Palatino Linotype"/>
          <w:sz w:val="20"/>
          <w:szCs w:val="20"/>
        </w:rPr>
      </w:pPr>
    </w:p>
    <w:p w14:paraId="1439C76F" w14:textId="77777777" w:rsidR="00E32F86" w:rsidRPr="002604D2" w:rsidRDefault="00E32F86" w:rsidP="00AB590C">
      <w:pPr>
        <w:ind w:firstLine="720"/>
        <w:rPr>
          <w:rStyle w:val="verdana"/>
          <w:rFonts w:ascii="Palatino Linotype" w:hAnsi="Palatino Linotype"/>
          <w:sz w:val="20"/>
          <w:szCs w:val="20"/>
        </w:rPr>
      </w:pPr>
    </w:p>
    <w:p w14:paraId="07A4B543" w14:textId="77777777" w:rsidR="00E32F86" w:rsidRPr="002604D2" w:rsidRDefault="00E32F86" w:rsidP="00AB590C">
      <w:pPr>
        <w:ind w:firstLine="720"/>
        <w:rPr>
          <w:rStyle w:val="verdana"/>
          <w:rFonts w:ascii="Palatino Linotype" w:hAnsi="Palatino Linotype"/>
          <w:sz w:val="20"/>
          <w:szCs w:val="20"/>
        </w:rPr>
      </w:pPr>
      <w:r w:rsidRPr="002604D2">
        <w:rPr>
          <w:rStyle w:val="verdana"/>
          <w:rFonts w:ascii="Palatino Linotype" w:hAnsi="Palatino Linotype"/>
          <w:sz w:val="20"/>
          <w:szCs w:val="20"/>
        </w:rPr>
        <w:t>JUSTICE WHITE, concurring.</w:t>
      </w:r>
    </w:p>
    <w:p w14:paraId="54CA7535" w14:textId="77777777" w:rsidR="00E32F86" w:rsidRPr="002604D2" w:rsidRDefault="00E32F86" w:rsidP="00AB590C">
      <w:pPr>
        <w:ind w:firstLine="720"/>
        <w:rPr>
          <w:rStyle w:val="verdana"/>
          <w:rFonts w:ascii="Palatino Linotype" w:hAnsi="Palatino Linotype"/>
          <w:sz w:val="20"/>
          <w:szCs w:val="20"/>
        </w:rPr>
      </w:pPr>
      <w:r w:rsidRPr="002604D2">
        <w:rPr>
          <w:rStyle w:val="verdana"/>
          <w:rFonts w:ascii="Palatino Linotype" w:hAnsi="Palatino Linotype"/>
          <w:sz w:val="20"/>
          <w:szCs w:val="20"/>
        </w:rPr>
        <w:t>. . . .</w:t>
      </w:r>
    </w:p>
    <w:p w14:paraId="75FF422E" w14:textId="77777777" w:rsidR="00E32F86" w:rsidRPr="002604D2" w:rsidRDefault="00E32F86" w:rsidP="00AB590C">
      <w:pPr>
        <w:ind w:firstLine="720"/>
        <w:rPr>
          <w:rFonts w:ascii="Palatino Linotype" w:hAnsi="Palatino Linotype"/>
          <w:sz w:val="20"/>
          <w:szCs w:val="20"/>
        </w:rPr>
      </w:pPr>
      <w:r w:rsidRPr="002604D2">
        <w:rPr>
          <w:rStyle w:val="verdana"/>
          <w:rFonts w:ascii="Palatino Linotype" w:hAnsi="Palatino Linotype"/>
          <w:sz w:val="20"/>
          <w:szCs w:val="20"/>
        </w:rPr>
        <w:t>Because appellants have not shown that the limited right of access held to be afforded by the California Constitution burdened their First and Fourteenth Amendment rights in the circumstances presented, I join the judgment of the Court. I do not interpret our decision today as a blanket approval for state efforts to transform privately owned commercial property into public forums. Any such state action would raise substantial federal constitutional questions not present in this case</w:t>
      </w:r>
    </w:p>
    <w:sectPr w:rsidR="00E32F86" w:rsidRPr="002604D2" w:rsidSect="00F10EF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2C70FA" w14:textId="77777777" w:rsidR="00627DC4" w:rsidRDefault="00627DC4" w:rsidP="002604D2">
      <w:r>
        <w:separator/>
      </w:r>
    </w:p>
  </w:endnote>
  <w:endnote w:type="continuationSeparator" w:id="0">
    <w:p w14:paraId="5F0FD109" w14:textId="77777777" w:rsidR="00627DC4" w:rsidRDefault="00627DC4" w:rsidP="0026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DE304" w14:textId="77777777" w:rsidR="002604D2" w:rsidRDefault="002604D2">
    <w:pPr>
      <w:pStyle w:val="Footer"/>
      <w:jc w:val="center"/>
    </w:pPr>
    <w:r>
      <w:fldChar w:fldCharType="begin"/>
    </w:r>
    <w:r>
      <w:instrText xml:space="preserve"> PAGE   \* MERGEFORMAT </w:instrText>
    </w:r>
    <w:r>
      <w:fldChar w:fldCharType="separate"/>
    </w:r>
    <w:r>
      <w:rPr>
        <w:noProof/>
      </w:rPr>
      <w:t>1</w:t>
    </w:r>
    <w:r>
      <w:rPr>
        <w:noProof/>
      </w:rPr>
      <w:fldChar w:fldCharType="end"/>
    </w:r>
  </w:p>
  <w:p w14:paraId="00AAE534" w14:textId="77777777" w:rsidR="002604D2" w:rsidRDefault="002604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3D8583" w14:textId="77777777" w:rsidR="00627DC4" w:rsidRDefault="00627DC4" w:rsidP="002604D2">
      <w:r>
        <w:separator/>
      </w:r>
    </w:p>
  </w:footnote>
  <w:footnote w:type="continuationSeparator" w:id="0">
    <w:p w14:paraId="27858DD9" w14:textId="77777777" w:rsidR="00627DC4" w:rsidRDefault="00627DC4" w:rsidP="002604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892"/>
    <w:rsid w:val="0016551E"/>
    <w:rsid w:val="0021623A"/>
    <w:rsid w:val="002401EA"/>
    <w:rsid w:val="002604D2"/>
    <w:rsid w:val="00265561"/>
    <w:rsid w:val="002E7D9E"/>
    <w:rsid w:val="00310368"/>
    <w:rsid w:val="003C5699"/>
    <w:rsid w:val="00531011"/>
    <w:rsid w:val="00531EAB"/>
    <w:rsid w:val="00627DC4"/>
    <w:rsid w:val="0067345E"/>
    <w:rsid w:val="006E7A38"/>
    <w:rsid w:val="007D4144"/>
    <w:rsid w:val="00841A68"/>
    <w:rsid w:val="008E7557"/>
    <w:rsid w:val="00AB590C"/>
    <w:rsid w:val="00AD49C6"/>
    <w:rsid w:val="00B03E04"/>
    <w:rsid w:val="00D15042"/>
    <w:rsid w:val="00E32F86"/>
    <w:rsid w:val="00EA2892"/>
    <w:rsid w:val="00ED1C2F"/>
    <w:rsid w:val="00EF77B2"/>
    <w:rsid w:val="00F10E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05A0D"/>
  <w15:chartTrackingRefBased/>
  <w15:docId w15:val="{BE372652-8F64-4CA1-A3C3-F4B37EDF4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EF2"/>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dana">
    <w:name w:val="verdana"/>
    <w:basedOn w:val="DefaultParagraphFont"/>
    <w:rsid w:val="0021623A"/>
  </w:style>
  <w:style w:type="character" w:styleId="Hyperlink">
    <w:name w:val="Hyperlink"/>
    <w:basedOn w:val="DefaultParagraphFont"/>
    <w:uiPriority w:val="99"/>
    <w:semiHidden/>
    <w:unhideWhenUsed/>
    <w:rsid w:val="00E32F86"/>
    <w:rPr>
      <w:color w:val="0000FF"/>
      <w:u w:val="single"/>
    </w:rPr>
  </w:style>
  <w:style w:type="paragraph" w:styleId="Header">
    <w:name w:val="header"/>
    <w:basedOn w:val="Normal"/>
    <w:link w:val="HeaderChar"/>
    <w:uiPriority w:val="99"/>
    <w:unhideWhenUsed/>
    <w:rsid w:val="002604D2"/>
    <w:pPr>
      <w:tabs>
        <w:tab w:val="center" w:pos="4680"/>
        <w:tab w:val="right" w:pos="9360"/>
      </w:tabs>
    </w:pPr>
  </w:style>
  <w:style w:type="character" w:customStyle="1" w:styleId="HeaderChar">
    <w:name w:val="Header Char"/>
    <w:basedOn w:val="DefaultParagraphFont"/>
    <w:link w:val="Header"/>
    <w:uiPriority w:val="99"/>
    <w:rsid w:val="002604D2"/>
    <w:rPr>
      <w:sz w:val="22"/>
      <w:szCs w:val="22"/>
    </w:rPr>
  </w:style>
  <w:style w:type="paragraph" w:styleId="Footer">
    <w:name w:val="footer"/>
    <w:basedOn w:val="Normal"/>
    <w:link w:val="FooterChar"/>
    <w:uiPriority w:val="99"/>
    <w:unhideWhenUsed/>
    <w:rsid w:val="002604D2"/>
    <w:pPr>
      <w:tabs>
        <w:tab w:val="center" w:pos="4680"/>
        <w:tab w:val="right" w:pos="9360"/>
      </w:tabs>
    </w:pPr>
  </w:style>
  <w:style w:type="character" w:customStyle="1" w:styleId="FooterChar">
    <w:name w:val="Footer Char"/>
    <w:basedOn w:val="DefaultParagraphFont"/>
    <w:link w:val="Footer"/>
    <w:uiPriority w:val="99"/>
    <w:rsid w:val="002604D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6893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kewhitt</dc:creator>
  <cp:keywords/>
  <cp:lastModifiedBy>Graber, Mark</cp:lastModifiedBy>
  <cp:revision>2</cp:revision>
  <dcterms:created xsi:type="dcterms:W3CDTF">2020-12-22T20:46:00Z</dcterms:created>
  <dcterms:modified xsi:type="dcterms:W3CDTF">2020-12-22T20:46:00Z</dcterms:modified>
</cp:coreProperties>
</file>