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DA47E" w14:textId="77777777" w:rsidR="003C0C0F" w:rsidRPr="00AC5100" w:rsidRDefault="003C0C0F" w:rsidP="003C0C0F">
      <w:pPr>
        <w:spacing w:after="0" w:line="240" w:lineRule="auto"/>
        <w:jc w:val="center"/>
        <w:rPr>
          <w:rFonts w:ascii="Palatino Linotype" w:hAnsi="Palatino Linotype"/>
          <w:sz w:val="20"/>
          <w:szCs w:val="20"/>
        </w:rPr>
      </w:pPr>
      <w:bookmarkStart w:id="0" w:name="_Hlk57865269"/>
      <w:r w:rsidRPr="00AC5100">
        <w:rPr>
          <w:rFonts w:ascii="Palatino Linotype" w:hAnsi="Palatino Linotype"/>
          <w:sz w:val="20"/>
          <w:szCs w:val="20"/>
        </w:rPr>
        <w:t>AMERICAN CONSTITUTIONALISM</w:t>
      </w:r>
    </w:p>
    <w:p w14:paraId="5FBC524F" w14:textId="0022FED0" w:rsidR="003C0C0F" w:rsidRPr="00AC5100" w:rsidRDefault="003C0C0F" w:rsidP="003C0C0F">
      <w:pPr>
        <w:spacing w:after="0" w:line="240" w:lineRule="auto"/>
        <w:jc w:val="center"/>
        <w:rPr>
          <w:rFonts w:ascii="Palatino Linotype" w:hAnsi="Palatino Linotype"/>
          <w:sz w:val="20"/>
          <w:szCs w:val="20"/>
        </w:rPr>
      </w:pPr>
      <w:r w:rsidRPr="00AC5100">
        <w:rPr>
          <w:rFonts w:ascii="Palatino Linotype" w:hAnsi="Palatino Linotype"/>
          <w:sz w:val="20"/>
          <w:szCs w:val="20"/>
        </w:rPr>
        <w:t>VOLUME I:  STRUCTURES OF GOVERNMENT</w:t>
      </w:r>
    </w:p>
    <w:p w14:paraId="56AE870D" w14:textId="77777777" w:rsidR="003C0C0F" w:rsidRPr="00AC5100" w:rsidRDefault="003C0C0F" w:rsidP="003C0C0F">
      <w:pPr>
        <w:spacing w:after="0" w:line="240" w:lineRule="auto"/>
        <w:jc w:val="center"/>
        <w:rPr>
          <w:rFonts w:ascii="Palatino Linotype" w:hAnsi="Palatino Linotype"/>
          <w:sz w:val="20"/>
          <w:szCs w:val="20"/>
        </w:rPr>
      </w:pPr>
      <w:r w:rsidRPr="00AC5100">
        <w:rPr>
          <w:rFonts w:ascii="Palatino Linotype" w:hAnsi="Palatino Linotype"/>
          <w:sz w:val="20"/>
          <w:szCs w:val="20"/>
        </w:rPr>
        <w:t>Howard Gillman • Mark A. Graber • Keith E. Whittington</w:t>
      </w:r>
    </w:p>
    <w:p w14:paraId="007FDC36" w14:textId="77777777" w:rsidR="003C0C0F" w:rsidRPr="00AC5100" w:rsidRDefault="003C0C0F" w:rsidP="003C0C0F">
      <w:pPr>
        <w:spacing w:after="0" w:line="240" w:lineRule="auto"/>
        <w:jc w:val="center"/>
        <w:rPr>
          <w:rFonts w:ascii="Palatino Linotype" w:hAnsi="Palatino Linotype"/>
          <w:sz w:val="20"/>
          <w:szCs w:val="20"/>
        </w:rPr>
      </w:pPr>
    </w:p>
    <w:p w14:paraId="442FB8F7" w14:textId="77777777" w:rsidR="003C0C0F" w:rsidRPr="00AC5100" w:rsidRDefault="003C0C0F" w:rsidP="003C0C0F">
      <w:pPr>
        <w:spacing w:after="0" w:line="240" w:lineRule="auto"/>
        <w:jc w:val="center"/>
        <w:rPr>
          <w:rFonts w:ascii="Palatino Linotype" w:hAnsi="Palatino Linotype"/>
          <w:sz w:val="20"/>
          <w:szCs w:val="20"/>
        </w:rPr>
      </w:pPr>
      <w:r w:rsidRPr="00AC5100">
        <w:rPr>
          <w:rFonts w:ascii="Palatino Linotype" w:hAnsi="Palatino Linotype"/>
          <w:sz w:val="20"/>
          <w:szCs w:val="20"/>
        </w:rPr>
        <w:t>Supplementary Material</w:t>
      </w:r>
    </w:p>
    <w:p w14:paraId="75D7C228" w14:textId="77777777" w:rsidR="003C0C0F" w:rsidRPr="00AC5100" w:rsidRDefault="003C0C0F" w:rsidP="003C0C0F">
      <w:pPr>
        <w:spacing w:after="0" w:line="240" w:lineRule="auto"/>
        <w:jc w:val="center"/>
        <w:rPr>
          <w:rFonts w:ascii="Palatino Linotype" w:hAnsi="Palatino Linotype"/>
          <w:sz w:val="20"/>
          <w:szCs w:val="20"/>
        </w:rPr>
      </w:pPr>
    </w:p>
    <w:p w14:paraId="71406972" w14:textId="6DB03196" w:rsidR="003C0C0F" w:rsidRPr="00AC5100" w:rsidRDefault="003C0C0F" w:rsidP="003C0C0F">
      <w:pPr>
        <w:spacing w:after="0" w:line="240" w:lineRule="auto"/>
        <w:jc w:val="center"/>
        <w:rPr>
          <w:rFonts w:ascii="Palatino Linotype" w:hAnsi="Palatino Linotype"/>
          <w:sz w:val="20"/>
          <w:szCs w:val="20"/>
        </w:rPr>
      </w:pPr>
      <w:r w:rsidRPr="00AC5100">
        <w:rPr>
          <w:rFonts w:ascii="Palatino Linotype" w:hAnsi="Palatino Linotype"/>
          <w:sz w:val="20"/>
          <w:szCs w:val="20"/>
        </w:rPr>
        <w:t xml:space="preserve">Chapter 12:  The Contemporary Era – </w:t>
      </w:r>
      <w:r w:rsidR="00EE5467" w:rsidRPr="00AC5100">
        <w:rPr>
          <w:rFonts w:ascii="Palatino Linotype" w:hAnsi="Palatino Linotype"/>
          <w:sz w:val="20"/>
          <w:szCs w:val="20"/>
        </w:rPr>
        <w:t xml:space="preserve">Judicial Power and </w:t>
      </w:r>
      <w:r w:rsidRPr="00AC5100">
        <w:rPr>
          <w:rFonts w:ascii="Palatino Linotype" w:hAnsi="Palatino Linotype"/>
          <w:sz w:val="20"/>
          <w:szCs w:val="20"/>
        </w:rPr>
        <w:t>Constitutional Authority/Judicial Review</w:t>
      </w:r>
    </w:p>
    <w:p w14:paraId="4F1A306D" w14:textId="77777777" w:rsidR="003C0C0F" w:rsidRPr="00AC5100" w:rsidRDefault="003C0C0F" w:rsidP="003C0C0F">
      <w:pPr>
        <w:spacing w:after="0" w:line="240" w:lineRule="auto"/>
        <w:jc w:val="center"/>
        <w:rPr>
          <w:rFonts w:ascii="Palatino Linotype" w:hAnsi="Palatino Linotype"/>
          <w:sz w:val="20"/>
          <w:szCs w:val="20"/>
        </w:rPr>
      </w:pPr>
    </w:p>
    <w:p w14:paraId="3AC0A2BC" w14:textId="77777777" w:rsidR="003C0C0F" w:rsidRPr="00AC5100" w:rsidRDefault="008B7DCB" w:rsidP="003C0C0F">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26245CE5">
          <v:rect id="_x0000_i1025" style="width:468pt;height:1.5pt" o:hralign="center" o:hrstd="t" o:hrnoshade="t" o:hr="t" fillcolor="black [3213]" stroked="f"/>
        </w:pict>
      </w:r>
    </w:p>
    <w:p w14:paraId="0B2FD7AC" w14:textId="11B7CD50" w:rsidR="003C0C0F" w:rsidRPr="00AC5100" w:rsidRDefault="003C0C0F" w:rsidP="003C0C0F">
      <w:pPr>
        <w:shd w:val="clear" w:color="auto" w:fill="FFFFFF"/>
        <w:spacing w:after="0" w:line="240" w:lineRule="auto"/>
        <w:jc w:val="center"/>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b/>
          <w:bCs/>
          <w:sz w:val="20"/>
          <w:szCs w:val="20"/>
        </w:rPr>
        <w:t xml:space="preserve">Rodriguez v. Federal Deposit Insurance Corporation, 140 </w:t>
      </w:r>
      <w:proofErr w:type="spellStart"/>
      <w:r w:rsidRPr="00AC5100">
        <w:rPr>
          <w:rFonts w:ascii="Palatino Linotype" w:eastAsia="Times New Roman" w:hAnsi="Palatino Linotype" w:cs="Times New Roman"/>
          <w:b/>
          <w:bCs/>
          <w:sz w:val="20"/>
          <w:szCs w:val="20"/>
        </w:rPr>
        <w:t>S.Ct</w:t>
      </w:r>
      <w:proofErr w:type="spellEnd"/>
      <w:r w:rsidRPr="00AC5100">
        <w:rPr>
          <w:rFonts w:ascii="Palatino Linotype" w:eastAsia="Times New Roman" w:hAnsi="Palatino Linotype" w:cs="Times New Roman"/>
          <w:b/>
          <w:bCs/>
          <w:sz w:val="20"/>
          <w:szCs w:val="20"/>
        </w:rPr>
        <w:t>. 713</w:t>
      </w:r>
      <w:r w:rsidRPr="00AC5100">
        <w:rPr>
          <w:rFonts w:ascii="Palatino Linotype" w:eastAsia="Times New Roman" w:hAnsi="Palatino Linotype" w:cs="Times New Roman"/>
          <w:sz w:val="20"/>
          <w:szCs w:val="20"/>
        </w:rPr>
        <w:t xml:space="preserve"> (2020)</w:t>
      </w:r>
    </w:p>
    <w:p w14:paraId="45719F00" w14:textId="77777777" w:rsidR="003C0C0F" w:rsidRPr="00AC5100" w:rsidRDefault="008B7DCB" w:rsidP="003C0C0F">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5C0C942F">
          <v:rect id="_x0000_i1026" style="width:468pt;height:1.5pt" o:hralign="center" o:hrstd="t" o:hrnoshade="t" o:hr="t" fillcolor="black [3213]" stroked="f"/>
        </w:pict>
      </w:r>
    </w:p>
    <w:p w14:paraId="32EDA1B6" w14:textId="77777777" w:rsidR="003C0C0F" w:rsidRPr="00AC5100" w:rsidRDefault="003C0C0F" w:rsidP="003C0C0F">
      <w:pPr>
        <w:spacing w:after="0" w:line="240" w:lineRule="auto"/>
        <w:rPr>
          <w:rFonts w:ascii="Palatino Linotype" w:eastAsia="Times New Roman" w:hAnsi="Palatino Linotype" w:cs="Times New Roman"/>
          <w:sz w:val="20"/>
          <w:szCs w:val="20"/>
        </w:rPr>
      </w:pPr>
    </w:p>
    <w:p w14:paraId="28AE08AF" w14:textId="77777777" w:rsidR="003C0C0F" w:rsidRPr="00AC5100" w:rsidRDefault="003C0C0F" w:rsidP="003C0C0F">
      <w:pPr>
        <w:shd w:val="clear" w:color="auto" w:fill="FFFFFF"/>
        <w:spacing w:after="0" w:line="240" w:lineRule="auto"/>
        <w:textAlignment w:val="baseline"/>
        <w:rPr>
          <w:rFonts w:ascii="Palatino Linotype" w:eastAsia="Times New Roman" w:hAnsi="Palatino Linotype" w:cs="Times New Roman"/>
          <w:i/>
          <w:iCs/>
          <w:sz w:val="20"/>
          <w:szCs w:val="20"/>
        </w:rPr>
      </w:pPr>
      <w:r w:rsidRPr="00AC5100">
        <w:rPr>
          <w:rFonts w:ascii="Palatino Linotype" w:eastAsia="Times New Roman" w:hAnsi="Palatino Linotype" w:cs="Times New Roman"/>
          <w:i/>
          <w:iCs/>
          <w:sz w:val="20"/>
          <w:szCs w:val="20"/>
        </w:rPr>
        <w:t>Simon Rodriquez was the trustee for United Western Bancorp, Inc., a bankrupt company as well as the parent company of United Western Bank, which had also gone bankrupt and was under the trusteeship of the Federal Deposit Insurance Corporation (FDIC).  As permitted by federal law, United Western Bancorp and United Western Bancorp filed a joint tax return.  When the Internal Revenue Service declared they were owed a $4 million dollar refund, Rodriquez and the FDIC disputed how that refund should be distributed.  A federal bankruptcy court declared that United Western Bancorp (Rodriquez) was entitled to the money, but that decision was reversed by a federal district court.  The federal district court’s decision that the United Western bank (FDIC) was entitled to the money was sustained by the Court of Appeals for the Tenth Circuit.</w:t>
      </w:r>
    </w:p>
    <w:p w14:paraId="378FF352" w14:textId="77777777" w:rsidR="003C0C0F" w:rsidRPr="00AC5100" w:rsidRDefault="003C0C0F" w:rsidP="003C0C0F">
      <w:pPr>
        <w:shd w:val="clear" w:color="auto" w:fill="FFFFFF"/>
        <w:spacing w:after="0" w:line="240" w:lineRule="auto"/>
        <w:textAlignment w:val="baseline"/>
        <w:rPr>
          <w:rFonts w:ascii="Palatino Linotype" w:eastAsia="Times New Roman" w:hAnsi="Palatino Linotype" w:cs="Times New Roman"/>
          <w:i/>
          <w:iCs/>
          <w:sz w:val="20"/>
          <w:szCs w:val="20"/>
        </w:rPr>
      </w:pPr>
      <w:r w:rsidRPr="00AC5100">
        <w:rPr>
          <w:rFonts w:ascii="Palatino Linotype" w:eastAsia="Times New Roman" w:hAnsi="Palatino Linotype" w:cs="Times New Roman"/>
          <w:i/>
          <w:iCs/>
          <w:sz w:val="20"/>
          <w:szCs w:val="20"/>
        </w:rPr>
        <w:t>Rodriguez appealed to the Supreme Court of the United States.</w:t>
      </w:r>
    </w:p>
    <w:p w14:paraId="28767126" w14:textId="77777777" w:rsidR="003C0C0F" w:rsidRPr="00AC5100" w:rsidRDefault="003C0C0F" w:rsidP="003C0C0F">
      <w:pPr>
        <w:shd w:val="clear" w:color="auto" w:fill="FFFFFF"/>
        <w:spacing w:after="0" w:line="240" w:lineRule="auto"/>
        <w:textAlignment w:val="baseline"/>
        <w:rPr>
          <w:rFonts w:ascii="Palatino Linotype" w:eastAsia="Times New Roman" w:hAnsi="Palatino Linotype" w:cs="Times New Roman"/>
          <w:i/>
          <w:iCs/>
          <w:sz w:val="20"/>
          <w:szCs w:val="20"/>
        </w:rPr>
      </w:pPr>
      <w:r w:rsidRPr="00AC5100">
        <w:rPr>
          <w:rFonts w:ascii="Palatino Linotype" w:eastAsia="Times New Roman" w:hAnsi="Palatino Linotype" w:cs="Times New Roman"/>
          <w:i/>
          <w:iCs/>
          <w:sz w:val="20"/>
          <w:szCs w:val="20"/>
        </w:rPr>
        <w:tab/>
        <w:t xml:space="preserve">The Supreme Court unanimously vacated the Tenth Circuit’s decision.  Justice Neil Gorsuch’s majority opinion held that the case should have been resolved </w:t>
      </w:r>
      <w:proofErr w:type="gramStart"/>
      <w:r w:rsidRPr="00AC5100">
        <w:rPr>
          <w:rFonts w:ascii="Palatino Linotype" w:eastAsia="Times New Roman" w:hAnsi="Palatino Linotype" w:cs="Times New Roman"/>
          <w:i/>
          <w:iCs/>
          <w:sz w:val="20"/>
          <w:szCs w:val="20"/>
        </w:rPr>
        <w:t>on the basis of</w:t>
      </w:r>
      <w:proofErr w:type="gramEnd"/>
      <w:r w:rsidRPr="00AC5100">
        <w:rPr>
          <w:rFonts w:ascii="Palatino Linotype" w:eastAsia="Times New Roman" w:hAnsi="Palatino Linotype" w:cs="Times New Roman"/>
          <w:i/>
          <w:iCs/>
          <w:sz w:val="20"/>
          <w:szCs w:val="20"/>
        </w:rPr>
        <w:t xml:space="preserve"> state law rather than federal common law.  The existence of federal common law that enables justices to resolve disputes solely </w:t>
      </w:r>
      <w:proofErr w:type="gramStart"/>
      <w:r w:rsidRPr="00AC5100">
        <w:rPr>
          <w:rFonts w:ascii="Palatino Linotype" w:eastAsia="Times New Roman" w:hAnsi="Palatino Linotype" w:cs="Times New Roman"/>
          <w:i/>
          <w:iCs/>
          <w:sz w:val="20"/>
          <w:szCs w:val="20"/>
        </w:rPr>
        <w:t>on the basis of</w:t>
      </w:r>
      <w:proofErr w:type="gramEnd"/>
      <w:r w:rsidRPr="00AC5100">
        <w:rPr>
          <w:rFonts w:ascii="Palatino Linotype" w:eastAsia="Times New Roman" w:hAnsi="Palatino Linotype" w:cs="Times New Roman"/>
          <w:i/>
          <w:iCs/>
          <w:sz w:val="20"/>
          <w:szCs w:val="20"/>
        </w:rPr>
        <w:t xml:space="preserve"> past precedent rather than federal statutory or constitutional law has long been controversial.  The relevant precedent in this case was </w:t>
      </w:r>
      <w:r w:rsidRPr="00AC5100">
        <w:rPr>
          <w:rFonts w:ascii="Palatino Linotype" w:eastAsia="Times New Roman" w:hAnsi="Palatino Linotype" w:cs="Times New Roman"/>
          <w:sz w:val="20"/>
          <w:szCs w:val="20"/>
        </w:rPr>
        <w:t>In re Bob Richards Chrysler-Plymouth Corp</w:t>
      </w:r>
      <w:r w:rsidRPr="00AC5100">
        <w:rPr>
          <w:rFonts w:ascii="Palatino Linotype" w:eastAsia="Times New Roman" w:hAnsi="Palatino Linotype" w:cs="Times New Roman"/>
          <w:i/>
          <w:iCs/>
          <w:sz w:val="20"/>
          <w:szCs w:val="20"/>
        </w:rPr>
        <w:t>. (9</w:t>
      </w:r>
      <w:r w:rsidRPr="00AC5100">
        <w:rPr>
          <w:rFonts w:ascii="Palatino Linotype" w:eastAsia="Times New Roman" w:hAnsi="Palatino Linotype" w:cs="Times New Roman"/>
          <w:i/>
          <w:iCs/>
          <w:sz w:val="20"/>
          <w:szCs w:val="20"/>
          <w:vertAlign w:val="superscript"/>
        </w:rPr>
        <w:t>th</w:t>
      </w:r>
      <w:r w:rsidRPr="00AC5100">
        <w:rPr>
          <w:rFonts w:ascii="Palatino Linotype" w:eastAsia="Times New Roman" w:hAnsi="Palatino Linotype" w:cs="Times New Roman"/>
          <w:i/>
          <w:iCs/>
          <w:sz w:val="20"/>
          <w:szCs w:val="20"/>
        </w:rPr>
        <w:t xml:space="preserve"> Cir. 1973), which held that refunds should go to the entitle most responsible for the losses that entitled the group to the refund.   Why does Gorsuch claim that the role of federal common law in the United States is very limited?  Why does he think state law should determine which party should get the benefit of a federal tax refund?  What are the comparative advantages of basing federal judicial decisions on state law or on federal common law? </w:t>
      </w:r>
    </w:p>
    <w:p w14:paraId="62DF88E8" w14:textId="77777777" w:rsidR="003C0C0F" w:rsidRPr="00AC5100" w:rsidRDefault="003C0C0F" w:rsidP="003C0C0F">
      <w:pPr>
        <w:shd w:val="clear" w:color="auto" w:fill="FFFFFF"/>
        <w:spacing w:after="0" w:line="240" w:lineRule="auto"/>
        <w:textAlignment w:val="baseline"/>
        <w:rPr>
          <w:rFonts w:ascii="Palatino Linotype" w:eastAsia="Times New Roman" w:hAnsi="Palatino Linotype" w:cs="Times New Roman"/>
          <w:sz w:val="20"/>
          <w:szCs w:val="20"/>
        </w:rPr>
      </w:pPr>
    </w:p>
    <w:p w14:paraId="34941EC6" w14:textId="77777777" w:rsidR="003C0C0F" w:rsidRPr="00AC5100" w:rsidRDefault="003C0C0F" w:rsidP="003C0C0F">
      <w:pPr>
        <w:shd w:val="clear" w:color="auto" w:fill="FFFFFF"/>
        <w:spacing w:after="0" w:line="240" w:lineRule="auto"/>
        <w:textAlignment w:val="baseline"/>
        <w:rPr>
          <w:rFonts w:ascii="Palatino Linotype" w:eastAsia="Times New Roman" w:hAnsi="Palatino Linotype" w:cs="Times New Roman"/>
          <w:sz w:val="20"/>
          <w:szCs w:val="20"/>
        </w:rPr>
      </w:pPr>
      <w:r w:rsidRPr="00AC5100">
        <w:rPr>
          <w:rFonts w:ascii="Palatino Linotype" w:hAnsi="Palatino Linotype" w:cs="Times New Roman"/>
          <w:sz w:val="20"/>
          <w:szCs w:val="20"/>
          <w:shd w:val="clear" w:color="auto" w:fill="FFFFFF"/>
        </w:rPr>
        <w:t>Justice </w:t>
      </w:r>
      <w:hyperlink r:id="rId4" w:history="1">
        <w:r w:rsidRPr="00AC5100">
          <w:rPr>
            <w:rFonts w:ascii="Palatino Linotype" w:hAnsi="Palatino Linotype" w:cs="Times New Roman"/>
            <w:sz w:val="20"/>
            <w:szCs w:val="20"/>
            <w:bdr w:val="none" w:sz="0" w:space="0" w:color="auto" w:frame="1"/>
            <w:shd w:val="clear" w:color="auto" w:fill="FFFFFF"/>
          </w:rPr>
          <w:t>GORSUCH</w:t>
        </w:r>
      </w:hyperlink>
      <w:r w:rsidRPr="00AC5100">
        <w:rPr>
          <w:rFonts w:ascii="Palatino Linotype" w:hAnsi="Palatino Linotype" w:cs="Times New Roman"/>
          <w:sz w:val="20"/>
          <w:szCs w:val="20"/>
          <w:shd w:val="clear" w:color="auto" w:fill="FFFFFF"/>
        </w:rPr>
        <w:t> delivered the opinion of the Court.</w:t>
      </w:r>
    </w:p>
    <w:p w14:paraId="316D5A63" w14:textId="77777777" w:rsidR="003C0C0F" w:rsidRPr="00AC5100" w:rsidRDefault="003C0C0F" w:rsidP="003C0C0F">
      <w:pPr>
        <w:shd w:val="clear" w:color="auto" w:fill="FFFFFF"/>
        <w:spacing w:after="0" w:line="240" w:lineRule="auto"/>
        <w:textAlignment w:val="baseline"/>
        <w:rPr>
          <w:rFonts w:ascii="Palatino Linotype" w:eastAsia="Times New Roman" w:hAnsi="Palatino Linotype" w:cs="Times New Roman"/>
          <w:sz w:val="20"/>
          <w:szCs w:val="20"/>
        </w:rPr>
      </w:pPr>
    </w:p>
    <w:p w14:paraId="4B31543E" w14:textId="77777777" w:rsidR="003C0C0F" w:rsidRPr="00AC5100" w:rsidRDefault="003C0C0F" w:rsidP="003C0C0F">
      <w:pPr>
        <w:shd w:val="clear" w:color="auto" w:fill="FFFFFF"/>
        <w:spacing w:after="0" w:line="240" w:lineRule="auto"/>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sz w:val="20"/>
          <w:szCs w:val="20"/>
        </w:rPr>
        <w:t xml:space="preserve">This case grows from a fight over a tax refund. But the question we face </w:t>
      </w:r>
      <w:proofErr w:type="gramStart"/>
      <w:r w:rsidRPr="00AC5100">
        <w:rPr>
          <w:rFonts w:ascii="Palatino Linotype" w:eastAsia="Times New Roman" w:hAnsi="Palatino Linotype" w:cs="Times New Roman"/>
          <w:sz w:val="20"/>
          <w:szCs w:val="20"/>
        </w:rPr>
        <w:t>isn't</w:t>
      </w:r>
      <w:proofErr w:type="gramEnd"/>
      <w:r w:rsidRPr="00AC5100">
        <w:rPr>
          <w:rFonts w:ascii="Palatino Linotype" w:eastAsia="Times New Roman" w:hAnsi="Palatino Linotype" w:cs="Times New Roman"/>
          <w:sz w:val="20"/>
          <w:szCs w:val="20"/>
        </w:rPr>
        <w:t xml:space="preserve"> who gets the money, only how to decide the dispute. Should federal courts rely on state law, together with any applicable federal rules, or should they devise their own federal common law test? To ask the question is nearly to answer it. The cases in which federal courts may engage in common lawmaking are few and far between. This is one of the cases that lie between.</w:t>
      </w:r>
    </w:p>
    <w:p w14:paraId="3E79A4EB" w14:textId="77777777" w:rsidR="003C0C0F" w:rsidRPr="00AC5100" w:rsidRDefault="003C0C0F" w:rsidP="003C0C0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sz w:val="20"/>
          <w:szCs w:val="20"/>
        </w:rPr>
        <w:t>. . . .</w:t>
      </w:r>
    </w:p>
    <w:p w14:paraId="5BB88F68" w14:textId="77777777" w:rsidR="003C0C0F" w:rsidRPr="00AC5100" w:rsidRDefault="003C0C0F" w:rsidP="003C0C0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sz w:val="20"/>
          <w:szCs w:val="20"/>
        </w:rPr>
        <w:t>Judicial lawmaking in the form of federal common law plays a necessarily modest role under a </w:t>
      </w:r>
      <w:r w:rsidRPr="00AC5100">
        <w:rPr>
          <w:rFonts w:ascii="Palatino Linotype" w:eastAsia="Times New Roman" w:hAnsi="Palatino Linotype" w:cs="Times New Roman"/>
          <w:sz w:val="20"/>
          <w:szCs w:val="20"/>
          <w:bdr w:val="none" w:sz="0" w:space="0" w:color="auto" w:frame="1"/>
        </w:rPr>
        <w:t>Constitution</w:t>
      </w:r>
      <w:r w:rsidRPr="00AC5100">
        <w:rPr>
          <w:rFonts w:ascii="Palatino Linotype" w:eastAsia="Times New Roman" w:hAnsi="Palatino Linotype" w:cs="Times New Roman"/>
          <w:sz w:val="20"/>
          <w:szCs w:val="20"/>
        </w:rPr>
        <w:t> that vests the federal government's “legislative Powers” in Congress and reserves most other regulatory authority to the States. As this Court has put it, there is “no federal general common law.”  Instead, only limited areas exist in which federal judges may appropriately craft the rule of decision.  These areas have included admiralty disputes and certain controversies between States.  In contexts like these, federal common law often plays an important role. But before federal judges may claim a new area for common lawmaking, strict conditions must be satisfied</w:t>
      </w:r>
      <w:proofErr w:type="gramStart"/>
      <w:r w:rsidRPr="00AC5100">
        <w:rPr>
          <w:rFonts w:ascii="Palatino Linotype" w:eastAsia="Times New Roman" w:hAnsi="Palatino Linotype" w:cs="Times New Roman"/>
          <w:sz w:val="20"/>
          <w:szCs w:val="20"/>
        </w:rPr>
        <w:t>. . . .</w:t>
      </w:r>
      <w:proofErr w:type="gramEnd"/>
      <w:r w:rsidRPr="00AC5100">
        <w:rPr>
          <w:rFonts w:ascii="Palatino Linotype" w:eastAsia="Times New Roman" w:hAnsi="Palatino Linotype" w:cs="Times New Roman"/>
          <w:sz w:val="20"/>
          <w:szCs w:val="20"/>
        </w:rPr>
        <w:t xml:space="preserve"> In the absence of congressional authorization, common lawmaking must be </w:t>
      </w:r>
      <w:proofErr w:type="gramStart"/>
      <w:r w:rsidRPr="00AC5100">
        <w:rPr>
          <w:rFonts w:ascii="Palatino Linotype" w:eastAsia="Times New Roman" w:hAnsi="Palatino Linotype" w:cs="Times New Roman"/>
          <w:sz w:val="20"/>
          <w:szCs w:val="20"/>
        </w:rPr>
        <w:t>“ ‘</w:t>
      </w:r>
      <w:proofErr w:type="gramEnd"/>
      <w:r w:rsidRPr="00AC5100">
        <w:rPr>
          <w:rFonts w:ascii="Palatino Linotype" w:eastAsia="Times New Roman" w:hAnsi="Palatino Linotype" w:cs="Times New Roman"/>
          <w:sz w:val="20"/>
          <w:szCs w:val="20"/>
        </w:rPr>
        <w:t>necessary to protect uniquely federal interests.’ ” </w:t>
      </w:r>
    </w:p>
    <w:p w14:paraId="52625FEC" w14:textId="77777777" w:rsidR="003C0C0F" w:rsidRPr="00AC5100" w:rsidRDefault="003C0C0F" w:rsidP="003C0C0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sz w:val="20"/>
          <w:szCs w:val="20"/>
        </w:rPr>
        <w:lastRenderedPageBreak/>
        <w:t>Nothing like that exists here. The federal government may have an interest in regulating how it </w:t>
      </w:r>
      <w:r w:rsidRPr="00AC5100">
        <w:rPr>
          <w:rFonts w:ascii="Palatino Linotype" w:eastAsia="Times New Roman" w:hAnsi="Palatino Linotype" w:cs="Times New Roman"/>
          <w:i/>
          <w:iCs/>
          <w:sz w:val="20"/>
          <w:szCs w:val="20"/>
          <w:bdr w:val="none" w:sz="0" w:space="0" w:color="auto" w:frame="1"/>
        </w:rPr>
        <w:t>receives</w:t>
      </w:r>
      <w:r w:rsidRPr="00AC5100">
        <w:rPr>
          <w:rFonts w:ascii="Palatino Linotype" w:eastAsia="Times New Roman" w:hAnsi="Palatino Linotype" w:cs="Times New Roman"/>
          <w:sz w:val="20"/>
          <w:szCs w:val="20"/>
        </w:rPr>
        <w:t> taxes from corporate groups. The government also may have an interest in regulating the </w:t>
      </w:r>
      <w:r w:rsidRPr="00AC5100">
        <w:rPr>
          <w:rFonts w:ascii="Palatino Linotype" w:eastAsia="Times New Roman" w:hAnsi="Palatino Linotype" w:cs="Times New Roman"/>
          <w:i/>
          <w:iCs/>
          <w:sz w:val="20"/>
          <w:szCs w:val="20"/>
          <w:bdr w:val="none" w:sz="0" w:space="0" w:color="auto" w:frame="1"/>
        </w:rPr>
        <w:t>delivery</w:t>
      </w:r>
      <w:r w:rsidRPr="00AC5100">
        <w:rPr>
          <w:rFonts w:ascii="Palatino Linotype" w:eastAsia="Times New Roman" w:hAnsi="Palatino Linotype" w:cs="Times New Roman"/>
          <w:sz w:val="20"/>
          <w:szCs w:val="20"/>
        </w:rPr>
        <w:t xml:space="preserve"> of any tax refund due a corporate group. For </w:t>
      </w:r>
      <w:proofErr w:type="gramStart"/>
      <w:r w:rsidRPr="00AC5100">
        <w:rPr>
          <w:rFonts w:ascii="Palatino Linotype" w:eastAsia="Times New Roman" w:hAnsi="Palatino Linotype" w:cs="Times New Roman"/>
          <w:sz w:val="20"/>
          <w:szCs w:val="20"/>
        </w:rPr>
        <w:t>example</w:t>
      </w:r>
      <w:proofErr w:type="gramEnd"/>
      <w:r w:rsidRPr="00AC5100">
        <w:rPr>
          <w:rFonts w:ascii="Palatino Linotype" w:eastAsia="Times New Roman" w:hAnsi="Palatino Linotype" w:cs="Times New Roman"/>
          <w:sz w:val="20"/>
          <w:szCs w:val="20"/>
        </w:rPr>
        <w:t xml:space="preserve"> and as we've seen, the government may wish to ensure that others in the group have no recourse against federal coffers once it pays the group's designated agent. But what unique interest could the federal government have in determining how a consolidated corporate tax refund, once paid to a designated agent, is </w:t>
      </w:r>
      <w:r w:rsidRPr="00AC5100">
        <w:rPr>
          <w:rFonts w:ascii="Palatino Linotype" w:eastAsia="Times New Roman" w:hAnsi="Palatino Linotype" w:cs="Times New Roman"/>
          <w:i/>
          <w:iCs/>
          <w:sz w:val="20"/>
          <w:szCs w:val="20"/>
          <w:bdr w:val="none" w:sz="0" w:space="0" w:color="auto" w:frame="1"/>
        </w:rPr>
        <w:t>distributed</w:t>
      </w:r>
      <w:r w:rsidRPr="00AC5100">
        <w:rPr>
          <w:rFonts w:ascii="Palatino Linotype" w:eastAsia="Times New Roman" w:hAnsi="Palatino Linotype" w:cs="Times New Roman"/>
          <w:sz w:val="20"/>
          <w:szCs w:val="20"/>
        </w:rPr>
        <w:t> among group members?</w:t>
      </w:r>
    </w:p>
    <w:p w14:paraId="2306C417" w14:textId="77777777" w:rsidR="003C0C0F" w:rsidRPr="00AC5100" w:rsidRDefault="003C0C0F" w:rsidP="003C0C0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sz w:val="20"/>
          <w:szCs w:val="20"/>
        </w:rPr>
        <w:t>. . . .</w:t>
      </w:r>
    </w:p>
    <w:p w14:paraId="559D7AA6" w14:textId="77777777" w:rsidR="003C0C0F" w:rsidRPr="00AC5100" w:rsidRDefault="003C0C0F" w:rsidP="003C0C0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sz w:val="20"/>
          <w:szCs w:val="20"/>
        </w:rPr>
        <w:t xml:space="preserve">. . . .  Corporations are generally “creatures of state law,” and state law is well equipped to handle disputes involving corporate property rights. That cases like the one now before us happen to involve corporate property rights in the context of a federal bankruptcy and a tax dispute </w:t>
      </w:r>
      <w:proofErr w:type="gramStart"/>
      <w:r w:rsidRPr="00AC5100">
        <w:rPr>
          <w:rFonts w:ascii="Palatino Linotype" w:eastAsia="Times New Roman" w:hAnsi="Palatino Linotype" w:cs="Times New Roman"/>
          <w:sz w:val="20"/>
          <w:szCs w:val="20"/>
        </w:rPr>
        <w:t>doesn't</w:t>
      </w:r>
      <w:proofErr w:type="gramEnd"/>
      <w:r w:rsidRPr="00AC5100">
        <w:rPr>
          <w:rFonts w:ascii="Palatino Linotype" w:eastAsia="Times New Roman" w:hAnsi="Palatino Linotype" w:cs="Times New Roman"/>
          <w:sz w:val="20"/>
          <w:szCs w:val="20"/>
        </w:rPr>
        <w:t xml:space="preserve"> change much. As this Court has long recognized, “Congress has generally left the determination of property rights in the assets of a bankrupt's estate to state law.”  So too with the Internal Revenue Code—it generally </w:t>
      </w:r>
      <w:proofErr w:type="gramStart"/>
      <w:r w:rsidRPr="00AC5100">
        <w:rPr>
          <w:rFonts w:ascii="Palatino Linotype" w:eastAsia="Times New Roman" w:hAnsi="Palatino Linotype" w:cs="Times New Roman"/>
          <w:sz w:val="20"/>
          <w:szCs w:val="20"/>
        </w:rPr>
        <w:t>“ ‘</w:t>
      </w:r>
      <w:proofErr w:type="gramEnd"/>
      <w:r w:rsidRPr="00AC5100">
        <w:rPr>
          <w:rFonts w:ascii="Palatino Linotype" w:eastAsia="Times New Roman" w:hAnsi="Palatino Linotype" w:cs="Times New Roman"/>
          <w:sz w:val="20"/>
          <w:szCs w:val="20"/>
        </w:rPr>
        <w:t>creates no property rights.’ ” If special exceptions to these usual rules sometimes might be warranted, no one has explained why the distribution of a consolidated corporate tax refund should be among them.</w:t>
      </w:r>
    </w:p>
    <w:p w14:paraId="15771969" w14:textId="77777777" w:rsidR="003C0C0F" w:rsidRPr="00AC5100" w:rsidRDefault="003C0C0F" w:rsidP="003C0C0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sz w:val="20"/>
          <w:szCs w:val="20"/>
        </w:rPr>
        <w:t>. . . .</w:t>
      </w:r>
    </w:p>
    <w:p w14:paraId="1516823A" w14:textId="77777777" w:rsidR="003C0C0F" w:rsidRPr="00AC5100" w:rsidRDefault="003C0C0F" w:rsidP="003C0C0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5100">
        <w:rPr>
          <w:rFonts w:ascii="Palatino Linotype" w:eastAsia="Times New Roman" w:hAnsi="Palatino Linotype" w:cs="Times New Roman"/>
          <w:sz w:val="20"/>
          <w:szCs w:val="20"/>
        </w:rPr>
        <w:t>. . . . Some, maybe many, cases will come out the same way under state law or </w:t>
      </w:r>
      <w:hyperlink r:id="rId5" w:history="1">
        <w:r w:rsidRPr="00AC5100">
          <w:rPr>
            <w:rFonts w:ascii="Palatino Linotype" w:eastAsia="Times New Roman" w:hAnsi="Palatino Linotype" w:cs="Times New Roman"/>
            <w:i/>
            <w:iCs/>
            <w:sz w:val="20"/>
            <w:szCs w:val="20"/>
            <w:bdr w:val="none" w:sz="0" w:space="0" w:color="auto" w:frame="1"/>
          </w:rPr>
          <w:t>Bob Richards</w:t>
        </w:r>
      </w:hyperlink>
      <w:r w:rsidRPr="00AC5100">
        <w:rPr>
          <w:rFonts w:ascii="Palatino Linotype" w:eastAsia="Times New Roman" w:hAnsi="Palatino Linotype" w:cs="Times New Roman"/>
          <w:sz w:val="20"/>
          <w:szCs w:val="20"/>
        </w:rPr>
        <w:t xml:space="preserve">. But we did not take this case to decide how this case should be resolved under state law or to determine how IRS regulations might interact with state law. We took this case only to underscore the care federal courts should exercise before taking up an invitation to try their hand at common lawmaking.  </w:t>
      </w:r>
      <w:r w:rsidRPr="00AC5100">
        <w:rPr>
          <w:rFonts w:ascii="Palatino Linotype" w:eastAsia="Times New Roman" w:hAnsi="Palatino Linotype" w:cs="Times New Roman"/>
          <w:i/>
          <w:iCs/>
          <w:sz w:val="20"/>
          <w:szCs w:val="20"/>
        </w:rPr>
        <w:t xml:space="preserve">In re </w:t>
      </w:r>
      <w:hyperlink r:id="rId6" w:history="1">
        <w:r w:rsidRPr="00AC5100">
          <w:rPr>
            <w:rFonts w:ascii="Palatino Linotype" w:eastAsia="Times New Roman" w:hAnsi="Palatino Linotype" w:cs="Times New Roman"/>
            <w:i/>
            <w:iCs/>
            <w:sz w:val="20"/>
            <w:szCs w:val="20"/>
            <w:bdr w:val="none" w:sz="0" w:space="0" w:color="auto" w:frame="1"/>
          </w:rPr>
          <w:t>Bob Richards</w:t>
        </w:r>
      </w:hyperlink>
      <w:r w:rsidRPr="00AC5100">
        <w:rPr>
          <w:rFonts w:ascii="Palatino Linotype" w:eastAsia="Times New Roman" w:hAnsi="Palatino Linotype" w:cs="Times New Roman"/>
          <w:sz w:val="20"/>
          <w:szCs w:val="20"/>
        </w:rPr>
        <w:t> </w:t>
      </w:r>
      <w:r w:rsidRPr="00AC5100">
        <w:rPr>
          <w:rFonts w:ascii="Palatino Linotype" w:eastAsia="Times New Roman" w:hAnsi="Palatino Linotype" w:cs="Times New Roman"/>
          <w:i/>
          <w:iCs/>
          <w:sz w:val="20"/>
          <w:szCs w:val="20"/>
        </w:rPr>
        <w:t xml:space="preserve">Chrysler-Plymouth Corp. </w:t>
      </w:r>
      <w:r w:rsidRPr="00AC5100">
        <w:rPr>
          <w:rFonts w:ascii="Palatino Linotype" w:eastAsia="Times New Roman" w:hAnsi="Palatino Linotype" w:cs="Times New Roman"/>
          <w:sz w:val="20"/>
          <w:szCs w:val="20"/>
        </w:rPr>
        <w:t>(9</w:t>
      </w:r>
      <w:r w:rsidRPr="00AC5100">
        <w:rPr>
          <w:rFonts w:ascii="Palatino Linotype" w:eastAsia="Times New Roman" w:hAnsi="Palatino Linotype" w:cs="Times New Roman"/>
          <w:sz w:val="20"/>
          <w:szCs w:val="20"/>
          <w:vertAlign w:val="superscript"/>
        </w:rPr>
        <w:t>th</w:t>
      </w:r>
      <w:r w:rsidRPr="00AC5100">
        <w:rPr>
          <w:rFonts w:ascii="Palatino Linotype" w:eastAsia="Times New Roman" w:hAnsi="Palatino Linotype" w:cs="Times New Roman"/>
          <w:sz w:val="20"/>
          <w:szCs w:val="20"/>
        </w:rPr>
        <w:t xml:space="preserve"> Cir. 1973) made the mistake of moving too quickly past important threshold questions at the heart of our separation of powers. It supplies no rule of decision, only a cautionary tale. Whether this case might yield the same or a different result without </w:t>
      </w:r>
      <w:hyperlink r:id="rId7" w:history="1">
        <w:r w:rsidRPr="00AC5100">
          <w:rPr>
            <w:rFonts w:ascii="Palatino Linotype" w:eastAsia="Times New Roman" w:hAnsi="Palatino Linotype" w:cs="Times New Roman"/>
            <w:i/>
            <w:iCs/>
            <w:sz w:val="20"/>
            <w:szCs w:val="20"/>
            <w:bdr w:val="none" w:sz="0" w:space="0" w:color="auto" w:frame="1"/>
          </w:rPr>
          <w:t>Bob Richards</w:t>
        </w:r>
      </w:hyperlink>
      <w:r w:rsidRPr="00AC5100">
        <w:rPr>
          <w:rFonts w:ascii="Palatino Linotype" w:eastAsia="Times New Roman" w:hAnsi="Palatino Linotype" w:cs="Times New Roman"/>
          <w:sz w:val="20"/>
          <w:szCs w:val="20"/>
        </w:rPr>
        <w:t xml:space="preserve"> is a matter the court of appeals may consider on remand. </w:t>
      </w:r>
    </w:p>
    <w:p w14:paraId="61618D5F" w14:textId="77777777" w:rsidR="003C0C0F" w:rsidRPr="001145CC" w:rsidRDefault="003C0C0F" w:rsidP="003C0C0F"/>
    <w:bookmarkEnd w:id="0"/>
    <w:p w14:paraId="76794F93" w14:textId="77777777" w:rsidR="003C0C0F" w:rsidRDefault="003C0C0F" w:rsidP="003C0C0F"/>
    <w:p w14:paraId="42BB04B9"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0F"/>
    <w:rsid w:val="003C0C0F"/>
    <w:rsid w:val="008102F3"/>
    <w:rsid w:val="008B7DCB"/>
    <w:rsid w:val="009E4E30"/>
    <w:rsid w:val="00AC5100"/>
    <w:rsid w:val="00EE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59B6"/>
  <w15:chartTrackingRefBased/>
  <w15:docId w15:val="{924FBF34-5263-4FDF-AEE9-428FFC55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0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Y&amp;serNum=1973108465&amp;pubNum=0000350&amp;originatingDoc=Id6e8095257e111eabf0f8b3df1233a01&amp;refType=RP&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1973108465&amp;pubNum=0000350&amp;originatingDoc=Id6e8095257e111eabf0f8b3df1233a01&amp;refType=RP&amp;originationContext=document&amp;transitionType=DocumentItem&amp;contextData=(sc.Search)" TargetMode="External"/><Relationship Id="rId5" Type="http://schemas.openxmlformats.org/officeDocument/2006/relationships/hyperlink" Target="https://1.next.westlaw.com/Link/Document/FullText?findType=Y&amp;serNum=1973108465&amp;pubNum=0000350&amp;originatingDoc=Id6e8095257e111eabf0f8b3df1233a01&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183411701&amp;originatingDoc=Id6e8095257e111eabf0f8b3df1233a01&amp;refType=RQ&amp;originationContext=document&amp;transitionType=DocumentItem&amp;contextData=(sc.Search)&amp;analyticGuid=Id6e8095257e111eabf0f8b3df1233a0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2020-12-10T21:49:00Z</dcterms:created>
  <dcterms:modified xsi:type="dcterms:W3CDTF">2020-12-10T21:49:00Z</dcterms:modified>
</cp:coreProperties>
</file>