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A13E72" w14:textId="77777777" w:rsidR="00944B31" w:rsidRPr="00927ACF" w:rsidRDefault="00944B31" w:rsidP="00944B31">
      <w:pPr>
        <w:spacing w:after="0" w:line="240" w:lineRule="auto"/>
        <w:jc w:val="center"/>
        <w:rPr>
          <w:rFonts w:ascii="Palatino Linotype" w:hAnsi="Palatino Linotype"/>
          <w:sz w:val="20"/>
          <w:szCs w:val="20"/>
        </w:rPr>
      </w:pPr>
      <w:bookmarkStart w:id="0" w:name="_Hlk57865269"/>
      <w:r w:rsidRPr="00927ACF">
        <w:rPr>
          <w:rFonts w:ascii="Palatino Linotype" w:hAnsi="Palatino Linotype"/>
          <w:sz w:val="20"/>
          <w:szCs w:val="20"/>
        </w:rPr>
        <w:t>AMERICAN CONSTITUTIONALISM</w:t>
      </w:r>
    </w:p>
    <w:p w14:paraId="4DE55E53" w14:textId="32FEAC65" w:rsidR="00944B31" w:rsidRPr="00927ACF" w:rsidRDefault="00944B31" w:rsidP="00944B31">
      <w:pPr>
        <w:spacing w:after="0" w:line="240" w:lineRule="auto"/>
        <w:jc w:val="center"/>
        <w:rPr>
          <w:rFonts w:ascii="Palatino Linotype" w:hAnsi="Palatino Linotype"/>
          <w:sz w:val="20"/>
          <w:szCs w:val="20"/>
        </w:rPr>
      </w:pPr>
      <w:r w:rsidRPr="00927ACF">
        <w:rPr>
          <w:rFonts w:ascii="Palatino Linotype" w:hAnsi="Palatino Linotype"/>
          <w:sz w:val="20"/>
          <w:szCs w:val="20"/>
        </w:rPr>
        <w:t>VOLUME I:  STRUCTURES OF GOVERNMENT</w:t>
      </w:r>
    </w:p>
    <w:p w14:paraId="736077DB" w14:textId="77777777" w:rsidR="00944B31" w:rsidRPr="00927ACF" w:rsidRDefault="00944B31" w:rsidP="00944B31">
      <w:pPr>
        <w:spacing w:after="0" w:line="240" w:lineRule="auto"/>
        <w:jc w:val="center"/>
        <w:rPr>
          <w:rFonts w:ascii="Palatino Linotype" w:hAnsi="Palatino Linotype"/>
          <w:sz w:val="20"/>
          <w:szCs w:val="20"/>
        </w:rPr>
      </w:pPr>
      <w:r w:rsidRPr="00927ACF">
        <w:rPr>
          <w:rFonts w:ascii="Palatino Linotype" w:hAnsi="Palatino Linotype"/>
          <w:sz w:val="20"/>
          <w:szCs w:val="20"/>
        </w:rPr>
        <w:t>Howard Gillman • Mark A. Graber • Keith E. Whittington</w:t>
      </w:r>
    </w:p>
    <w:p w14:paraId="56E3075D" w14:textId="77777777" w:rsidR="00944B31" w:rsidRPr="00927ACF" w:rsidRDefault="00944B31" w:rsidP="00944B31">
      <w:pPr>
        <w:spacing w:after="0" w:line="240" w:lineRule="auto"/>
        <w:jc w:val="center"/>
        <w:rPr>
          <w:rFonts w:ascii="Palatino Linotype" w:hAnsi="Palatino Linotype"/>
          <w:sz w:val="20"/>
          <w:szCs w:val="20"/>
        </w:rPr>
      </w:pPr>
    </w:p>
    <w:p w14:paraId="5E9E6FE6" w14:textId="77777777" w:rsidR="00944B31" w:rsidRPr="00927ACF" w:rsidRDefault="00944B31" w:rsidP="00944B31">
      <w:pPr>
        <w:spacing w:after="0" w:line="240" w:lineRule="auto"/>
        <w:jc w:val="center"/>
        <w:rPr>
          <w:rFonts w:ascii="Palatino Linotype" w:hAnsi="Palatino Linotype"/>
          <w:sz w:val="20"/>
          <w:szCs w:val="20"/>
        </w:rPr>
      </w:pPr>
      <w:r w:rsidRPr="00927ACF">
        <w:rPr>
          <w:rFonts w:ascii="Palatino Linotype" w:hAnsi="Palatino Linotype"/>
          <w:sz w:val="20"/>
          <w:szCs w:val="20"/>
        </w:rPr>
        <w:t>Supplementary Material</w:t>
      </w:r>
    </w:p>
    <w:p w14:paraId="7F37A0B8" w14:textId="77777777" w:rsidR="00944B31" w:rsidRPr="00927ACF" w:rsidRDefault="00944B31" w:rsidP="00944B31">
      <w:pPr>
        <w:spacing w:after="0" w:line="240" w:lineRule="auto"/>
        <w:jc w:val="center"/>
        <w:rPr>
          <w:rFonts w:ascii="Palatino Linotype" w:hAnsi="Palatino Linotype"/>
          <w:sz w:val="20"/>
          <w:szCs w:val="20"/>
        </w:rPr>
      </w:pPr>
    </w:p>
    <w:p w14:paraId="141DAEB4" w14:textId="5ECAC2A7" w:rsidR="00944B31" w:rsidRPr="00927ACF" w:rsidRDefault="00944B31" w:rsidP="00944B31">
      <w:pPr>
        <w:spacing w:after="0" w:line="240" w:lineRule="auto"/>
        <w:jc w:val="center"/>
        <w:rPr>
          <w:rFonts w:ascii="Palatino Linotype" w:hAnsi="Palatino Linotype"/>
          <w:sz w:val="20"/>
          <w:szCs w:val="20"/>
        </w:rPr>
      </w:pPr>
      <w:r w:rsidRPr="00927ACF">
        <w:rPr>
          <w:rFonts w:ascii="Palatino Linotype" w:hAnsi="Palatino Linotype"/>
          <w:sz w:val="20"/>
          <w:szCs w:val="20"/>
        </w:rPr>
        <w:t>Chapter 12:  The Contemporary Era – Separation of Powers/</w:t>
      </w:r>
      <w:r w:rsidR="00C60071" w:rsidRPr="00927ACF">
        <w:rPr>
          <w:rFonts w:ascii="Palatino Linotype" w:hAnsi="Palatino Linotype"/>
          <w:sz w:val="20"/>
          <w:szCs w:val="20"/>
        </w:rPr>
        <w:t>Nond</w:t>
      </w:r>
      <w:r w:rsidRPr="00927ACF">
        <w:rPr>
          <w:rFonts w:ascii="Palatino Linotype" w:hAnsi="Palatino Linotype"/>
          <w:sz w:val="20"/>
          <w:szCs w:val="20"/>
        </w:rPr>
        <w:t>elegation</w:t>
      </w:r>
      <w:r w:rsidR="00C60071" w:rsidRPr="00927ACF">
        <w:rPr>
          <w:rFonts w:ascii="Palatino Linotype" w:hAnsi="Palatino Linotype"/>
          <w:sz w:val="20"/>
          <w:szCs w:val="20"/>
        </w:rPr>
        <w:t xml:space="preserve"> of Legislative Powers</w:t>
      </w:r>
    </w:p>
    <w:p w14:paraId="51C3EC9B" w14:textId="77777777" w:rsidR="00944B31" w:rsidRPr="00927ACF" w:rsidRDefault="00944B31" w:rsidP="00944B31">
      <w:pPr>
        <w:spacing w:after="0" w:line="240" w:lineRule="auto"/>
        <w:jc w:val="center"/>
        <w:rPr>
          <w:rFonts w:ascii="Palatino Linotype" w:hAnsi="Palatino Linotype"/>
          <w:sz w:val="20"/>
          <w:szCs w:val="20"/>
        </w:rPr>
      </w:pPr>
    </w:p>
    <w:p w14:paraId="6458DF82" w14:textId="77777777" w:rsidR="00944B31" w:rsidRPr="00927ACF" w:rsidRDefault="00203328" w:rsidP="00944B31">
      <w:pPr>
        <w:spacing w:after="0" w:line="240" w:lineRule="auto"/>
        <w:rPr>
          <w:rFonts w:ascii="Palatino Linotype" w:hAnsi="Palatino Linotype" w:cs="Times New Roman"/>
          <w:sz w:val="20"/>
          <w:szCs w:val="20"/>
        </w:rPr>
      </w:pPr>
      <w:r>
        <w:rPr>
          <w:rFonts w:ascii="Palatino Linotype" w:hAnsi="Palatino Linotype" w:cs="Times New Roman"/>
          <w:sz w:val="20"/>
          <w:szCs w:val="20"/>
        </w:rPr>
        <w:pict w14:anchorId="478E1544">
          <v:rect id="_x0000_i1025" style="width:468pt;height:1.5pt" o:hralign="center" o:hrstd="t" o:hrnoshade="t" o:hr="t" fillcolor="black [3213]" stroked="f"/>
        </w:pict>
      </w:r>
    </w:p>
    <w:p w14:paraId="408358F7" w14:textId="1AF9FDAB" w:rsidR="00944B31" w:rsidRPr="00927ACF" w:rsidRDefault="00944B31" w:rsidP="00944B31">
      <w:pPr>
        <w:spacing w:after="0" w:line="240" w:lineRule="auto"/>
        <w:jc w:val="center"/>
        <w:rPr>
          <w:rFonts w:ascii="Palatino Linotype" w:eastAsia="Times New Roman" w:hAnsi="Palatino Linotype" w:cs="Times New Roman"/>
          <w:sz w:val="20"/>
          <w:szCs w:val="20"/>
          <w:shd w:val="clear" w:color="auto" w:fill="FFFFFF"/>
        </w:rPr>
      </w:pPr>
      <w:r w:rsidRPr="00927ACF">
        <w:rPr>
          <w:rFonts w:ascii="Palatino Linotype" w:eastAsia="Times New Roman" w:hAnsi="Palatino Linotype" w:cs="Times New Roman"/>
          <w:b/>
          <w:bCs/>
          <w:sz w:val="20"/>
          <w:szCs w:val="20"/>
          <w:shd w:val="clear" w:color="auto" w:fill="FFFFFF"/>
        </w:rPr>
        <w:t xml:space="preserve">Paul v. United States, 140 </w:t>
      </w:r>
      <w:proofErr w:type="spellStart"/>
      <w:r w:rsidRPr="00927ACF">
        <w:rPr>
          <w:rFonts w:ascii="Palatino Linotype" w:eastAsia="Times New Roman" w:hAnsi="Palatino Linotype" w:cs="Times New Roman"/>
          <w:b/>
          <w:bCs/>
          <w:sz w:val="20"/>
          <w:szCs w:val="20"/>
          <w:shd w:val="clear" w:color="auto" w:fill="FFFFFF"/>
        </w:rPr>
        <w:t>S.Ct</w:t>
      </w:r>
      <w:proofErr w:type="spellEnd"/>
      <w:r w:rsidRPr="00927ACF">
        <w:rPr>
          <w:rFonts w:ascii="Palatino Linotype" w:eastAsia="Times New Roman" w:hAnsi="Palatino Linotype" w:cs="Times New Roman"/>
          <w:b/>
          <w:bCs/>
          <w:sz w:val="20"/>
          <w:szCs w:val="20"/>
          <w:shd w:val="clear" w:color="auto" w:fill="FFFFFF"/>
        </w:rPr>
        <w:t>. 342</w:t>
      </w:r>
      <w:r w:rsidRPr="00927ACF">
        <w:rPr>
          <w:rFonts w:ascii="Palatino Linotype" w:eastAsia="Times New Roman" w:hAnsi="Palatino Linotype" w:cs="Times New Roman"/>
          <w:sz w:val="20"/>
          <w:szCs w:val="20"/>
          <w:shd w:val="clear" w:color="auto" w:fill="FFFFFF"/>
        </w:rPr>
        <w:t xml:space="preserve"> (2019)</w:t>
      </w:r>
    </w:p>
    <w:p w14:paraId="09F8D44D" w14:textId="77777777" w:rsidR="00944B31" w:rsidRPr="00927ACF" w:rsidRDefault="00203328" w:rsidP="00944B31">
      <w:pPr>
        <w:spacing w:after="0" w:line="240" w:lineRule="auto"/>
        <w:rPr>
          <w:rFonts w:ascii="Palatino Linotype" w:eastAsia="Times New Roman" w:hAnsi="Palatino Linotype" w:cs="Times New Roman"/>
          <w:sz w:val="20"/>
          <w:szCs w:val="20"/>
        </w:rPr>
      </w:pPr>
      <w:r>
        <w:rPr>
          <w:rFonts w:ascii="Palatino Linotype" w:hAnsi="Palatino Linotype" w:cs="Times New Roman"/>
          <w:sz w:val="20"/>
          <w:szCs w:val="20"/>
        </w:rPr>
        <w:pict w14:anchorId="30D2AF71">
          <v:rect id="_x0000_i1026" style="width:468pt;height:1.5pt" o:hralign="center" o:hrstd="t" o:hrnoshade="t" o:hr="t" fillcolor="black [3213]" stroked="f"/>
        </w:pict>
      </w:r>
    </w:p>
    <w:p w14:paraId="29F535E9" w14:textId="77777777" w:rsidR="00944B31" w:rsidRPr="00927ACF" w:rsidRDefault="00944B31" w:rsidP="00944B31">
      <w:pPr>
        <w:spacing w:after="0" w:line="240" w:lineRule="auto"/>
        <w:rPr>
          <w:rFonts w:ascii="Palatino Linotype" w:eastAsia="Times New Roman" w:hAnsi="Palatino Linotype" w:cs="Times New Roman"/>
          <w:sz w:val="20"/>
          <w:szCs w:val="20"/>
        </w:rPr>
      </w:pPr>
    </w:p>
    <w:bookmarkEnd w:id="0"/>
    <w:p w14:paraId="16740872" w14:textId="6E80EA9F" w:rsidR="00944B31" w:rsidRPr="00927ACF" w:rsidRDefault="00944B31" w:rsidP="00944B31">
      <w:pPr>
        <w:spacing w:after="0" w:line="240" w:lineRule="auto"/>
        <w:rPr>
          <w:rFonts w:ascii="Palatino Linotype" w:eastAsia="Times New Roman" w:hAnsi="Palatino Linotype" w:cs="Times New Roman"/>
          <w:i/>
          <w:iCs/>
          <w:sz w:val="20"/>
          <w:szCs w:val="20"/>
          <w:shd w:val="clear" w:color="auto" w:fill="FFFFFF"/>
        </w:rPr>
      </w:pPr>
      <w:r w:rsidRPr="00927ACF">
        <w:rPr>
          <w:rFonts w:ascii="Palatino Linotype" w:eastAsia="Times New Roman" w:hAnsi="Palatino Linotype" w:cs="Times New Roman"/>
          <w:i/>
          <w:iCs/>
          <w:sz w:val="20"/>
          <w:szCs w:val="20"/>
          <w:shd w:val="clear" w:color="auto" w:fill="FFFFFF"/>
        </w:rPr>
        <w:t xml:space="preserve">Ronald Paul was convicted of rape.  He was subsequently convicted for failing to register as a sex offender </w:t>
      </w:r>
      <w:r w:rsidR="00964D6E" w:rsidRPr="00927ACF">
        <w:rPr>
          <w:rFonts w:ascii="Palatino Linotype" w:eastAsia="Times New Roman" w:hAnsi="Palatino Linotype" w:cs="Times New Roman"/>
          <w:i/>
          <w:iCs/>
          <w:sz w:val="20"/>
          <w:szCs w:val="20"/>
          <w:shd w:val="clear" w:color="auto" w:fill="FFFFFF"/>
        </w:rPr>
        <w:t>under the Sex Offender Registration and Notification Act (SORNA).  Paul appealed his conviction on the ground that SORNA was unconstitutionally vague and had other constitutional flaws.  The Court of Appeals for the Sixth Circuit.  Paul appealed to the Supreme Court of the United States.</w:t>
      </w:r>
    </w:p>
    <w:p w14:paraId="62B5D97C" w14:textId="30B95AA9" w:rsidR="00964D6E" w:rsidRPr="00927ACF" w:rsidRDefault="00964D6E" w:rsidP="00944B31">
      <w:pPr>
        <w:spacing w:after="0" w:line="240" w:lineRule="auto"/>
        <w:rPr>
          <w:rFonts w:ascii="Palatino Linotype" w:eastAsia="Times New Roman" w:hAnsi="Palatino Linotype" w:cs="Times New Roman"/>
          <w:i/>
          <w:iCs/>
          <w:sz w:val="20"/>
          <w:szCs w:val="20"/>
          <w:shd w:val="clear" w:color="auto" w:fill="FFFFFF"/>
        </w:rPr>
      </w:pPr>
      <w:r w:rsidRPr="00927ACF">
        <w:rPr>
          <w:rFonts w:ascii="Palatino Linotype" w:eastAsia="Times New Roman" w:hAnsi="Palatino Linotype" w:cs="Times New Roman"/>
          <w:i/>
          <w:iCs/>
          <w:sz w:val="20"/>
          <w:szCs w:val="20"/>
          <w:shd w:val="clear" w:color="auto" w:fill="FFFFFF"/>
        </w:rPr>
        <w:tab/>
        <w:t xml:space="preserve">The Supreme Court unanimously denied certiorari.  During the previous term, the justices in </w:t>
      </w:r>
      <w:r w:rsidRPr="00927ACF">
        <w:rPr>
          <w:rFonts w:ascii="Palatino Linotype" w:eastAsia="Times New Roman" w:hAnsi="Palatino Linotype" w:cs="Times New Roman"/>
          <w:sz w:val="20"/>
          <w:szCs w:val="20"/>
          <w:shd w:val="clear" w:color="auto" w:fill="FFFFFF"/>
        </w:rPr>
        <w:t xml:space="preserve">Gundy v. United States </w:t>
      </w:r>
      <w:r w:rsidRPr="00927ACF">
        <w:rPr>
          <w:rFonts w:ascii="Palatino Linotype" w:eastAsia="Times New Roman" w:hAnsi="Palatino Linotype" w:cs="Times New Roman"/>
          <w:i/>
          <w:iCs/>
          <w:sz w:val="20"/>
          <w:szCs w:val="20"/>
          <w:shd w:val="clear" w:color="auto" w:fill="FFFFFF"/>
        </w:rPr>
        <w:t xml:space="preserve">(2019) had sustained SORNA as a constitutional delegation of power from Congress to the executive branch.  Justice Kavanaugh, while not disputing the denial of certiorari in </w:t>
      </w:r>
      <w:r w:rsidRPr="00927ACF">
        <w:rPr>
          <w:rFonts w:ascii="Palatino Linotype" w:eastAsia="Times New Roman" w:hAnsi="Palatino Linotype" w:cs="Times New Roman"/>
          <w:sz w:val="20"/>
          <w:szCs w:val="20"/>
          <w:shd w:val="clear" w:color="auto" w:fill="FFFFFF"/>
        </w:rPr>
        <w:t>Paul</w:t>
      </w:r>
      <w:r w:rsidRPr="00927ACF">
        <w:rPr>
          <w:rFonts w:ascii="Palatino Linotype" w:eastAsia="Times New Roman" w:hAnsi="Palatino Linotype" w:cs="Times New Roman"/>
          <w:i/>
          <w:iCs/>
          <w:sz w:val="20"/>
          <w:szCs w:val="20"/>
          <w:shd w:val="clear" w:color="auto" w:fill="FFFFFF"/>
        </w:rPr>
        <w:t xml:space="preserve">, took the opportunity to suggest that he was looking for opportunities to reverse </w:t>
      </w:r>
      <w:r w:rsidRPr="00927ACF">
        <w:rPr>
          <w:rFonts w:ascii="Palatino Linotype" w:eastAsia="Times New Roman" w:hAnsi="Palatino Linotype" w:cs="Times New Roman"/>
          <w:sz w:val="20"/>
          <w:szCs w:val="20"/>
          <w:shd w:val="clear" w:color="auto" w:fill="FFFFFF"/>
        </w:rPr>
        <w:t>Gundy</w:t>
      </w:r>
      <w:r w:rsidRPr="00927ACF">
        <w:rPr>
          <w:rFonts w:ascii="Palatino Linotype" w:eastAsia="Times New Roman" w:hAnsi="Palatino Linotype" w:cs="Times New Roman"/>
          <w:i/>
          <w:iCs/>
          <w:sz w:val="20"/>
          <w:szCs w:val="20"/>
          <w:shd w:val="clear" w:color="auto" w:fill="FFFFFF"/>
        </w:rPr>
        <w:t xml:space="preserve">.  Is </w:t>
      </w:r>
      <w:r w:rsidRPr="00927ACF">
        <w:rPr>
          <w:rFonts w:ascii="Palatino Linotype" w:eastAsia="Times New Roman" w:hAnsi="Palatino Linotype" w:cs="Times New Roman"/>
          <w:sz w:val="20"/>
          <w:szCs w:val="20"/>
          <w:shd w:val="clear" w:color="auto" w:fill="FFFFFF"/>
        </w:rPr>
        <w:t xml:space="preserve">Gundy </w:t>
      </w:r>
      <w:r w:rsidRPr="00927ACF">
        <w:rPr>
          <w:rFonts w:ascii="Palatino Linotype" w:eastAsia="Times New Roman" w:hAnsi="Palatino Linotype" w:cs="Times New Roman"/>
          <w:i/>
          <w:iCs/>
          <w:sz w:val="20"/>
          <w:szCs w:val="20"/>
          <w:shd w:val="clear" w:color="auto" w:fill="FFFFFF"/>
        </w:rPr>
        <w:t xml:space="preserve">long for the world?  How would Kavanaugh replace </w:t>
      </w:r>
      <w:r w:rsidRPr="00927ACF">
        <w:rPr>
          <w:rFonts w:ascii="Palatino Linotype" w:eastAsia="Times New Roman" w:hAnsi="Palatino Linotype" w:cs="Times New Roman"/>
          <w:sz w:val="20"/>
          <w:szCs w:val="20"/>
          <w:shd w:val="clear" w:color="auto" w:fill="FFFFFF"/>
        </w:rPr>
        <w:t>Gundy</w:t>
      </w:r>
      <w:r w:rsidRPr="00927ACF">
        <w:rPr>
          <w:rFonts w:ascii="Palatino Linotype" w:eastAsia="Times New Roman" w:hAnsi="Palatino Linotype" w:cs="Times New Roman"/>
          <w:i/>
          <w:iCs/>
          <w:sz w:val="20"/>
          <w:szCs w:val="20"/>
          <w:shd w:val="clear" w:color="auto" w:fill="FFFFFF"/>
        </w:rPr>
        <w:t>? What would be the consequences of invigorating the delegation doctrine?  Why are conservatives for invigoration and liberals opposed?</w:t>
      </w:r>
    </w:p>
    <w:p w14:paraId="1F264C67" w14:textId="77777777" w:rsidR="00944B31" w:rsidRPr="00927ACF" w:rsidRDefault="00944B31" w:rsidP="00944B31">
      <w:pPr>
        <w:spacing w:after="0" w:line="240" w:lineRule="auto"/>
        <w:ind w:firstLine="720"/>
        <w:rPr>
          <w:rFonts w:ascii="Palatino Linotype" w:eastAsia="Times New Roman" w:hAnsi="Palatino Linotype" w:cs="Times New Roman"/>
          <w:sz w:val="20"/>
          <w:szCs w:val="20"/>
          <w:shd w:val="clear" w:color="auto" w:fill="FFFFFF"/>
        </w:rPr>
      </w:pPr>
    </w:p>
    <w:p w14:paraId="7C74CAA9" w14:textId="77777777" w:rsidR="00944B31" w:rsidRPr="00927ACF" w:rsidRDefault="00944B31" w:rsidP="00944B31">
      <w:pPr>
        <w:spacing w:after="0" w:line="240" w:lineRule="auto"/>
        <w:rPr>
          <w:rFonts w:ascii="Palatino Linotype" w:eastAsia="Times New Roman" w:hAnsi="Palatino Linotype" w:cs="Times New Roman"/>
          <w:sz w:val="20"/>
          <w:szCs w:val="20"/>
        </w:rPr>
      </w:pPr>
      <w:r w:rsidRPr="00927ACF">
        <w:rPr>
          <w:rFonts w:ascii="Palatino Linotype" w:eastAsia="Times New Roman" w:hAnsi="Palatino Linotype" w:cs="Times New Roman"/>
          <w:sz w:val="20"/>
          <w:szCs w:val="20"/>
          <w:shd w:val="clear" w:color="auto" w:fill="FFFFFF"/>
        </w:rPr>
        <w:t>Statement of Justice </w:t>
      </w:r>
      <w:hyperlink r:id="rId4" w:history="1">
        <w:r w:rsidRPr="00927ACF">
          <w:rPr>
            <w:rFonts w:ascii="Palatino Linotype" w:eastAsia="Times New Roman" w:hAnsi="Palatino Linotype" w:cs="Times New Roman"/>
            <w:sz w:val="20"/>
            <w:szCs w:val="20"/>
            <w:bdr w:val="none" w:sz="0" w:space="0" w:color="auto" w:frame="1"/>
            <w:shd w:val="clear" w:color="auto" w:fill="FFFFFF"/>
          </w:rPr>
          <w:t>KAVANAUGH</w:t>
        </w:r>
      </w:hyperlink>
      <w:r w:rsidRPr="00927ACF">
        <w:rPr>
          <w:rFonts w:ascii="Palatino Linotype" w:eastAsia="Times New Roman" w:hAnsi="Palatino Linotype" w:cs="Times New Roman"/>
          <w:sz w:val="20"/>
          <w:szCs w:val="20"/>
          <w:shd w:val="clear" w:color="auto" w:fill="FFFFFF"/>
        </w:rPr>
        <w:t> respecting the denial of certiorari.</w:t>
      </w:r>
    </w:p>
    <w:p w14:paraId="278FC004" w14:textId="77777777" w:rsidR="00944B31" w:rsidRPr="00927ACF" w:rsidRDefault="00944B31" w:rsidP="00944B31">
      <w:pPr>
        <w:shd w:val="clear" w:color="auto" w:fill="FFFFFF"/>
        <w:spacing w:after="0" w:line="240" w:lineRule="auto"/>
        <w:textAlignment w:val="baseline"/>
        <w:rPr>
          <w:rFonts w:ascii="Palatino Linotype" w:eastAsia="Times New Roman" w:hAnsi="Palatino Linotype" w:cs="Times New Roman"/>
          <w:sz w:val="20"/>
          <w:szCs w:val="20"/>
        </w:rPr>
      </w:pPr>
    </w:p>
    <w:p w14:paraId="50C60E6D" w14:textId="7DDFE031" w:rsidR="00944B31" w:rsidRPr="00927ACF" w:rsidRDefault="00944B31" w:rsidP="00944B31">
      <w:pPr>
        <w:shd w:val="clear" w:color="auto" w:fill="FFFFFF"/>
        <w:spacing w:after="0" w:line="240" w:lineRule="auto"/>
        <w:textAlignment w:val="baseline"/>
        <w:rPr>
          <w:rFonts w:ascii="Palatino Linotype" w:eastAsia="Times New Roman" w:hAnsi="Palatino Linotype" w:cs="Times New Roman"/>
          <w:sz w:val="20"/>
          <w:szCs w:val="20"/>
        </w:rPr>
      </w:pPr>
      <w:r w:rsidRPr="00927ACF">
        <w:rPr>
          <w:rFonts w:ascii="Palatino Linotype" w:eastAsia="Times New Roman" w:hAnsi="Palatino Linotype" w:cs="Times New Roman"/>
          <w:sz w:val="20"/>
          <w:szCs w:val="20"/>
        </w:rPr>
        <w:t>. . . . Justice GORSUCH's scholarly analysis of the </w:t>
      </w:r>
      <w:r w:rsidRPr="00927ACF">
        <w:rPr>
          <w:rFonts w:ascii="Palatino Linotype" w:eastAsia="Times New Roman" w:hAnsi="Palatino Linotype" w:cs="Times New Roman"/>
          <w:sz w:val="20"/>
          <w:szCs w:val="20"/>
          <w:bdr w:val="none" w:sz="0" w:space="0" w:color="auto" w:frame="1"/>
        </w:rPr>
        <w:t>Constitution's</w:t>
      </w:r>
      <w:r w:rsidRPr="00927ACF">
        <w:rPr>
          <w:rFonts w:ascii="Palatino Linotype" w:eastAsia="Times New Roman" w:hAnsi="Palatino Linotype" w:cs="Times New Roman"/>
          <w:sz w:val="20"/>
          <w:szCs w:val="20"/>
        </w:rPr>
        <w:t> nondelegation doctrine in his </w:t>
      </w:r>
      <w:hyperlink r:id="rId5" w:history="1">
        <w:r w:rsidRPr="00927ACF">
          <w:rPr>
            <w:rFonts w:ascii="Palatino Linotype" w:eastAsia="Times New Roman" w:hAnsi="Palatino Linotype" w:cs="Times New Roman"/>
            <w:i/>
            <w:iCs/>
            <w:sz w:val="20"/>
            <w:szCs w:val="20"/>
            <w:bdr w:val="none" w:sz="0" w:space="0" w:color="auto" w:frame="1"/>
          </w:rPr>
          <w:t>Gundy</w:t>
        </w:r>
      </w:hyperlink>
      <w:r w:rsidRPr="00927ACF">
        <w:rPr>
          <w:rFonts w:ascii="Palatino Linotype" w:eastAsia="Times New Roman" w:hAnsi="Palatino Linotype" w:cs="Times New Roman"/>
          <w:sz w:val="20"/>
          <w:szCs w:val="20"/>
        </w:rPr>
        <w:t xml:space="preserve"> </w:t>
      </w:r>
      <w:r w:rsidRPr="00927ACF">
        <w:rPr>
          <w:rFonts w:ascii="Palatino Linotype" w:eastAsia="Times New Roman" w:hAnsi="Palatino Linotype" w:cs="Times New Roman"/>
          <w:i/>
          <w:iCs/>
          <w:sz w:val="20"/>
          <w:szCs w:val="20"/>
        </w:rPr>
        <w:t xml:space="preserve">v. United States </w:t>
      </w:r>
      <w:r w:rsidRPr="00927ACF">
        <w:rPr>
          <w:rFonts w:ascii="Palatino Linotype" w:eastAsia="Times New Roman" w:hAnsi="Palatino Linotype" w:cs="Times New Roman"/>
          <w:sz w:val="20"/>
          <w:szCs w:val="20"/>
        </w:rPr>
        <w:t>(2019)</w:t>
      </w:r>
      <w:r w:rsidRPr="00927ACF">
        <w:rPr>
          <w:rFonts w:ascii="Palatino Linotype" w:eastAsia="Times New Roman" w:hAnsi="Palatino Linotype" w:cs="Times New Roman"/>
          <w:i/>
          <w:iCs/>
          <w:sz w:val="20"/>
          <w:szCs w:val="20"/>
          <w:bdr w:val="none" w:sz="0" w:space="0" w:color="auto" w:frame="1"/>
        </w:rPr>
        <w:t> </w:t>
      </w:r>
      <w:r w:rsidRPr="00927ACF">
        <w:rPr>
          <w:rFonts w:ascii="Palatino Linotype" w:eastAsia="Times New Roman" w:hAnsi="Palatino Linotype" w:cs="Times New Roman"/>
          <w:sz w:val="20"/>
          <w:szCs w:val="20"/>
        </w:rPr>
        <w:t>dissent may warrant further consideration in future cases. Justice GORSUCH's opinion built on views expressed by then-Justice Rehnquist some 40 years ago in </w:t>
      </w:r>
      <w:r w:rsidRPr="00927ACF">
        <w:rPr>
          <w:rFonts w:ascii="Palatino Linotype" w:eastAsia="Times New Roman" w:hAnsi="Palatino Linotype" w:cs="Times New Roman"/>
          <w:i/>
          <w:iCs/>
          <w:sz w:val="20"/>
          <w:szCs w:val="20"/>
          <w:bdr w:val="none" w:sz="0" w:space="0" w:color="auto" w:frame="1"/>
        </w:rPr>
        <w:t>Industrial Union Dept., AFL–CIO v. American Petroleum Institute</w:t>
      </w:r>
      <w:r w:rsidRPr="00927ACF">
        <w:rPr>
          <w:rFonts w:ascii="Palatino Linotype" w:eastAsia="Times New Roman" w:hAnsi="Palatino Linotype" w:cs="Times New Roman"/>
          <w:sz w:val="20"/>
          <w:szCs w:val="20"/>
          <w:bdr w:val="none" w:sz="0" w:space="0" w:color="auto" w:frame="1"/>
        </w:rPr>
        <w:t>, (1980</w:t>
      </w:r>
      <w:r w:rsidR="00964D6E" w:rsidRPr="00927ACF">
        <w:rPr>
          <w:rFonts w:ascii="Palatino Linotype" w:eastAsia="Times New Roman" w:hAnsi="Palatino Linotype" w:cs="Times New Roman"/>
          <w:sz w:val="20"/>
          <w:szCs w:val="20"/>
          <w:bdr w:val="none" w:sz="0" w:space="0" w:color="auto" w:frame="1"/>
        </w:rPr>
        <w:t xml:space="preserve">).  </w:t>
      </w:r>
      <w:r w:rsidRPr="00927ACF">
        <w:rPr>
          <w:rFonts w:ascii="Palatino Linotype" w:eastAsia="Times New Roman" w:hAnsi="Palatino Linotype" w:cs="Times New Roman"/>
          <w:sz w:val="20"/>
          <w:szCs w:val="20"/>
        </w:rPr>
        <w:t>In that case, Justice Rehnquist opined that major national policy decisions must be made by Congress and the President in the legislative process, not delegated by Congress to the Executive Branch.</w:t>
      </w:r>
    </w:p>
    <w:p w14:paraId="5924558C" w14:textId="77777777" w:rsidR="00944B31" w:rsidRPr="00927ACF" w:rsidRDefault="00944B31" w:rsidP="00944B31">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927ACF">
        <w:rPr>
          <w:rFonts w:ascii="Palatino Linotype" w:eastAsia="Times New Roman" w:hAnsi="Palatino Linotype" w:cs="Times New Roman"/>
          <w:sz w:val="20"/>
          <w:szCs w:val="20"/>
        </w:rPr>
        <w:t>In the wake of Justice Rehnquist's opinion, the Court has not adopted a nondelegation principle for major questions. But the Court has applied a closely related statutory interpretation doctrine: In order for an executive or independent agency to exercise regulatory authority over a major policy question of great economic and political importance, Congress must either: (</w:t>
      </w:r>
      <w:proofErr w:type="spellStart"/>
      <w:r w:rsidRPr="00927ACF">
        <w:rPr>
          <w:rFonts w:ascii="Palatino Linotype" w:eastAsia="Times New Roman" w:hAnsi="Palatino Linotype" w:cs="Times New Roman"/>
          <w:sz w:val="20"/>
          <w:szCs w:val="20"/>
        </w:rPr>
        <w:t>i</w:t>
      </w:r>
      <w:proofErr w:type="spellEnd"/>
      <w:r w:rsidRPr="00927ACF">
        <w:rPr>
          <w:rFonts w:ascii="Palatino Linotype" w:eastAsia="Times New Roman" w:hAnsi="Palatino Linotype" w:cs="Times New Roman"/>
          <w:sz w:val="20"/>
          <w:szCs w:val="20"/>
        </w:rPr>
        <w:t xml:space="preserve">) expressly and specifically decide the major policy question itself and delegate to the agency the authority to regulate and enforce; or (ii) expressly and specifically delegate to the agency the authority both to decide the major policy question and to regulate and enforce. </w:t>
      </w:r>
    </w:p>
    <w:p w14:paraId="61F2AF8D" w14:textId="77777777" w:rsidR="00944B31" w:rsidRPr="00927ACF" w:rsidRDefault="00944B31" w:rsidP="00944B31">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927ACF">
        <w:rPr>
          <w:rFonts w:ascii="Palatino Linotype" w:eastAsia="Times New Roman" w:hAnsi="Palatino Linotype" w:cs="Times New Roman"/>
          <w:sz w:val="20"/>
          <w:szCs w:val="20"/>
        </w:rPr>
        <w:t>The opinions of Justice Rehnquist and Justice GORSUCH would not allow that second category—congressional delegations to agencies of authority to decide major policy questions—even if Congress expressly and specifically delegates that authority. Under their approach, Congress could delegate to agencies the authority to decide less-major or fill-up-the-details decisions.</w:t>
      </w:r>
    </w:p>
    <w:p w14:paraId="3645B04E" w14:textId="77777777" w:rsidR="00944B31" w:rsidRPr="00927ACF" w:rsidRDefault="00944B31" w:rsidP="00944B31">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927ACF">
        <w:rPr>
          <w:rFonts w:ascii="Palatino Linotype" w:eastAsia="Times New Roman" w:hAnsi="Palatino Linotype" w:cs="Times New Roman"/>
          <w:sz w:val="20"/>
          <w:szCs w:val="20"/>
        </w:rPr>
        <w:t>Like Justice Rehnquist's opinion 40 years ago, Justice GORSUCH's thoughtful </w:t>
      </w:r>
      <w:hyperlink r:id="rId6" w:history="1">
        <w:r w:rsidRPr="00927ACF">
          <w:rPr>
            <w:rFonts w:ascii="Palatino Linotype" w:eastAsia="Times New Roman" w:hAnsi="Palatino Linotype" w:cs="Times New Roman"/>
            <w:i/>
            <w:iCs/>
            <w:sz w:val="20"/>
            <w:szCs w:val="20"/>
            <w:bdr w:val="none" w:sz="0" w:space="0" w:color="auto" w:frame="1"/>
          </w:rPr>
          <w:t>Gundy</w:t>
        </w:r>
      </w:hyperlink>
      <w:r w:rsidRPr="00927ACF">
        <w:rPr>
          <w:rFonts w:ascii="Palatino Linotype" w:eastAsia="Times New Roman" w:hAnsi="Palatino Linotype" w:cs="Times New Roman"/>
          <w:i/>
          <w:iCs/>
          <w:sz w:val="20"/>
          <w:szCs w:val="20"/>
          <w:bdr w:val="none" w:sz="0" w:space="0" w:color="auto" w:frame="1"/>
        </w:rPr>
        <w:t> </w:t>
      </w:r>
      <w:r w:rsidRPr="00927ACF">
        <w:rPr>
          <w:rFonts w:ascii="Palatino Linotype" w:eastAsia="Times New Roman" w:hAnsi="Palatino Linotype" w:cs="Times New Roman"/>
          <w:sz w:val="20"/>
          <w:szCs w:val="20"/>
        </w:rPr>
        <w:t>opinion raised important points that may warrant further consideration in future cases.</w:t>
      </w:r>
    </w:p>
    <w:p w14:paraId="6A6AE2DB" w14:textId="77777777" w:rsidR="009E4E30" w:rsidRPr="00927ACF" w:rsidRDefault="009E4E30">
      <w:pPr>
        <w:rPr>
          <w:rFonts w:ascii="Palatino Linotype" w:hAnsi="Palatino Linotype"/>
          <w:sz w:val="20"/>
          <w:szCs w:val="20"/>
        </w:rPr>
      </w:pPr>
    </w:p>
    <w:sectPr w:rsidR="009E4E30" w:rsidRPr="00927A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31"/>
    <w:rsid w:val="00203328"/>
    <w:rsid w:val="00927ACF"/>
    <w:rsid w:val="00944B31"/>
    <w:rsid w:val="00964D6E"/>
    <w:rsid w:val="009E4E30"/>
    <w:rsid w:val="00AB3D43"/>
    <w:rsid w:val="00C60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D4962"/>
  <w15:chartTrackingRefBased/>
  <w15:docId w15:val="{4BE3C7B9-DB23-4450-BB83-C1A49849E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B3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next.westlaw.com/Link/Document/FullText?findType=Y&amp;serNum=2048519603&amp;originatingDoc=I60b1a45aef5611e9adfea82903531a62&amp;refType=RP&amp;originationContext=document&amp;transitionType=DocumentItem&amp;contextData=(sc.Search)" TargetMode="External"/><Relationship Id="rId5" Type="http://schemas.openxmlformats.org/officeDocument/2006/relationships/hyperlink" Target="https://1.next.westlaw.com/Link/Document/FullText?findType=Y&amp;serNum=2048519603&amp;originatingDoc=I60b1a45aef5611e9adfea82903531a62&amp;refType=RP&amp;originationContext=document&amp;transitionType=DocumentItem&amp;contextData=(sc.Search)" TargetMode="External"/><Relationship Id="rId4" Type="http://schemas.openxmlformats.org/officeDocument/2006/relationships/hyperlink" Target="https://1.next.westlaw.com/Link/Document/FullText?findType=h&amp;pubNum=176284&amp;cite=0364335801&amp;originatingDoc=I60b1a45aef5611e9adfea82903531a62&amp;refType=RQ&amp;originationContext=document&amp;transitionType=DocumentItem&amp;contextData=(sc.Search)&amp;analyticGuid=I60b1a45aef5611e9adfea82903531a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574</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Graber, Mark</dc:creator>
  <cp:keywords/>
  <dc:description/>
  <cp:lastModifiedBy>Graber, Mark</cp:lastModifiedBy>
  <cp:revision>2</cp:revision>
  <dcterms:created xsi:type="dcterms:W3CDTF">2020-12-10T21:47:00Z</dcterms:created>
  <dcterms:modified xsi:type="dcterms:W3CDTF">2020-12-10T21:47:00Z</dcterms:modified>
</cp:coreProperties>
</file>