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E4" w:rsidRPr="00DA0B87" w:rsidRDefault="00CF6BE4" w:rsidP="00CF6BE4">
      <w:pPr>
        <w:jc w:val="center"/>
        <w:rPr>
          <w:rFonts w:ascii="Calibri" w:eastAsia="SimSun" w:hAnsi="Calibri"/>
          <w:sz w:val="32"/>
          <w:szCs w:val="32"/>
          <w:lang w:val="en-US"/>
        </w:rPr>
      </w:pPr>
      <w:r w:rsidRPr="00DA0B87">
        <w:rPr>
          <w:rFonts w:ascii="Calibri" w:eastAsia="SimSun" w:hAnsi="Calibri"/>
          <w:sz w:val="32"/>
          <w:szCs w:val="32"/>
          <w:lang w:val="en-US"/>
        </w:rPr>
        <w:t xml:space="preserve">Chapter </w:t>
      </w:r>
      <w:r>
        <w:rPr>
          <w:rFonts w:ascii="Calibri" w:eastAsia="SimSun" w:hAnsi="Calibri"/>
          <w:sz w:val="32"/>
          <w:szCs w:val="32"/>
          <w:lang w:val="en-US"/>
        </w:rPr>
        <w:t>16</w:t>
      </w:r>
    </w:p>
    <w:p w:rsidR="000C795B" w:rsidRDefault="000C795B" w:rsidP="00556965">
      <w:pPr>
        <w:jc w:val="both"/>
        <w:rPr>
          <w:rFonts w:cs="Baskerville"/>
          <w:sz w:val="22"/>
          <w:szCs w:val="22"/>
        </w:rPr>
      </w:pPr>
    </w:p>
    <w:p w:rsidR="00CF6BE4" w:rsidRPr="00CF6BE4" w:rsidRDefault="00CF6BE4" w:rsidP="00CF6BE4">
      <w:pPr>
        <w:jc w:val="both"/>
        <w:rPr>
          <w:rFonts w:cs="Baskerville"/>
          <w:b/>
          <w:sz w:val="22"/>
          <w:szCs w:val="22"/>
        </w:rPr>
      </w:pPr>
      <w:r w:rsidRPr="00CF6BE4">
        <w:rPr>
          <w:rFonts w:cs="Baskerville"/>
          <w:b/>
          <w:sz w:val="22"/>
          <w:szCs w:val="22"/>
        </w:rPr>
        <w:t>Oxfield Town FC is looking to relocate in order to increase the size and capacity of its football stadium. Oxfield Town FC enters into negotiations with Easybuck Ltd, which owns a large plot of land. Easybuck Ltd currently runs a not very successful casino on the site. Oxfield Town FC tells Easybuck Ltd that the site is particularly attractive since Oxfield Town FC want to incorporate a casino into the stadium plans, and the site must already have a licence to be used for the purposes of gambling.</w:t>
      </w:r>
    </w:p>
    <w:p w:rsidR="00CF6BE4" w:rsidRPr="00CF6BE4" w:rsidRDefault="00CF6BE4" w:rsidP="00CF6BE4">
      <w:pPr>
        <w:jc w:val="both"/>
        <w:rPr>
          <w:rFonts w:cs="Baskerville"/>
          <w:b/>
          <w:sz w:val="22"/>
          <w:szCs w:val="22"/>
        </w:rPr>
      </w:pPr>
    </w:p>
    <w:p w:rsidR="00CF6BE4" w:rsidRPr="00CF6BE4" w:rsidRDefault="00CF6BE4" w:rsidP="00CF6BE4">
      <w:pPr>
        <w:jc w:val="both"/>
        <w:rPr>
          <w:rFonts w:cs="Baskerville"/>
          <w:b/>
          <w:sz w:val="22"/>
          <w:szCs w:val="22"/>
        </w:rPr>
      </w:pPr>
      <w:r w:rsidRPr="00CF6BE4">
        <w:rPr>
          <w:rFonts w:cs="Baskerville"/>
          <w:b/>
          <w:sz w:val="22"/>
          <w:szCs w:val="22"/>
        </w:rPr>
        <w:t>During the course of negotiat</w:t>
      </w:r>
      <w:bookmarkStart w:id="0" w:name="_GoBack"/>
      <w:bookmarkEnd w:id="0"/>
      <w:r w:rsidRPr="00CF6BE4">
        <w:rPr>
          <w:rFonts w:cs="Baskerville"/>
          <w:b/>
          <w:sz w:val="22"/>
          <w:szCs w:val="22"/>
        </w:rPr>
        <w:t>ions, Oxfield Town FC asks Easybuck Ltd whether there are any rights of way over the land. Easybuck Ltd checks with its solicitor, Martha, and on the basis of her advice tells Oxfield Town FC that there are no such rights.</w:t>
      </w:r>
    </w:p>
    <w:p w:rsidR="00CF6BE4" w:rsidRPr="00CF6BE4" w:rsidRDefault="00CF6BE4" w:rsidP="00CF6BE4">
      <w:pPr>
        <w:jc w:val="both"/>
        <w:rPr>
          <w:rFonts w:cs="Baskerville"/>
          <w:b/>
          <w:sz w:val="22"/>
          <w:szCs w:val="22"/>
        </w:rPr>
      </w:pPr>
    </w:p>
    <w:p w:rsidR="00CF6BE4" w:rsidRDefault="00CF6BE4" w:rsidP="00CF6BE4">
      <w:pPr>
        <w:jc w:val="both"/>
        <w:rPr>
          <w:rFonts w:cs="Baskerville"/>
          <w:b/>
          <w:sz w:val="22"/>
          <w:szCs w:val="22"/>
        </w:rPr>
      </w:pPr>
      <w:r w:rsidRPr="00CF6BE4">
        <w:rPr>
          <w:rFonts w:cs="Baskerville"/>
          <w:b/>
          <w:sz w:val="22"/>
          <w:szCs w:val="22"/>
        </w:rPr>
        <w:t>Oxfield Town FC and Easybuck Ltd later sign a formal contract for the sale of the land for £2 million. One of the terms of the contract provides that:</w:t>
      </w:r>
    </w:p>
    <w:p w:rsidR="00CF6BE4" w:rsidRPr="00CF6BE4" w:rsidRDefault="00CF6BE4" w:rsidP="00CF6BE4">
      <w:pPr>
        <w:jc w:val="both"/>
        <w:rPr>
          <w:rFonts w:cs="Baskerville"/>
          <w:b/>
          <w:sz w:val="22"/>
          <w:szCs w:val="22"/>
        </w:rPr>
      </w:pPr>
    </w:p>
    <w:p w:rsidR="00CF6BE4" w:rsidRPr="00CF6BE4" w:rsidRDefault="00CF6BE4" w:rsidP="00CF6BE4">
      <w:pPr>
        <w:ind w:left="720"/>
        <w:jc w:val="both"/>
        <w:rPr>
          <w:rFonts w:cs="Baskerville"/>
          <w:b/>
          <w:sz w:val="22"/>
          <w:szCs w:val="22"/>
        </w:rPr>
      </w:pPr>
      <w:r w:rsidRPr="00CF6BE4">
        <w:rPr>
          <w:rFonts w:cs="Baskerville"/>
          <w:b/>
          <w:sz w:val="22"/>
          <w:szCs w:val="22"/>
        </w:rPr>
        <w:t>‘This contract constitutes the entire agreement of the parties, and supersedes all prior agreements and negotiations. The basis of the parties’ agreement can be found exclusively in this contract.’</w:t>
      </w:r>
    </w:p>
    <w:p w:rsidR="00CF6BE4" w:rsidRPr="00CF6BE4" w:rsidRDefault="00CF6BE4" w:rsidP="00CF6BE4">
      <w:pPr>
        <w:jc w:val="both"/>
        <w:rPr>
          <w:rFonts w:cs="Baskerville"/>
          <w:b/>
          <w:sz w:val="22"/>
          <w:szCs w:val="22"/>
        </w:rPr>
      </w:pPr>
    </w:p>
    <w:p w:rsidR="00CF6BE4" w:rsidRPr="00CF6BE4" w:rsidRDefault="00CF6BE4" w:rsidP="00CF6BE4">
      <w:pPr>
        <w:jc w:val="both"/>
        <w:rPr>
          <w:rFonts w:cs="Baskerville"/>
          <w:b/>
          <w:sz w:val="22"/>
          <w:szCs w:val="22"/>
        </w:rPr>
      </w:pPr>
      <w:r w:rsidRPr="00CF6BE4">
        <w:rPr>
          <w:rFonts w:cs="Baskerville"/>
          <w:b/>
          <w:sz w:val="22"/>
          <w:szCs w:val="22"/>
        </w:rPr>
        <w:t>Some months later, Oxfield Town FC realises that there are in fact footpaths which run across the land, and that various neighbours do have rights of way over the land. This makes redevelopment impossible. At the same time, Oxfield Town FC finds out that just before the contract was signed, Easybuck Ltd received a letter from the council to inform it that gambling was not permitted on the land.</w:t>
      </w:r>
    </w:p>
    <w:p w:rsidR="00CF6BE4" w:rsidRPr="00CF6BE4" w:rsidRDefault="00CF6BE4" w:rsidP="00CF6BE4">
      <w:pPr>
        <w:jc w:val="both"/>
        <w:rPr>
          <w:rFonts w:cs="Baskerville"/>
          <w:b/>
          <w:sz w:val="22"/>
          <w:szCs w:val="22"/>
        </w:rPr>
      </w:pPr>
    </w:p>
    <w:p w:rsidR="00CF6BE4" w:rsidRPr="00CF6BE4" w:rsidRDefault="00CF6BE4" w:rsidP="00CF6BE4">
      <w:pPr>
        <w:jc w:val="both"/>
        <w:rPr>
          <w:rFonts w:cs="Baskerville"/>
          <w:b/>
          <w:sz w:val="22"/>
          <w:szCs w:val="22"/>
        </w:rPr>
      </w:pPr>
      <w:r w:rsidRPr="00CF6BE4">
        <w:rPr>
          <w:rFonts w:cs="Baskerville"/>
          <w:b/>
          <w:sz w:val="22"/>
          <w:szCs w:val="22"/>
        </w:rPr>
        <w:t>The land would only have been valued at £1.2 million at the time of contracting, if the rights of way over it had been known. But since the contract was entered into, the property market has crashed, and the land is now only worth £750,000.</w:t>
      </w:r>
    </w:p>
    <w:p w:rsidR="00CF6BE4" w:rsidRPr="00CF6BE4" w:rsidRDefault="00CF6BE4" w:rsidP="00CF6BE4">
      <w:pPr>
        <w:jc w:val="both"/>
        <w:rPr>
          <w:rFonts w:cs="Baskerville"/>
          <w:b/>
          <w:sz w:val="22"/>
          <w:szCs w:val="22"/>
        </w:rPr>
      </w:pPr>
    </w:p>
    <w:p w:rsidR="00CF6BE4" w:rsidRPr="00CF6BE4" w:rsidRDefault="00CF6BE4" w:rsidP="00CF6BE4">
      <w:pPr>
        <w:jc w:val="both"/>
        <w:rPr>
          <w:rFonts w:cs="Baskerville"/>
          <w:b/>
          <w:sz w:val="22"/>
          <w:szCs w:val="22"/>
        </w:rPr>
      </w:pPr>
      <w:r w:rsidRPr="00CF6BE4">
        <w:rPr>
          <w:rFonts w:cs="Baskerville"/>
          <w:b/>
          <w:sz w:val="22"/>
          <w:szCs w:val="22"/>
        </w:rPr>
        <w:t>Advise Oxfield Town FC.</w:t>
      </w:r>
    </w:p>
    <w:p w:rsidR="00CF6BE4" w:rsidRDefault="00CF6BE4" w:rsidP="00556965">
      <w:pPr>
        <w:jc w:val="both"/>
        <w:rPr>
          <w:rFonts w:cs="Baskerville"/>
          <w:sz w:val="22"/>
          <w:szCs w:val="22"/>
        </w:rPr>
      </w:pPr>
    </w:p>
    <w:p w:rsidR="00CF6BE4" w:rsidRDefault="00CF6BE4" w:rsidP="00556965">
      <w:pPr>
        <w:jc w:val="both"/>
        <w:rPr>
          <w:rFonts w:cs="Baskerville"/>
          <w:sz w:val="22"/>
          <w:szCs w:val="22"/>
        </w:rPr>
      </w:pPr>
    </w:p>
    <w:p w:rsidR="00556965" w:rsidRPr="005B7011" w:rsidRDefault="00556965" w:rsidP="00556965">
      <w:pPr>
        <w:jc w:val="both"/>
        <w:rPr>
          <w:rFonts w:cs="Baskerville"/>
          <w:sz w:val="22"/>
          <w:szCs w:val="22"/>
        </w:rPr>
      </w:pPr>
      <w:r w:rsidRPr="005B7011">
        <w:rPr>
          <w:rFonts w:cs="Baskerville"/>
          <w:sz w:val="22"/>
          <w:szCs w:val="22"/>
        </w:rPr>
        <w:t xml:space="preserve">Oxfield Town FC has entered into a contract for the sale of land with </w:t>
      </w:r>
      <w:r w:rsidR="00AF673E" w:rsidRPr="005B7011">
        <w:rPr>
          <w:rFonts w:cs="Baskerville"/>
          <w:sz w:val="22"/>
          <w:szCs w:val="22"/>
        </w:rPr>
        <w:t>Easybuck Ltd on the basis of incorrect info</w:t>
      </w:r>
      <w:r w:rsidR="00432852" w:rsidRPr="005B7011">
        <w:rPr>
          <w:rFonts w:cs="Baskerville"/>
          <w:sz w:val="22"/>
          <w:szCs w:val="22"/>
        </w:rPr>
        <w:t>rmation and if it</w:t>
      </w:r>
      <w:r w:rsidR="003C7660" w:rsidRPr="005B7011">
        <w:rPr>
          <w:rFonts w:cs="Baskerville"/>
          <w:sz w:val="22"/>
          <w:szCs w:val="22"/>
        </w:rPr>
        <w:t xml:space="preserve"> wish</w:t>
      </w:r>
      <w:r w:rsidR="00432852" w:rsidRPr="005B7011">
        <w:rPr>
          <w:rFonts w:cs="Baskerville"/>
          <w:sz w:val="22"/>
          <w:szCs w:val="22"/>
        </w:rPr>
        <w:t>es</w:t>
      </w:r>
      <w:r w:rsidR="003C7660" w:rsidRPr="005B7011">
        <w:rPr>
          <w:rFonts w:cs="Baskerville"/>
          <w:sz w:val="22"/>
          <w:szCs w:val="22"/>
        </w:rPr>
        <w:t xml:space="preserve"> to obtain</w:t>
      </w:r>
      <w:r w:rsidR="00432852" w:rsidRPr="005B7011">
        <w:rPr>
          <w:rFonts w:cs="Baskerville"/>
          <w:sz w:val="22"/>
          <w:szCs w:val="22"/>
        </w:rPr>
        <w:t xml:space="preserve"> a remedy, it</w:t>
      </w:r>
      <w:r w:rsidR="00AF673E" w:rsidRPr="005B7011">
        <w:rPr>
          <w:rFonts w:cs="Baskerville"/>
          <w:sz w:val="22"/>
          <w:szCs w:val="22"/>
        </w:rPr>
        <w:t xml:space="preserve"> will need to prove that Easybuck’s provi</w:t>
      </w:r>
      <w:r w:rsidR="00AA7F49" w:rsidRPr="005B7011">
        <w:rPr>
          <w:rFonts w:cs="Baskerville"/>
          <w:sz w:val="22"/>
          <w:szCs w:val="22"/>
        </w:rPr>
        <w:t xml:space="preserve">sion </w:t>
      </w:r>
      <w:r w:rsidR="004E1FFF" w:rsidRPr="005B7011">
        <w:rPr>
          <w:rFonts w:cs="Baskerville"/>
          <w:sz w:val="22"/>
          <w:szCs w:val="22"/>
          <w:lang w:val="en-US"/>
        </w:rPr>
        <w:t xml:space="preserve">– </w:t>
      </w:r>
      <w:r w:rsidR="00AA7F49" w:rsidRPr="005B7011">
        <w:rPr>
          <w:rFonts w:cs="Baskerville"/>
          <w:sz w:val="22"/>
          <w:szCs w:val="22"/>
        </w:rPr>
        <w:t>or omission</w:t>
      </w:r>
      <w:r w:rsidR="004E1FFF" w:rsidRPr="005B7011">
        <w:rPr>
          <w:rFonts w:cs="Baskerville"/>
          <w:sz w:val="22"/>
          <w:szCs w:val="22"/>
          <w:lang w:val="en-US"/>
        </w:rPr>
        <w:t xml:space="preserve"> –</w:t>
      </w:r>
      <w:r w:rsidR="00AA7F49" w:rsidRPr="005B7011">
        <w:rPr>
          <w:rFonts w:cs="Baskerville"/>
          <w:sz w:val="22"/>
          <w:szCs w:val="22"/>
        </w:rPr>
        <w:t xml:space="preserve"> of said inform</w:t>
      </w:r>
      <w:r w:rsidR="00E9030F" w:rsidRPr="005B7011">
        <w:rPr>
          <w:rFonts w:cs="Baskerville"/>
          <w:sz w:val="22"/>
          <w:szCs w:val="22"/>
        </w:rPr>
        <w:t xml:space="preserve">ation qualifies </w:t>
      </w:r>
      <w:r w:rsidR="004E1FFF" w:rsidRPr="005B7011">
        <w:rPr>
          <w:rFonts w:cs="Baskerville"/>
          <w:sz w:val="22"/>
          <w:szCs w:val="22"/>
          <w:lang w:val="en-US"/>
        </w:rPr>
        <w:t>as a</w:t>
      </w:r>
      <w:commentRangeStart w:id="1"/>
      <w:r w:rsidR="00AA7F49" w:rsidRPr="005B7011">
        <w:rPr>
          <w:rFonts w:cs="Baskerville"/>
          <w:sz w:val="22"/>
          <w:szCs w:val="22"/>
        </w:rPr>
        <w:t>misrepresentation</w:t>
      </w:r>
      <w:r w:rsidR="00115C23" w:rsidRPr="005B7011">
        <w:rPr>
          <w:rFonts w:cs="Baskerville"/>
          <w:sz w:val="22"/>
          <w:szCs w:val="22"/>
        </w:rPr>
        <w:t>.</w:t>
      </w:r>
      <w:commentRangeEnd w:id="1"/>
      <w:r w:rsidR="005B7011">
        <w:rPr>
          <w:rStyle w:val="CommentReference"/>
        </w:rPr>
        <w:commentReference w:id="1"/>
      </w:r>
      <w:r w:rsidR="00115C23" w:rsidRPr="005B7011">
        <w:rPr>
          <w:rFonts w:cs="Baskerville"/>
          <w:sz w:val="22"/>
          <w:szCs w:val="22"/>
        </w:rPr>
        <w:t>An actionable misrep</w:t>
      </w:r>
      <w:r w:rsidR="00677EB1" w:rsidRPr="005B7011">
        <w:rPr>
          <w:rFonts w:cs="Baskerville"/>
          <w:sz w:val="22"/>
          <w:szCs w:val="22"/>
        </w:rPr>
        <w:t>resentation is</w:t>
      </w:r>
      <w:r w:rsidR="00DB0DB1" w:rsidRPr="005B7011">
        <w:rPr>
          <w:rFonts w:cs="Baskerville"/>
          <w:sz w:val="22"/>
          <w:szCs w:val="22"/>
          <w:lang w:val="en-US"/>
        </w:rPr>
        <w:t xml:space="preserve">essentially </w:t>
      </w:r>
      <w:r w:rsidR="003060E4" w:rsidRPr="005B7011">
        <w:rPr>
          <w:rFonts w:cs="Baskerville"/>
          <w:sz w:val="22"/>
          <w:szCs w:val="22"/>
        </w:rPr>
        <w:t>composed of two</w:t>
      </w:r>
      <w:r w:rsidR="0013766B" w:rsidRPr="005B7011">
        <w:rPr>
          <w:rFonts w:cs="Baskerville"/>
          <w:sz w:val="22"/>
          <w:szCs w:val="22"/>
        </w:rPr>
        <w:t xml:space="preserve"> elements: (i</w:t>
      </w:r>
      <w:r w:rsidR="00115C23" w:rsidRPr="005B7011">
        <w:rPr>
          <w:rFonts w:cs="Baskerville"/>
          <w:sz w:val="22"/>
          <w:szCs w:val="22"/>
        </w:rPr>
        <w:t>) an unambiguous, false representation of fact or law</w:t>
      </w:r>
      <w:r w:rsidR="00027CC5" w:rsidRPr="005B7011">
        <w:rPr>
          <w:rFonts w:cs="Baskerville"/>
          <w:sz w:val="22"/>
          <w:szCs w:val="22"/>
        </w:rPr>
        <w:t>made by words or conduct;</w:t>
      </w:r>
      <w:r w:rsidR="0013766B" w:rsidRPr="005B7011">
        <w:rPr>
          <w:rFonts w:cs="Baskerville"/>
          <w:sz w:val="22"/>
          <w:szCs w:val="22"/>
        </w:rPr>
        <w:t>(ii</w:t>
      </w:r>
      <w:r w:rsidR="007674AA" w:rsidRPr="005B7011">
        <w:rPr>
          <w:rFonts w:cs="Baskerville"/>
          <w:sz w:val="22"/>
          <w:szCs w:val="22"/>
        </w:rPr>
        <w:t>)</w:t>
      </w:r>
      <w:r w:rsidR="004549B3" w:rsidRPr="005B7011">
        <w:rPr>
          <w:rFonts w:cs="Baskerville"/>
          <w:sz w:val="22"/>
          <w:szCs w:val="22"/>
        </w:rPr>
        <w:t>which thereby induce</w:t>
      </w:r>
      <w:r w:rsidR="005C7C0A" w:rsidRPr="005B7011">
        <w:rPr>
          <w:rFonts w:cs="Baskerville"/>
          <w:sz w:val="22"/>
          <w:szCs w:val="22"/>
        </w:rPr>
        <w:t xml:space="preserve">s the formation of a </w:t>
      </w:r>
      <w:r w:rsidR="004549B3" w:rsidRPr="005B7011">
        <w:rPr>
          <w:rFonts w:cs="Baskerville"/>
          <w:sz w:val="22"/>
          <w:szCs w:val="22"/>
        </w:rPr>
        <w:t>contract because of the representee’s reliance on it</w:t>
      </w:r>
      <w:r w:rsidR="00677EB1" w:rsidRPr="005B7011">
        <w:rPr>
          <w:rFonts w:cs="Baskerville"/>
          <w:sz w:val="22"/>
          <w:szCs w:val="22"/>
          <w:lang w:val="en-US"/>
        </w:rPr>
        <w:t>s truth</w:t>
      </w:r>
      <w:r w:rsidR="004549B3" w:rsidRPr="005B7011">
        <w:rPr>
          <w:rFonts w:cs="Baskerville"/>
          <w:sz w:val="22"/>
          <w:szCs w:val="22"/>
        </w:rPr>
        <w:t>.</w:t>
      </w:r>
    </w:p>
    <w:p w:rsidR="00F843BC" w:rsidRPr="005B7011" w:rsidRDefault="00F843BC" w:rsidP="00556965">
      <w:pPr>
        <w:jc w:val="both"/>
        <w:rPr>
          <w:rFonts w:cs="Baskerville"/>
          <w:sz w:val="22"/>
          <w:szCs w:val="22"/>
        </w:rPr>
      </w:pPr>
    </w:p>
    <w:p w:rsidR="00F843BC" w:rsidRPr="005B7011" w:rsidRDefault="00F87004" w:rsidP="00520842">
      <w:pPr>
        <w:jc w:val="center"/>
        <w:rPr>
          <w:rFonts w:cs="Baskerville"/>
          <w:sz w:val="22"/>
          <w:szCs w:val="22"/>
          <w:u w:val="single"/>
        </w:rPr>
      </w:pPr>
      <w:r w:rsidRPr="005B7011">
        <w:rPr>
          <w:rFonts w:cs="Baskerville"/>
          <w:sz w:val="22"/>
          <w:szCs w:val="22"/>
          <w:u w:val="single"/>
        </w:rPr>
        <w:t>Rights of way</w:t>
      </w:r>
    </w:p>
    <w:p w:rsidR="00F87004" w:rsidRPr="005B7011" w:rsidRDefault="00F87004" w:rsidP="00556965">
      <w:pPr>
        <w:jc w:val="both"/>
        <w:rPr>
          <w:rFonts w:cs="Baskerville"/>
          <w:sz w:val="22"/>
          <w:szCs w:val="22"/>
        </w:rPr>
      </w:pPr>
    </w:p>
    <w:p w:rsidR="00F843BC" w:rsidRPr="005B7011" w:rsidRDefault="00292A6F" w:rsidP="00556965">
      <w:pPr>
        <w:jc w:val="both"/>
        <w:rPr>
          <w:rFonts w:cs="Baskerville"/>
          <w:sz w:val="22"/>
          <w:szCs w:val="22"/>
          <w:lang w:val="en-US"/>
        </w:rPr>
      </w:pPr>
      <w:r w:rsidRPr="005B7011">
        <w:rPr>
          <w:rFonts w:cs="Baskerville"/>
          <w:sz w:val="22"/>
          <w:szCs w:val="22"/>
        </w:rPr>
        <w:t>The e</w:t>
      </w:r>
      <w:r w:rsidR="008B47ED" w:rsidRPr="005B7011">
        <w:rPr>
          <w:rFonts w:cs="Baskerville"/>
          <w:sz w:val="22"/>
          <w:szCs w:val="22"/>
        </w:rPr>
        <w:t>xistence of rights of way over</w:t>
      </w:r>
      <w:r w:rsidR="00B86B1A" w:rsidRPr="005B7011">
        <w:rPr>
          <w:rFonts w:cs="Baskerville"/>
          <w:sz w:val="22"/>
          <w:szCs w:val="22"/>
        </w:rPr>
        <w:t>the site</w:t>
      </w:r>
      <w:r w:rsidR="00A704C3" w:rsidRPr="005B7011">
        <w:rPr>
          <w:rFonts w:cs="Baskerville"/>
          <w:sz w:val="22"/>
          <w:szCs w:val="22"/>
        </w:rPr>
        <w:t xml:space="preserve">is </w:t>
      </w:r>
      <w:r w:rsidR="008638B4" w:rsidRPr="005B7011">
        <w:rPr>
          <w:rFonts w:cs="Baskerville"/>
          <w:sz w:val="22"/>
          <w:szCs w:val="22"/>
        </w:rPr>
        <w:t xml:space="preserve">plainly </w:t>
      </w:r>
      <w:r w:rsidRPr="005B7011">
        <w:rPr>
          <w:rFonts w:cs="Baskerville"/>
          <w:sz w:val="22"/>
          <w:szCs w:val="22"/>
        </w:rPr>
        <w:t>a question</w:t>
      </w:r>
      <w:r w:rsidR="00A704C3" w:rsidRPr="005B7011">
        <w:rPr>
          <w:rFonts w:cs="Baskerville"/>
          <w:sz w:val="22"/>
          <w:szCs w:val="22"/>
        </w:rPr>
        <w:t xml:space="preserve"> of fact </w:t>
      </w:r>
      <w:r w:rsidR="002D16C7" w:rsidRPr="005B7011">
        <w:rPr>
          <w:rFonts w:cs="Baskerville"/>
          <w:sz w:val="22"/>
          <w:szCs w:val="22"/>
          <w:lang w:val="en-US"/>
        </w:rPr>
        <w:t xml:space="preserve">in response </w:t>
      </w:r>
      <w:r w:rsidR="00A704C3" w:rsidRPr="005B7011">
        <w:rPr>
          <w:rFonts w:cs="Baskerville"/>
          <w:sz w:val="22"/>
          <w:szCs w:val="22"/>
        </w:rPr>
        <w:t>to which Easybuck</w:t>
      </w:r>
      <w:r w:rsidR="00C01A4D" w:rsidRPr="005B7011">
        <w:rPr>
          <w:rFonts w:cs="Baskerville"/>
          <w:sz w:val="22"/>
          <w:szCs w:val="22"/>
        </w:rPr>
        <w:t xml:space="preserve"> gave an unequivocal and inaccurate answer, but </w:t>
      </w:r>
      <w:r w:rsidR="000177BD" w:rsidRPr="005B7011">
        <w:rPr>
          <w:rFonts w:cs="Baskerville"/>
          <w:sz w:val="22"/>
          <w:szCs w:val="22"/>
        </w:rPr>
        <w:t>Oxfield will additionally</w:t>
      </w:r>
      <w:r w:rsidR="008B42E0" w:rsidRPr="005B7011">
        <w:rPr>
          <w:rFonts w:cs="Baskerville"/>
          <w:sz w:val="22"/>
          <w:szCs w:val="22"/>
        </w:rPr>
        <w:t xml:space="preserve"> need to show that this </w:t>
      </w:r>
      <w:r w:rsidR="00E57A18" w:rsidRPr="005B7011">
        <w:rPr>
          <w:rFonts w:cs="Baskerville"/>
          <w:sz w:val="22"/>
          <w:szCs w:val="22"/>
          <w:lang w:val="en-US"/>
        </w:rPr>
        <w:t xml:space="preserve">misrepresentation </w:t>
      </w:r>
      <w:r w:rsidR="008B42E0" w:rsidRPr="005B7011">
        <w:rPr>
          <w:rFonts w:cs="Baskerville"/>
          <w:sz w:val="22"/>
          <w:szCs w:val="22"/>
        </w:rPr>
        <w:t xml:space="preserve">was an operative </w:t>
      </w:r>
      <w:r w:rsidR="00E57A18" w:rsidRPr="005B7011">
        <w:rPr>
          <w:rFonts w:cs="Baskerville"/>
          <w:sz w:val="22"/>
          <w:szCs w:val="22"/>
          <w:lang w:val="en-US"/>
        </w:rPr>
        <w:t>one</w:t>
      </w:r>
      <w:r w:rsidR="00A2320C" w:rsidRPr="005B7011">
        <w:rPr>
          <w:rFonts w:cs="Baskerville"/>
          <w:sz w:val="22"/>
          <w:szCs w:val="22"/>
        </w:rPr>
        <w:t xml:space="preserve">. </w:t>
      </w:r>
      <w:r w:rsidR="00397B7C" w:rsidRPr="005B7011">
        <w:rPr>
          <w:rFonts w:cs="Baskerville"/>
          <w:sz w:val="22"/>
          <w:szCs w:val="22"/>
          <w:lang w:val="en-US"/>
        </w:rPr>
        <w:t>Gene</w:t>
      </w:r>
      <w:r w:rsidR="005B20D3" w:rsidRPr="005B7011">
        <w:rPr>
          <w:rFonts w:cs="Baskerville"/>
          <w:sz w:val="22"/>
          <w:szCs w:val="22"/>
          <w:lang w:val="en-US"/>
        </w:rPr>
        <w:t>rally, if the</w:t>
      </w:r>
      <w:r w:rsidR="00F53ACA" w:rsidRPr="005B7011">
        <w:rPr>
          <w:rFonts w:cs="Baskerville"/>
          <w:sz w:val="22"/>
          <w:szCs w:val="22"/>
        </w:rPr>
        <w:t>misrepresentation</w:t>
      </w:r>
      <w:r w:rsidR="005B20D3" w:rsidRPr="005B7011">
        <w:rPr>
          <w:rFonts w:cs="Baskerville"/>
          <w:sz w:val="22"/>
          <w:szCs w:val="22"/>
          <w:lang w:val="en-US"/>
        </w:rPr>
        <w:t xml:space="preserve"> at issue</w:t>
      </w:r>
      <w:r w:rsidR="00246FFE" w:rsidRPr="005B7011">
        <w:rPr>
          <w:rFonts w:cs="Baskerville"/>
          <w:sz w:val="22"/>
          <w:szCs w:val="22"/>
        </w:rPr>
        <w:t xml:space="preserve">would have </w:t>
      </w:r>
      <w:r w:rsidR="007C32E7" w:rsidRPr="005B7011">
        <w:rPr>
          <w:rFonts w:cs="Baskerville"/>
          <w:sz w:val="22"/>
          <w:szCs w:val="22"/>
          <w:lang w:val="en-US"/>
        </w:rPr>
        <w:t>prompted</w:t>
      </w:r>
      <w:r w:rsidR="004E411F" w:rsidRPr="005B7011">
        <w:rPr>
          <w:rFonts w:cs="Baskerville"/>
          <w:sz w:val="22"/>
          <w:szCs w:val="22"/>
          <w:lang w:val="en-US"/>
        </w:rPr>
        <w:t xml:space="preserve"> a</w:t>
      </w:r>
      <w:r w:rsidR="00BE5E13" w:rsidRPr="005B7011">
        <w:rPr>
          <w:rFonts w:cs="Baskerville"/>
          <w:sz w:val="22"/>
          <w:szCs w:val="22"/>
          <w:lang w:val="en-US"/>
        </w:rPr>
        <w:t xml:space="preserve"> reasonable person </w:t>
      </w:r>
      <w:r w:rsidR="004E411F" w:rsidRPr="005B7011">
        <w:rPr>
          <w:rFonts w:cs="Baskerville"/>
          <w:sz w:val="22"/>
          <w:szCs w:val="22"/>
          <w:lang w:val="en-US"/>
        </w:rPr>
        <w:t>to</w:t>
      </w:r>
      <w:r w:rsidR="00D0715A" w:rsidRPr="005B7011">
        <w:rPr>
          <w:rFonts w:cs="Baskerville"/>
          <w:sz w:val="22"/>
          <w:szCs w:val="22"/>
          <w:lang w:val="en-US"/>
        </w:rPr>
        <w:t xml:space="preserve"> make</w:t>
      </w:r>
      <w:r w:rsidR="00CE0F64" w:rsidRPr="005B7011">
        <w:rPr>
          <w:rFonts w:cs="Baskerville"/>
          <w:sz w:val="22"/>
          <w:szCs w:val="22"/>
          <w:lang w:val="en-US"/>
        </w:rPr>
        <w:t xml:space="preserve"> a</w:t>
      </w:r>
      <w:r w:rsidR="008A4E01" w:rsidRPr="005B7011">
        <w:rPr>
          <w:rFonts w:cs="Baskerville"/>
          <w:sz w:val="22"/>
          <w:szCs w:val="22"/>
          <w:lang w:val="en-US"/>
        </w:rPr>
        <w:t>contract</w:t>
      </w:r>
      <w:r w:rsidR="00162C48" w:rsidRPr="005B7011">
        <w:rPr>
          <w:rFonts w:cs="Baskerville"/>
          <w:sz w:val="22"/>
          <w:szCs w:val="22"/>
          <w:lang w:val="en-US"/>
        </w:rPr>
        <w:t>, it is</w:t>
      </w:r>
      <w:r w:rsidR="00FD20F0" w:rsidRPr="005B7011">
        <w:rPr>
          <w:rFonts w:cs="Baskerville"/>
          <w:sz w:val="22"/>
          <w:szCs w:val="22"/>
        </w:rPr>
        <w:t xml:space="preserve"> presumed to have had the same effect on </w:t>
      </w:r>
      <w:r w:rsidR="00A86B54" w:rsidRPr="005B7011">
        <w:rPr>
          <w:rFonts w:cs="Baskerville"/>
          <w:sz w:val="22"/>
          <w:szCs w:val="22"/>
          <w:lang w:val="en-US"/>
        </w:rPr>
        <w:t>the</w:t>
      </w:r>
      <w:r w:rsidR="00CE0F64" w:rsidRPr="005B7011">
        <w:rPr>
          <w:rFonts w:cs="Baskerville"/>
          <w:sz w:val="22"/>
          <w:szCs w:val="22"/>
        </w:rPr>
        <w:t xml:space="preserve">claimant </w:t>
      </w:r>
      <w:r w:rsidR="00615622" w:rsidRPr="005B7011">
        <w:rPr>
          <w:rFonts w:cs="Baskerville"/>
          <w:sz w:val="22"/>
          <w:szCs w:val="22"/>
          <w:lang w:val="en-US"/>
        </w:rPr>
        <w:t xml:space="preserve">and </w:t>
      </w:r>
      <w:r w:rsidR="00605E6F" w:rsidRPr="005B7011">
        <w:rPr>
          <w:rFonts w:cs="Baskerville"/>
          <w:sz w:val="22"/>
          <w:szCs w:val="22"/>
          <w:lang w:val="en-US"/>
        </w:rPr>
        <w:t>hence</w:t>
      </w:r>
      <w:r w:rsidR="00615622" w:rsidRPr="005B7011">
        <w:rPr>
          <w:rFonts w:cs="Baskerville"/>
          <w:sz w:val="22"/>
          <w:szCs w:val="22"/>
          <w:lang w:val="en-US"/>
        </w:rPr>
        <w:t xml:space="preserve"> regarded</w:t>
      </w:r>
      <w:r w:rsidR="00162C48" w:rsidRPr="005B7011">
        <w:rPr>
          <w:rFonts w:cs="Baskerville"/>
          <w:sz w:val="22"/>
          <w:szCs w:val="22"/>
          <w:lang w:val="en-US"/>
        </w:rPr>
        <w:t xml:space="preserve"> as </w:t>
      </w:r>
      <w:r w:rsidR="00B04740" w:rsidRPr="005B7011">
        <w:rPr>
          <w:rFonts w:cs="Baskerville"/>
          <w:sz w:val="22"/>
          <w:szCs w:val="22"/>
        </w:rPr>
        <w:t>‘material’</w:t>
      </w:r>
      <w:r w:rsidR="00F56C14" w:rsidRPr="005B7011">
        <w:rPr>
          <w:rFonts w:cs="Baskerville"/>
          <w:sz w:val="22"/>
          <w:szCs w:val="22"/>
          <w:lang w:val="en-US"/>
        </w:rPr>
        <w:t>by</w:t>
      </w:r>
      <w:r w:rsidR="004731CB" w:rsidRPr="005B7011">
        <w:rPr>
          <w:rFonts w:cs="Baskerville"/>
          <w:sz w:val="22"/>
          <w:szCs w:val="22"/>
        </w:rPr>
        <w:t xml:space="preserve">the </w:t>
      </w:r>
      <w:r w:rsidR="00615622" w:rsidRPr="005B7011">
        <w:rPr>
          <w:rFonts w:cs="Baskerville"/>
          <w:sz w:val="22"/>
          <w:szCs w:val="22"/>
          <w:lang w:val="en-US"/>
        </w:rPr>
        <w:t xml:space="preserve">courts </w:t>
      </w:r>
      <w:r w:rsidR="00B04740" w:rsidRPr="005B7011">
        <w:rPr>
          <w:rFonts w:cs="Baskerville"/>
          <w:sz w:val="22"/>
          <w:szCs w:val="22"/>
        </w:rPr>
        <w:t>(</w:t>
      </w:r>
      <w:r w:rsidR="002C61A5" w:rsidRPr="005B7011">
        <w:rPr>
          <w:rFonts w:cs="Baskerville"/>
          <w:i/>
          <w:sz w:val="22"/>
          <w:szCs w:val="22"/>
        </w:rPr>
        <w:t>Smith v Chadwick [1884]</w:t>
      </w:r>
      <w:r w:rsidR="002C61A5" w:rsidRPr="005B7011">
        <w:rPr>
          <w:rFonts w:cs="Baskerville"/>
          <w:sz w:val="22"/>
          <w:szCs w:val="22"/>
        </w:rPr>
        <w:t>)</w:t>
      </w:r>
      <w:r w:rsidR="008A1C9B" w:rsidRPr="005B7011">
        <w:rPr>
          <w:rFonts w:cs="Baskerville"/>
          <w:sz w:val="22"/>
          <w:szCs w:val="22"/>
        </w:rPr>
        <w:t>. I</w:t>
      </w:r>
      <w:r w:rsidR="008F328F" w:rsidRPr="005B7011">
        <w:rPr>
          <w:rFonts w:cs="Baskerville"/>
          <w:sz w:val="22"/>
          <w:szCs w:val="22"/>
        </w:rPr>
        <w:t>t is submitted thatan</w:t>
      </w:r>
      <w:r w:rsidR="00373A67" w:rsidRPr="005B7011">
        <w:rPr>
          <w:rFonts w:cs="Baskerville"/>
          <w:sz w:val="22"/>
          <w:szCs w:val="22"/>
        </w:rPr>
        <w:t xml:space="preserve"> ordinary person</w:t>
      </w:r>
      <w:r w:rsidR="00F567C9" w:rsidRPr="005B7011">
        <w:rPr>
          <w:rFonts w:cs="Baskerville"/>
          <w:sz w:val="22"/>
          <w:szCs w:val="22"/>
          <w:lang w:val="en-US"/>
        </w:rPr>
        <w:t xml:space="preserve">contemplating </w:t>
      </w:r>
      <w:r w:rsidR="002C402E" w:rsidRPr="005B7011">
        <w:rPr>
          <w:rFonts w:cs="Baskerville"/>
          <w:sz w:val="22"/>
          <w:szCs w:val="22"/>
          <w:lang w:val="en-US"/>
        </w:rPr>
        <w:t>the purchase of land</w:t>
      </w:r>
      <w:r w:rsidR="0079427F" w:rsidRPr="005B7011">
        <w:rPr>
          <w:rFonts w:cs="Baskerville"/>
          <w:sz w:val="22"/>
          <w:szCs w:val="22"/>
          <w:lang w:val="en-US"/>
        </w:rPr>
        <w:t xml:space="preserve"> would </w:t>
      </w:r>
      <w:r w:rsidR="00D02975" w:rsidRPr="005B7011">
        <w:rPr>
          <w:rFonts w:cs="Baskerville"/>
          <w:sz w:val="22"/>
          <w:szCs w:val="22"/>
          <w:lang w:val="en-US"/>
        </w:rPr>
        <w:t xml:space="preserve">be expected </w:t>
      </w:r>
      <w:r w:rsidR="001D4A10" w:rsidRPr="005B7011">
        <w:rPr>
          <w:rFonts w:cs="Baskerville"/>
          <w:sz w:val="22"/>
          <w:szCs w:val="22"/>
          <w:lang w:val="en-US"/>
        </w:rPr>
        <w:t xml:space="preserve">to </w:t>
      </w:r>
      <w:r w:rsidR="0079427F" w:rsidRPr="005B7011">
        <w:rPr>
          <w:rFonts w:cs="Baskerville"/>
          <w:sz w:val="22"/>
          <w:szCs w:val="22"/>
          <w:lang w:val="en-US"/>
        </w:rPr>
        <w:t>take rights of way into consideration</w:t>
      </w:r>
      <w:r w:rsidR="00F17F51" w:rsidRPr="005B7011">
        <w:rPr>
          <w:rFonts w:cs="Baskerville"/>
          <w:sz w:val="22"/>
          <w:szCs w:val="22"/>
        </w:rPr>
        <w:t xml:space="preserve">, so </w:t>
      </w:r>
      <w:r w:rsidR="00F25558" w:rsidRPr="005B7011">
        <w:rPr>
          <w:rFonts w:cs="Baskerville"/>
          <w:sz w:val="22"/>
          <w:szCs w:val="22"/>
        </w:rPr>
        <w:t>a</w:t>
      </w:r>
      <w:r w:rsidR="006468E6" w:rsidRPr="005B7011">
        <w:rPr>
          <w:rFonts w:cs="Baskerville"/>
          <w:sz w:val="22"/>
          <w:szCs w:val="22"/>
        </w:rPr>
        <w:t xml:space="preserve"> court is</w:t>
      </w:r>
      <w:r w:rsidR="00552518" w:rsidRPr="005B7011">
        <w:rPr>
          <w:rFonts w:cs="Baskerville"/>
          <w:sz w:val="22"/>
          <w:szCs w:val="22"/>
        </w:rPr>
        <w:t xml:space="preserve">likely to infer </w:t>
      </w:r>
      <w:r w:rsidR="002D32A5" w:rsidRPr="005B7011">
        <w:rPr>
          <w:rFonts w:cs="Baskerville"/>
          <w:sz w:val="22"/>
          <w:szCs w:val="22"/>
        </w:rPr>
        <w:t xml:space="preserve">that </w:t>
      </w:r>
      <w:r w:rsidR="00503667" w:rsidRPr="005B7011">
        <w:rPr>
          <w:rFonts w:cs="Baskerville"/>
          <w:sz w:val="22"/>
          <w:szCs w:val="22"/>
          <w:lang w:val="en-US"/>
        </w:rPr>
        <w:t>Easybuck’s</w:t>
      </w:r>
      <w:r w:rsidR="00503667" w:rsidRPr="005B7011">
        <w:rPr>
          <w:rFonts w:cs="Baskerville"/>
          <w:sz w:val="22"/>
          <w:szCs w:val="22"/>
        </w:rPr>
        <w:t xml:space="preserve"> statement </w:t>
      </w:r>
      <w:r w:rsidR="00503667" w:rsidRPr="005B7011">
        <w:rPr>
          <w:rFonts w:cs="Baskerville"/>
          <w:sz w:val="22"/>
          <w:szCs w:val="22"/>
          <w:lang w:val="en-US"/>
        </w:rPr>
        <w:t>did induce Oxfield to</w:t>
      </w:r>
      <w:r w:rsidR="00432852" w:rsidRPr="005B7011">
        <w:rPr>
          <w:rFonts w:cs="Baskerville"/>
          <w:sz w:val="22"/>
          <w:szCs w:val="22"/>
          <w:lang w:val="en-US"/>
        </w:rPr>
        <w:t>act as it</w:t>
      </w:r>
      <w:r w:rsidR="00943506" w:rsidRPr="005B7011">
        <w:rPr>
          <w:rFonts w:cs="Baskerville"/>
          <w:sz w:val="22"/>
          <w:szCs w:val="22"/>
          <w:lang w:val="en-US"/>
        </w:rPr>
        <w:t xml:space="preserve"> </w:t>
      </w:r>
      <w:r w:rsidR="00943506" w:rsidRPr="005B7011">
        <w:rPr>
          <w:rFonts w:cs="Baskerville"/>
          <w:sz w:val="22"/>
          <w:szCs w:val="22"/>
          <w:lang w:val="en-US"/>
        </w:rPr>
        <w:lastRenderedPageBreak/>
        <w:t>did</w:t>
      </w:r>
      <w:r w:rsidR="00552518" w:rsidRPr="005B7011">
        <w:rPr>
          <w:rFonts w:cs="Baskerville"/>
          <w:sz w:val="22"/>
          <w:szCs w:val="22"/>
          <w:lang w:val="en-US"/>
        </w:rPr>
        <w:t xml:space="preserve">– </w:t>
      </w:r>
      <w:r w:rsidR="007F0A79" w:rsidRPr="005B7011">
        <w:rPr>
          <w:rFonts w:cs="Baskerville"/>
          <w:sz w:val="22"/>
          <w:szCs w:val="22"/>
          <w:lang w:val="en-US"/>
        </w:rPr>
        <w:t>the onus is on Easybuck</w:t>
      </w:r>
      <w:r w:rsidR="00E3306D" w:rsidRPr="005B7011">
        <w:rPr>
          <w:rFonts w:cs="Baskerville"/>
          <w:sz w:val="22"/>
          <w:szCs w:val="22"/>
          <w:lang w:val="en-US"/>
        </w:rPr>
        <w:t xml:space="preserve"> to prove </w:t>
      </w:r>
      <w:commentRangeStart w:id="2"/>
      <w:r w:rsidR="00E3306D" w:rsidRPr="005B7011">
        <w:rPr>
          <w:rFonts w:cs="Baskerville"/>
          <w:sz w:val="22"/>
          <w:szCs w:val="22"/>
          <w:lang w:val="en-US"/>
        </w:rPr>
        <w:t>otherwise</w:t>
      </w:r>
      <w:commentRangeEnd w:id="2"/>
      <w:r w:rsidR="005B7011">
        <w:rPr>
          <w:rFonts w:cs="Baskerville"/>
          <w:sz w:val="22"/>
          <w:szCs w:val="22"/>
          <w:lang w:val="en-US"/>
        </w:rPr>
        <w:t>.</w:t>
      </w:r>
      <w:r w:rsidR="005B7011">
        <w:rPr>
          <w:rStyle w:val="CommentReference"/>
        </w:rPr>
        <w:commentReference w:id="2"/>
      </w:r>
      <w:r w:rsidR="00F378B1" w:rsidRPr="005B7011">
        <w:rPr>
          <w:rFonts w:cs="Baskerville"/>
          <w:sz w:val="22"/>
          <w:szCs w:val="22"/>
          <w:lang w:val="en-US"/>
        </w:rPr>
        <w:t>That this fact</w:t>
      </w:r>
      <w:r w:rsidR="0089331A" w:rsidRPr="005B7011">
        <w:rPr>
          <w:rFonts w:cs="Baskerville"/>
          <w:sz w:val="22"/>
          <w:szCs w:val="22"/>
          <w:lang w:val="en-US"/>
        </w:rPr>
        <w:t>or</w:t>
      </w:r>
      <w:r w:rsidR="00E50777" w:rsidRPr="005B7011">
        <w:rPr>
          <w:rFonts w:cs="Baskerville"/>
          <w:sz w:val="22"/>
          <w:szCs w:val="22"/>
          <w:lang w:val="en-US"/>
        </w:rPr>
        <w:t xml:space="preserve"> might</w:t>
      </w:r>
      <w:r w:rsidR="00F378B1" w:rsidRPr="005B7011">
        <w:rPr>
          <w:rFonts w:cs="Baskerville"/>
          <w:sz w:val="22"/>
          <w:szCs w:val="22"/>
          <w:lang w:val="en-US"/>
        </w:rPr>
        <w:t xml:space="preserve"> not </w:t>
      </w:r>
      <w:r w:rsidR="000724B1" w:rsidRPr="005B7011">
        <w:rPr>
          <w:rFonts w:cs="Baskerville"/>
          <w:sz w:val="22"/>
          <w:szCs w:val="22"/>
          <w:lang w:val="en-US"/>
        </w:rPr>
        <w:t>have been the main inducement is ir</w:t>
      </w:r>
      <w:r w:rsidR="0089331A" w:rsidRPr="005B7011">
        <w:rPr>
          <w:rFonts w:cs="Baskerville"/>
          <w:sz w:val="22"/>
          <w:szCs w:val="22"/>
          <w:lang w:val="en-US"/>
        </w:rPr>
        <w:t>relevant:</w:t>
      </w:r>
      <w:r w:rsidR="00693D5B" w:rsidRPr="005B7011">
        <w:rPr>
          <w:rFonts w:cs="Baskerville"/>
          <w:i/>
          <w:sz w:val="22"/>
          <w:szCs w:val="22"/>
        </w:rPr>
        <w:t xml:space="preserve">Edgington v Maurice [1885] </w:t>
      </w:r>
      <w:r w:rsidR="00693D5B" w:rsidRPr="005B7011">
        <w:rPr>
          <w:rFonts w:cs="Baskerville"/>
          <w:sz w:val="22"/>
          <w:szCs w:val="22"/>
        </w:rPr>
        <w:t xml:space="preserve">is authority for the </w:t>
      </w:r>
      <w:r w:rsidR="00005EA6" w:rsidRPr="005B7011">
        <w:rPr>
          <w:rFonts w:cs="Baskerville"/>
          <w:sz w:val="22"/>
          <w:szCs w:val="22"/>
        </w:rPr>
        <w:t>principle</w:t>
      </w:r>
      <w:r w:rsidR="00DE2361" w:rsidRPr="005B7011">
        <w:rPr>
          <w:rFonts w:cs="Baskerville"/>
          <w:sz w:val="22"/>
          <w:szCs w:val="22"/>
        </w:rPr>
        <w:t xml:space="preserve"> that </w:t>
      </w:r>
      <w:r w:rsidR="004B0EDC" w:rsidRPr="005B7011">
        <w:rPr>
          <w:rFonts w:cs="Baskerville"/>
          <w:sz w:val="22"/>
          <w:szCs w:val="22"/>
          <w:lang w:val="en-US"/>
        </w:rPr>
        <w:t>a</w:t>
      </w:r>
      <w:r w:rsidR="0089331A" w:rsidRPr="005B7011">
        <w:rPr>
          <w:rFonts w:cs="Baskerville"/>
          <w:sz w:val="22"/>
          <w:szCs w:val="22"/>
        </w:rPr>
        <w:t xml:space="preserve"> misrepresentation</w:t>
      </w:r>
      <w:r w:rsidR="00693D5B" w:rsidRPr="005B7011">
        <w:rPr>
          <w:rFonts w:cs="Baskerville"/>
          <w:sz w:val="22"/>
          <w:szCs w:val="22"/>
        </w:rPr>
        <w:t xml:space="preserve"> need not be the sole </w:t>
      </w:r>
      <w:r w:rsidR="006468E6" w:rsidRPr="005B7011">
        <w:rPr>
          <w:rFonts w:cs="Baskerville"/>
          <w:sz w:val="22"/>
          <w:szCs w:val="22"/>
          <w:lang w:val="en-US"/>
        </w:rPr>
        <w:t>n</w:t>
      </w:r>
      <w:r w:rsidR="00693D5B" w:rsidRPr="005B7011">
        <w:rPr>
          <w:rFonts w:cs="Baskerville"/>
          <w:sz w:val="22"/>
          <w:szCs w:val="22"/>
        </w:rPr>
        <w:t>o</w:t>
      </w:r>
      <w:r w:rsidR="00943506" w:rsidRPr="005B7011">
        <w:rPr>
          <w:rFonts w:cs="Baskerville"/>
          <w:sz w:val="22"/>
          <w:szCs w:val="22"/>
        </w:rPr>
        <w:t>r decisive reason for a</w:t>
      </w:r>
      <w:r w:rsidR="00943506" w:rsidRPr="005B7011">
        <w:rPr>
          <w:rFonts w:cs="Baskerville"/>
          <w:sz w:val="22"/>
          <w:szCs w:val="22"/>
          <w:lang w:val="en-US"/>
        </w:rPr>
        <w:t>representee’s</w:t>
      </w:r>
      <w:r w:rsidR="00602282" w:rsidRPr="005B7011">
        <w:rPr>
          <w:rFonts w:cs="Baskerville"/>
          <w:sz w:val="22"/>
          <w:szCs w:val="22"/>
          <w:lang w:val="en-US"/>
        </w:rPr>
        <w:t>decision</w:t>
      </w:r>
      <w:r w:rsidR="00A0634F" w:rsidRPr="005B7011">
        <w:rPr>
          <w:rFonts w:cs="Baskerville"/>
          <w:sz w:val="22"/>
          <w:szCs w:val="22"/>
        </w:rPr>
        <w:t>.</w:t>
      </w:r>
      <w:r w:rsidR="009126AF" w:rsidRPr="005B7011">
        <w:rPr>
          <w:rFonts w:cs="Baskerville"/>
          <w:sz w:val="22"/>
          <w:szCs w:val="22"/>
          <w:lang w:val="en-US"/>
        </w:rPr>
        <w:t xml:space="preserve"> Asking about rights of way</w:t>
      </w:r>
      <w:r w:rsidR="007512F4" w:rsidRPr="005B7011">
        <w:rPr>
          <w:rFonts w:cs="Baskerville"/>
          <w:sz w:val="22"/>
          <w:szCs w:val="22"/>
          <w:lang w:val="en-US"/>
        </w:rPr>
        <w:t xml:space="preserve"> dur</w:t>
      </w:r>
      <w:r w:rsidR="0077114F" w:rsidRPr="005B7011">
        <w:rPr>
          <w:rFonts w:cs="Baskerville"/>
          <w:sz w:val="22"/>
          <w:szCs w:val="22"/>
          <w:lang w:val="en-US"/>
        </w:rPr>
        <w:t xml:space="preserve">ing the course of negotiations suggests that </w:t>
      </w:r>
      <w:r w:rsidR="0002602D" w:rsidRPr="005B7011">
        <w:rPr>
          <w:rFonts w:cs="Baskerville"/>
          <w:sz w:val="22"/>
          <w:szCs w:val="22"/>
          <w:lang w:val="en-US"/>
        </w:rPr>
        <w:t>Oxfield</w:t>
      </w:r>
      <w:r w:rsidR="00A513EE" w:rsidRPr="005B7011">
        <w:rPr>
          <w:rFonts w:cs="Baskerville"/>
          <w:sz w:val="22"/>
          <w:szCs w:val="22"/>
          <w:lang w:val="en-US"/>
        </w:rPr>
        <w:t xml:space="preserve">did attach some importance to </w:t>
      </w:r>
      <w:r w:rsidR="009126AF" w:rsidRPr="005B7011">
        <w:rPr>
          <w:rFonts w:cs="Baskerville"/>
          <w:sz w:val="22"/>
          <w:szCs w:val="22"/>
          <w:lang w:val="en-US"/>
        </w:rPr>
        <w:t>the matter</w:t>
      </w:r>
      <w:r w:rsidR="006468E6" w:rsidRPr="005B7011">
        <w:rPr>
          <w:rFonts w:cs="Baskerville"/>
          <w:sz w:val="22"/>
          <w:szCs w:val="22"/>
          <w:lang w:val="en-US"/>
        </w:rPr>
        <w:t>, and a court will in all likelihood</w:t>
      </w:r>
      <w:r w:rsidR="00F0455C" w:rsidRPr="005B7011">
        <w:rPr>
          <w:rFonts w:cs="Baskerville"/>
          <w:sz w:val="22"/>
          <w:szCs w:val="22"/>
          <w:lang w:val="en-US"/>
        </w:rPr>
        <w:t xml:space="preserve"> be satisfied that</w:t>
      </w:r>
      <w:r w:rsidR="00447033" w:rsidRPr="005B7011">
        <w:rPr>
          <w:rFonts w:cs="Baskerville"/>
          <w:sz w:val="22"/>
          <w:szCs w:val="22"/>
          <w:lang w:val="en-US"/>
        </w:rPr>
        <w:t>Easybuck’</w:t>
      </w:r>
      <w:r w:rsidR="001D2B7A" w:rsidRPr="005B7011">
        <w:rPr>
          <w:rFonts w:cs="Baskerville"/>
          <w:sz w:val="22"/>
          <w:szCs w:val="22"/>
          <w:lang w:val="en-US"/>
        </w:rPr>
        <w:t xml:space="preserve">s response </w:t>
      </w:r>
      <w:r w:rsidR="007F0A79" w:rsidRPr="005B7011">
        <w:rPr>
          <w:rFonts w:cs="Baskerville"/>
          <w:sz w:val="22"/>
          <w:szCs w:val="22"/>
          <w:lang w:val="en-US"/>
        </w:rPr>
        <w:t>thus</w:t>
      </w:r>
      <w:r w:rsidR="00447033" w:rsidRPr="005B7011">
        <w:rPr>
          <w:rFonts w:cs="Baskerville"/>
          <w:sz w:val="22"/>
          <w:szCs w:val="22"/>
          <w:lang w:val="en-US"/>
        </w:rPr>
        <w:t xml:space="preserve"> play</w:t>
      </w:r>
      <w:r w:rsidR="007F0A79" w:rsidRPr="005B7011">
        <w:rPr>
          <w:rFonts w:cs="Baskerville"/>
          <w:sz w:val="22"/>
          <w:szCs w:val="22"/>
          <w:lang w:val="en-US"/>
        </w:rPr>
        <w:t>ed</w:t>
      </w:r>
      <w:r w:rsidR="00447033" w:rsidRPr="005B7011">
        <w:rPr>
          <w:rFonts w:cs="Baskerville"/>
          <w:sz w:val="22"/>
          <w:szCs w:val="22"/>
          <w:lang w:val="en-US"/>
        </w:rPr>
        <w:t xml:space="preserve"> a</w:t>
      </w:r>
      <w:r w:rsidR="008A7426" w:rsidRPr="005B7011">
        <w:rPr>
          <w:rFonts w:cs="Baskerville"/>
          <w:sz w:val="22"/>
          <w:szCs w:val="22"/>
        </w:rPr>
        <w:t xml:space="preserve"> ‘real and substantial’</w:t>
      </w:r>
      <w:r w:rsidR="00602282" w:rsidRPr="005B7011">
        <w:rPr>
          <w:rFonts w:cs="Baskerville"/>
          <w:sz w:val="22"/>
          <w:szCs w:val="22"/>
        </w:rPr>
        <w:t xml:space="preserve"> part in</w:t>
      </w:r>
      <w:r w:rsidR="007F0A79" w:rsidRPr="005B7011">
        <w:rPr>
          <w:rFonts w:cs="Baskerville"/>
          <w:sz w:val="22"/>
          <w:szCs w:val="22"/>
          <w:lang w:val="en-US"/>
        </w:rPr>
        <w:t>inducing the former</w:t>
      </w:r>
      <w:r w:rsidR="00602282" w:rsidRPr="005B7011">
        <w:rPr>
          <w:rFonts w:cs="Baskerville"/>
          <w:sz w:val="22"/>
          <w:szCs w:val="22"/>
          <w:lang w:val="en-US"/>
        </w:rPr>
        <w:t xml:space="preserve"> to enter </w:t>
      </w:r>
      <w:r w:rsidR="003F4D20" w:rsidRPr="005B7011">
        <w:rPr>
          <w:rFonts w:cs="Baskerville"/>
          <w:sz w:val="22"/>
          <w:szCs w:val="22"/>
          <w:lang w:val="en-US"/>
        </w:rPr>
        <w:t xml:space="preserve">into </w:t>
      </w:r>
      <w:r w:rsidR="00602282" w:rsidRPr="005B7011">
        <w:rPr>
          <w:rFonts w:cs="Baskerville"/>
          <w:sz w:val="22"/>
          <w:szCs w:val="22"/>
          <w:lang w:val="en-US"/>
        </w:rPr>
        <w:t xml:space="preserve">the contract (as per </w:t>
      </w:r>
      <w:r w:rsidR="00602282" w:rsidRPr="005B7011">
        <w:rPr>
          <w:rFonts w:cs="Baskerville"/>
          <w:i/>
          <w:sz w:val="22"/>
          <w:szCs w:val="22"/>
          <w:lang w:val="en-US"/>
        </w:rPr>
        <w:t>RaiffeisenZentralbank</w:t>
      </w:r>
      <w:r w:rsidR="00005EA6" w:rsidRPr="005B7011">
        <w:rPr>
          <w:rFonts w:cs="Baskerville"/>
          <w:i/>
          <w:sz w:val="22"/>
          <w:szCs w:val="22"/>
          <w:lang w:val="en-US"/>
        </w:rPr>
        <w:t>Osterreich AG v Royal Bank of Scotland plc [2010]</w:t>
      </w:r>
      <w:r w:rsidR="00005EA6" w:rsidRPr="005B7011">
        <w:rPr>
          <w:rFonts w:cs="Baskerville"/>
          <w:sz w:val="22"/>
          <w:szCs w:val="22"/>
          <w:lang w:val="en-US"/>
        </w:rPr>
        <w:t>)</w:t>
      </w:r>
      <w:r w:rsidR="00F0455C" w:rsidRPr="005B7011">
        <w:rPr>
          <w:rFonts w:cs="Baskerville"/>
          <w:sz w:val="22"/>
          <w:szCs w:val="22"/>
          <w:lang w:val="en-US"/>
        </w:rPr>
        <w:t>.</w:t>
      </w:r>
      <w:r w:rsidR="000A428D" w:rsidRPr="005B7011">
        <w:rPr>
          <w:rFonts w:cs="Baskerville"/>
          <w:sz w:val="22"/>
          <w:szCs w:val="22"/>
          <w:lang w:val="en-US"/>
        </w:rPr>
        <w:t xml:space="preserve">On the facts, </w:t>
      </w:r>
      <w:r w:rsidR="00F10FD7" w:rsidRPr="005B7011">
        <w:rPr>
          <w:rFonts w:cs="Baskerville"/>
          <w:sz w:val="22"/>
          <w:szCs w:val="22"/>
          <w:lang w:val="en-US"/>
        </w:rPr>
        <w:t xml:space="preserve">it is </w:t>
      </w:r>
      <w:r w:rsidR="00186EE0" w:rsidRPr="005B7011">
        <w:rPr>
          <w:rFonts w:cs="Baskerville"/>
          <w:sz w:val="22"/>
          <w:szCs w:val="22"/>
          <w:lang w:val="en-US"/>
        </w:rPr>
        <w:t xml:space="preserve">therefore </w:t>
      </w:r>
      <w:r w:rsidR="00550D2B" w:rsidRPr="005B7011">
        <w:rPr>
          <w:rFonts w:cs="Baskerville"/>
          <w:sz w:val="22"/>
          <w:szCs w:val="22"/>
          <w:lang w:val="en-US"/>
        </w:rPr>
        <w:t>highly probable that Easybuck</w:t>
      </w:r>
      <w:r w:rsidR="00F10FD7" w:rsidRPr="005B7011">
        <w:rPr>
          <w:rFonts w:cs="Baskerville"/>
          <w:sz w:val="22"/>
          <w:szCs w:val="22"/>
          <w:lang w:val="en-US"/>
        </w:rPr>
        <w:t xml:space="preserve">’s statement </w:t>
      </w:r>
      <w:r w:rsidR="00A84E4B" w:rsidRPr="005B7011">
        <w:rPr>
          <w:rFonts w:cs="Baskerville"/>
          <w:sz w:val="22"/>
          <w:szCs w:val="22"/>
          <w:lang w:val="en-US"/>
        </w:rPr>
        <w:t xml:space="preserve">here </w:t>
      </w:r>
      <w:r w:rsidR="006073FA" w:rsidRPr="005B7011">
        <w:rPr>
          <w:rFonts w:cs="Baskerville"/>
          <w:sz w:val="22"/>
          <w:szCs w:val="22"/>
          <w:lang w:val="en-US"/>
        </w:rPr>
        <w:t xml:space="preserve">constitutes </w:t>
      </w:r>
      <w:r w:rsidR="00F10FD7" w:rsidRPr="005B7011">
        <w:rPr>
          <w:rFonts w:cs="Baskerville"/>
          <w:sz w:val="22"/>
          <w:szCs w:val="22"/>
          <w:lang w:val="en-US"/>
        </w:rPr>
        <w:t>anactionabl</w:t>
      </w:r>
      <w:r w:rsidR="00C15A67" w:rsidRPr="005B7011">
        <w:rPr>
          <w:rFonts w:cs="Baskerville"/>
          <w:sz w:val="22"/>
          <w:szCs w:val="22"/>
          <w:lang w:val="en-US"/>
        </w:rPr>
        <w:t>e misrepresentatio</w:t>
      </w:r>
      <w:r w:rsidR="00A84E4B" w:rsidRPr="005B7011">
        <w:rPr>
          <w:rFonts w:cs="Baskerville"/>
          <w:sz w:val="22"/>
          <w:szCs w:val="22"/>
          <w:lang w:val="en-US"/>
        </w:rPr>
        <w:t>n</w:t>
      </w:r>
      <w:r w:rsidR="00675E77" w:rsidRPr="005B7011">
        <w:rPr>
          <w:rFonts w:cs="Baskerville"/>
          <w:sz w:val="22"/>
          <w:szCs w:val="22"/>
          <w:lang w:val="en-US"/>
        </w:rPr>
        <w:t xml:space="preserve">, notwithstanding the fact that it was made </w:t>
      </w:r>
      <w:commentRangeStart w:id="3"/>
      <w:r w:rsidR="00675E77" w:rsidRPr="005B7011">
        <w:rPr>
          <w:rFonts w:cs="Baskerville"/>
          <w:sz w:val="22"/>
          <w:szCs w:val="22"/>
          <w:lang w:val="en-US"/>
        </w:rPr>
        <w:t>innocently</w:t>
      </w:r>
      <w:r w:rsidR="00A84E4B" w:rsidRPr="005B7011">
        <w:rPr>
          <w:rFonts w:cs="Baskerville"/>
          <w:sz w:val="22"/>
          <w:szCs w:val="22"/>
          <w:lang w:val="en-US"/>
        </w:rPr>
        <w:t>.</w:t>
      </w:r>
      <w:commentRangeEnd w:id="3"/>
      <w:r w:rsidR="005B7011">
        <w:rPr>
          <w:rStyle w:val="CommentReference"/>
        </w:rPr>
        <w:commentReference w:id="3"/>
      </w:r>
    </w:p>
    <w:p w:rsidR="00186EE0" w:rsidRPr="005B7011" w:rsidRDefault="00186EE0" w:rsidP="00556965">
      <w:pPr>
        <w:jc w:val="both"/>
        <w:rPr>
          <w:rFonts w:cs="Baskerville"/>
          <w:sz w:val="22"/>
          <w:szCs w:val="22"/>
          <w:lang w:val="en-US"/>
        </w:rPr>
      </w:pPr>
    </w:p>
    <w:p w:rsidR="00186EE0" w:rsidRPr="005B7011" w:rsidRDefault="00186EE0" w:rsidP="00F9673F">
      <w:pPr>
        <w:jc w:val="center"/>
        <w:rPr>
          <w:rFonts w:cs="Baskerville"/>
          <w:sz w:val="22"/>
          <w:szCs w:val="22"/>
          <w:u w:val="single"/>
          <w:lang w:val="en-US"/>
        </w:rPr>
      </w:pPr>
      <w:r w:rsidRPr="005B7011">
        <w:rPr>
          <w:rFonts w:cs="Baskerville"/>
          <w:sz w:val="22"/>
          <w:szCs w:val="22"/>
          <w:u w:val="single"/>
          <w:lang w:val="en-US"/>
        </w:rPr>
        <w:t>Gambling permission</w:t>
      </w:r>
    </w:p>
    <w:p w:rsidR="00186EE0" w:rsidRPr="005B7011" w:rsidRDefault="00186EE0" w:rsidP="00556965">
      <w:pPr>
        <w:jc w:val="both"/>
        <w:rPr>
          <w:rFonts w:cs="Baskerville"/>
          <w:sz w:val="22"/>
          <w:szCs w:val="22"/>
          <w:lang w:val="en-US"/>
        </w:rPr>
      </w:pPr>
    </w:p>
    <w:p w:rsidR="003E1591" w:rsidRPr="005B7011" w:rsidRDefault="00D609A3" w:rsidP="00556965">
      <w:pPr>
        <w:jc w:val="both"/>
        <w:rPr>
          <w:rFonts w:cs="Baskerville"/>
          <w:sz w:val="22"/>
          <w:szCs w:val="22"/>
          <w:lang w:val="en-US"/>
        </w:rPr>
      </w:pPr>
      <w:r w:rsidRPr="005B7011">
        <w:rPr>
          <w:rFonts w:cs="Baskerville"/>
          <w:sz w:val="22"/>
          <w:szCs w:val="22"/>
          <w:lang w:val="en-US"/>
        </w:rPr>
        <w:t>It is</w:t>
      </w:r>
      <w:r w:rsidR="00AA2FB2" w:rsidRPr="005B7011">
        <w:rPr>
          <w:rFonts w:cs="Baskerville"/>
          <w:sz w:val="22"/>
          <w:szCs w:val="22"/>
          <w:lang w:val="en-US"/>
        </w:rPr>
        <w:t>, however,</w:t>
      </w:r>
      <w:r w:rsidRPr="005B7011">
        <w:rPr>
          <w:rFonts w:cs="Baskerville"/>
          <w:sz w:val="22"/>
          <w:szCs w:val="22"/>
          <w:lang w:val="en-US"/>
        </w:rPr>
        <w:t xml:space="preserve"> more difficult to e</w:t>
      </w:r>
      <w:r w:rsidR="00CE0724" w:rsidRPr="005B7011">
        <w:rPr>
          <w:rFonts w:cs="Baskerville"/>
          <w:sz w:val="22"/>
          <w:szCs w:val="22"/>
          <w:lang w:val="en-US"/>
        </w:rPr>
        <w:t>stablish</w:t>
      </w:r>
      <w:r w:rsidR="00D62BE9" w:rsidRPr="005B7011">
        <w:rPr>
          <w:rFonts w:cs="Baskerville"/>
          <w:sz w:val="22"/>
          <w:szCs w:val="22"/>
          <w:lang w:val="en-US"/>
        </w:rPr>
        <w:t xml:space="preserve"> that Easybuck misrepresented the site’s lack of a gambling licence </w:t>
      </w:r>
      <w:r w:rsidR="00882F29" w:rsidRPr="005B7011">
        <w:rPr>
          <w:rFonts w:cs="Baskerville"/>
          <w:sz w:val="22"/>
          <w:szCs w:val="22"/>
          <w:lang w:val="en-US"/>
        </w:rPr>
        <w:t>to Oxfield</w:t>
      </w:r>
      <w:r w:rsidR="004731CB" w:rsidRPr="005B7011">
        <w:rPr>
          <w:rFonts w:cs="Baskerville"/>
          <w:sz w:val="22"/>
          <w:szCs w:val="22"/>
          <w:lang w:val="en-US"/>
        </w:rPr>
        <w:t xml:space="preserve"> as it</w:t>
      </w:r>
      <w:r w:rsidR="00987B9E" w:rsidRPr="005B7011">
        <w:rPr>
          <w:rFonts w:cs="Baskerville"/>
          <w:sz w:val="22"/>
          <w:szCs w:val="22"/>
          <w:lang w:val="en-US"/>
        </w:rPr>
        <w:t xml:space="preserve"> is not apparent that it</w:t>
      </w:r>
      <w:r w:rsidR="00AA2FB2" w:rsidRPr="005B7011">
        <w:rPr>
          <w:rFonts w:cs="Baskerville"/>
          <w:sz w:val="22"/>
          <w:szCs w:val="22"/>
          <w:lang w:val="en-US"/>
        </w:rPr>
        <w:t xml:space="preserve"> had </w:t>
      </w:r>
      <w:r w:rsidR="0011682D" w:rsidRPr="005B7011">
        <w:rPr>
          <w:rFonts w:cs="Baskerville"/>
          <w:sz w:val="22"/>
          <w:szCs w:val="22"/>
          <w:lang w:val="en-US"/>
        </w:rPr>
        <w:t xml:space="preserve">expressly </w:t>
      </w:r>
      <w:r w:rsidR="00AA2FB2" w:rsidRPr="005B7011">
        <w:rPr>
          <w:rFonts w:cs="Baskerville"/>
          <w:sz w:val="22"/>
          <w:szCs w:val="22"/>
          <w:lang w:val="en-US"/>
        </w:rPr>
        <w:t xml:space="preserve">made an assurance </w:t>
      </w:r>
      <w:r w:rsidR="00135038" w:rsidRPr="005B7011">
        <w:rPr>
          <w:rFonts w:cs="Baskerville"/>
          <w:sz w:val="22"/>
          <w:szCs w:val="22"/>
          <w:lang w:val="en-US"/>
        </w:rPr>
        <w:t>to that effect</w:t>
      </w:r>
      <w:r w:rsidR="00AA2FB2" w:rsidRPr="005B7011">
        <w:rPr>
          <w:rFonts w:cs="Baskerville"/>
          <w:sz w:val="22"/>
          <w:szCs w:val="22"/>
          <w:lang w:val="en-US"/>
        </w:rPr>
        <w:t>.</w:t>
      </w:r>
      <w:r w:rsidR="00B25F4A" w:rsidRPr="005B7011">
        <w:rPr>
          <w:rFonts w:cs="Baskerville"/>
          <w:sz w:val="22"/>
          <w:szCs w:val="22"/>
          <w:lang w:val="en-US"/>
        </w:rPr>
        <w:t xml:space="preserve">Simple reticence </w:t>
      </w:r>
      <w:r w:rsidR="0071230E" w:rsidRPr="005B7011">
        <w:rPr>
          <w:rFonts w:cs="Baskerville"/>
          <w:sz w:val="22"/>
          <w:szCs w:val="22"/>
          <w:lang w:val="en-US"/>
        </w:rPr>
        <w:t>i</w:t>
      </w:r>
      <w:r w:rsidR="00FE3E98" w:rsidRPr="005B7011">
        <w:rPr>
          <w:rFonts w:cs="Baskerville"/>
          <w:sz w:val="22"/>
          <w:szCs w:val="22"/>
          <w:lang w:val="en-US"/>
        </w:rPr>
        <w:t xml:space="preserve">s </w:t>
      </w:r>
      <w:r w:rsidR="00B25F4A" w:rsidRPr="005B7011">
        <w:rPr>
          <w:rFonts w:cs="Baskerville"/>
          <w:sz w:val="22"/>
          <w:szCs w:val="22"/>
          <w:lang w:val="en-US"/>
        </w:rPr>
        <w:t xml:space="preserve">not </w:t>
      </w:r>
      <w:r w:rsidR="00FE3E98" w:rsidRPr="005B7011">
        <w:rPr>
          <w:rFonts w:cs="Baskerville"/>
          <w:sz w:val="22"/>
          <w:szCs w:val="22"/>
          <w:lang w:val="en-US"/>
        </w:rPr>
        <w:t>a legal fraud</w:t>
      </w:r>
      <w:r w:rsidR="00E3306D" w:rsidRPr="005B7011">
        <w:rPr>
          <w:rFonts w:cs="Baskerville"/>
          <w:sz w:val="22"/>
          <w:szCs w:val="22"/>
          <w:lang w:val="en-US"/>
        </w:rPr>
        <w:t xml:space="preserve">. </w:t>
      </w:r>
      <w:r w:rsidR="003851B2" w:rsidRPr="005B7011">
        <w:rPr>
          <w:rFonts w:cs="Baskerville"/>
          <w:sz w:val="22"/>
          <w:szCs w:val="22"/>
          <w:lang w:val="en-US"/>
        </w:rPr>
        <w:t xml:space="preserve">Two </w:t>
      </w:r>
      <w:r w:rsidR="003E3DCF" w:rsidRPr="005B7011">
        <w:rPr>
          <w:rFonts w:cs="Baskerville"/>
          <w:sz w:val="22"/>
          <w:szCs w:val="22"/>
          <w:lang w:val="en-US"/>
        </w:rPr>
        <w:t xml:space="preserve">types of </w:t>
      </w:r>
      <w:r w:rsidR="003274A5" w:rsidRPr="005B7011">
        <w:rPr>
          <w:rFonts w:cs="Baskerville"/>
          <w:sz w:val="22"/>
          <w:szCs w:val="22"/>
          <w:lang w:val="en-US"/>
        </w:rPr>
        <w:t>situations in which</w:t>
      </w:r>
      <w:r w:rsidR="003851B2" w:rsidRPr="005B7011">
        <w:rPr>
          <w:rFonts w:cs="Baskerville"/>
          <w:sz w:val="22"/>
          <w:szCs w:val="22"/>
          <w:lang w:val="en-US"/>
        </w:rPr>
        <w:t>a ‘duty to disclose’</w:t>
      </w:r>
      <w:r w:rsidR="00997F8D" w:rsidRPr="005B7011">
        <w:rPr>
          <w:rFonts w:cs="Baskerville"/>
          <w:sz w:val="22"/>
          <w:szCs w:val="22"/>
          <w:lang w:val="en-US"/>
        </w:rPr>
        <w:t xml:space="preserve"> would</w:t>
      </w:r>
      <w:r w:rsidR="003851B2" w:rsidRPr="005B7011">
        <w:rPr>
          <w:rFonts w:cs="Baskerville"/>
          <w:sz w:val="22"/>
          <w:szCs w:val="22"/>
          <w:lang w:val="en-US"/>
        </w:rPr>
        <w:t xml:space="preserve"> arise were provided</w:t>
      </w:r>
      <w:r w:rsidR="004731CB" w:rsidRPr="005B7011">
        <w:rPr>
          <w:rFonts w:cs="Baskerville"/>
          <w:sz w:val="22"/>
          <w:szCs w:val="22"/>
          <w:lang w:val="en-US"/>
        </w:rPr>
        <w:t>: (i) where the parties a</w:t>
      </w:r>
      <w:r w:rsidR="00196C54" w:rsidRPr="005B7011">
        <w:rPr>
          <w:rFonts w:cs="Baskerville"/>
          <w:sz w:val="22"/>
          <w:szCs w:val="22"/>
          <w:lang w:val="en-US"/>
        </w:rPr>
        <w:t>re in a pre-existing confidential or fiduciary re</w:t>
      </w:r>
      <w:r w:rsidR="003274A5" w:rsidRPr="005B7011">
        <w:rPr>
          <w:rFonts w:cs="Baskerville"/>
          <w:sz w:val="22"/>
          <w:szCs w:val="22"/>
          <w:lang w:val="en-US"/>
        </w:rPr>
        <w:t xml:space="preserve">lationship, or (ii)the </w:t>
      </w:r>
      <w:r w:rsidR="004731CB" w:rsidRPr="005B7011">
        <w:rPr>
          <w:rFonts w:cs="Baskerville"/>
          <w:sz w:val="22"/>
          <w:szCs w:val="22"/>
          <w:lang w:val="en-US"/>
        </w:rPr>
        <w:t>contract in question requires</w:t>
      </w:r>
      <w:r w:rsidR="003E3DCF" w:rsidRPr="005B7011">
        <w:rPr>
          <w:rFonts w:cs="Baskerville"/>
          <w:sz w:val="22"/>
          <w:szCs w:val="22"/>
          <w:lang w:val="en-US"/>
        </w:rPr>
        <w:t xml:space="preserve"> the utmost good faith </w:t>
      </w:r>
      <w:r w:rsidR="00E62817" w:rsidRPr="005B7011">
        <w:rPr>
          <w:rFonts w:cs="Baskerville"/>
          <w:sz w:val="22"/>
          <w:szCs w:val="22"/>
          <w:lang w:val="en-US"/>
        </w:rPr>
        <w:t>(</w:t>
      </w:r>
      <w:r w:rsidR="003E3DCF" w:rsidRPr="005B7011">
        <w:rPr>
          <w:rFonts w:cs="Baskerville"/>
          <w:i/>
          <w:sz w:val="22"/>
          <w:szCs w:val="22"/>
          <w:lang w:val="en-US"/>
        </w:rPr>
        <w:t>uberrimaefidei</w:t>
      </w:r>
      <w:r w:rsidR="00E62817" w:rsidRPr="005B7011">
        <w:rPr>
          <w:rFonts w:cs="Baskerville"/>
          <w:sz w:val="22"/>
          <w:szCs w:val="22"/>
          <w:lang w:val="en-US"/>
        </w:rPr>
        <w:t>)</w:t>
      </w:r>
      <w:r w:rsidR="003E3DCF" w:rsidRPr="005B7011">
        <w:rPr>
          <w:rFonts w:cs="Baskerville"/>
          <w:sz w:val="22"/>
          <w:szCs w:val="22"/>
          <w:lang w:val="en-US"/>
        </w:rPr>
        <w:t>.</w:t>
      </w:r>
      <w:r w:rsidR="00236B6F" w:rsidRPr="005B7011">
        <w:rPr>
          <w:rFonts w:cs="Baskerville"/>
          <w:sz w:val="22"/>
          <w:szCs w:val="22"/>
          <w:lang w:val="en-US"/>
        </w:rPr>
        <w:t>Although</w:t>
      </w:r>
      <w:r w:rsidR="00882F29" w:rsidRPr="005B7011">
        <w:rPr>
          <w:rFonts w:cs="Baskerville"/>
          <w:sz w:val="22"/>
          <w:szCs w:val="22"/>
          <w:lang w:val="en-US"/>
        </w:rPr>
        <w:t>Oxfield’s</w:t>
      </w:r>
      <w:r w:rsidR="00F9673F" w:rsidRPr="005B7011">
        <w:rPr>
          <w:rFonts w:cs="Baskerville"/>
          <w:sz w:val="22"/>
          <w:szCs w:val="22"/>
          <w:lang w:val="en-US"/>
        </w:rPr>
        <w:t xml:space="preserve"> circumstances do not fit into either of these exce</w:t>
      </w:r>
      <w:r w:rsidR="004B585B" w:rsidRPr="005B7011">
        <w:rPr>
          <w:rFonts w:cs="Baskerville"/>
          <w:sz w:val="22"/>
          <w:szCs w:val="22"/>
          <w:lang w:val="en-US"/>
        </w:rPr>
        <w:t>ptions,</w:t>
      </w:r>
      <w:r w:rsidR="00E1437B" w:rsidRPr="005B7011">
        <w:rPr>
          <w:rFonts w:cs="Baskerville"/>
          <w:sz w:val="22"/>
          <w:szCs w:val="22"/>
          <w:lang w:val="en-US"/>
        </w:rPr>
        <w:t>there is still hope</w:t>
      </w:r>
      <w:r w:rsidR="004463A5" w:rsidRPr="005B7011">
        <w:rPr>
          <w:rFonts w:cs="Baskerville"/>
          <w:sz w:val="22"/>
          <w:szCs w:val="22"/>
          <w:lang w:val="en-US"/>
        </w:rPr>
        <w:t xml:space="preserve">. </w:t>
      </w:r>
      <w:r w:rsidR="00F9673F" w:rsidRPr="005B7011">
        <w:rPr>
          <w:rFonts w:cs="Baskerville"/>
          <w:i/>
          <w:sz w:val="22"/>
          <w:szCs w:val="22"/>
          <w:lang w:val="en-US"/>
        </w:rPr>
        <w:t>With v O’Flanagan</w:t>
      </w:r>
      <w:r w:rsidR="0047166A" w:rsidRPr="005B7011">
        <w:rPr>
          <w:rFonts w:cs="Baskerville"/>
          <w:i/>
          <w:sz w:val="22"/>
          <w:szCs w:val="22"/>
          <w:lang w:val="en-US"/>
        </w:rPr>
        <w:t xml:space="preserve"> [1936]</w:t>
      </w:r>
      <w:r w:rsidR="005B4719" w:rsidRPr="005B7011">
        <w:rPr>
          <w:rFonts w:cs="Baskerville"/>
          <w:sz w:val="22"/>
          <w:szCs w:val="22"/>
          <w:lang w:val="en-US"/>
        </w:rPr>
        <w:t>recognised</w:t>
      </w:r>
      <w:r w:rsidR="009A495D" w:rsidRPr="005B7011">
        <w:rPr>
          <w:rFonts w:cs="Baskerville"/>
          <w:sz w:val="22"/>
          <w:szCs w:val="22"/>
          <w:lang w:val="en-US"/>
        </w:rPr>
        <w:t xml:space="preserve"> that</w:t>
      </w:r>
      <w:r w:rsidR="00CA6195" w:rsidRPr="005B7011">
        <w:rPr>
          <w:rFonts w:cs="Baskerville"/>
          <w:sz w:val="22"/>
          <w:szCs w:val="22"/>
          <w:lang w:val="en-US"/>
        </w:rPr>
        <w:t xml:space="preserve"> one has</w:t>
      </w:r>
      <w:r w:rsidR="00BB2781" w:rsidRPr="005B7011">
        <w:rPr>
          <w:rFonts w:cs="Baskerville"/>
          <w:sz w:val="22"/>
          <w:szCs w:val="22"/>
          <w:lang w:val="en-US"/>
        </w:rPr>
        <w:t xml:space="preserve"> a duty to correct</w:t>
      </w:r>
      <w:r w:rsidR="00CF4A0D" w:rsidRPr="005B7011">
        <w:rPr>
          <w:rFonts w:cs="Baskerville"/>
          <w:sz w:val="22"/>
          <w:szCs w:val="22"/>
          <w:lang w:val="en-US"/>
        </w:rPr>
        <w:t xml:space="preserve"> an earlier representation if one discovers that it</w:t>
      </w:r>
      <w:r w:rsidR="005B4F68" w:rsidRPr="005B7011">
        <w:rPr>
          <w:rFonts w:cs="Baskerville"/>
          <w:sz w:val="22"/>
          <w:szCs w:val="22"/>
          <w:lang w:val="en-US"/>
        </w:rPr>
        <w:t xml:space="preserve"> has</w:t>
      </w:r>
      <w:r w:rsidR="00CF4A0D" w:rsidRPr="005B7011">
        <w:rPr>
          <w:rFonts w:cs="Baskerville"/>
          <w:sz w:val="22"/>
          <w:szCs w:val="22"/>
          <w:lang w:val="en-US"/>
        </w:rPr>
        <w:t xml:space="preserve"> been</w:t>
      </w:r>
      <w:r w:rsidR="00BB2781" w:rsidRPr="005B7011">
        <w:rPr>
          <w:rFonts w:cs="Baskerville"/>
          <w:sz w:val="22"/>
          <w:szCs w:val="22"/>
          <w:lang w:val="en-US"/>
        </w:rPr>
        <w:t xml:space="preserve"> rendered untrue by a subsequent change of circumstance</w:t>
      </w:r>
      <w:r w:rsidR="000D3A05" w:rsidRPr="005B7011">
        <w:rPr>
          <w:rFonts w:cs="Baskerville"/>
          <w:sz w:val="22"/>
          <w:szCs w:val="22"/>
          <w:lang w:val="en-US"/>
        </w:rPr>
        <w:t>s</w:t>
      </w:r>
      <w:r w:rsidR="005B4F68" w:rsidRPr="005B7011">
        <w:rPr>
          <w:rFonts w:cs="Baskerville"/>
          <w:sz w:val="22"/>
          <w:szCs w:val="22"/>
          <w:lang w:val="en-US"/>
        </w:rPr>
        <w:t>; a fai</w:t>
      </w:r>
      <w:r w:rsidR="00E90C78" w:rsidRPr="005B7011">
        <w:rPr>
          <w:rFonts w:cs="Baskerville"/>
          <w:sz w:val="22"/>
          <w:szCs w:val="22"/>
          <w:lang w:val="en-US"/>
        </w:rPr>
        <w:t>lure to disclose the</w:t>
      </w:r>
      <w:r w:rsidR="004630BC" w:rsidRPr="005B7011">
        <w:rPr>
          <w:rFonts w:cs="Baskerville"/>
          <w:sz w:val="22"/>
          <w:szCs w:val="22"/>
          <w:lang w:val="en-US"/>
        </w:rPr>
        <w:t xml:space="preserve">new developments </w:t>
      </w:r>
      <w:r w:rsidR="00823515" w:rsidRPr="005B7011">
        <w:rPr>
          <w:rFonts w:cs="Baskerville"/>
          <w:sz w:val="22"/>
          <w:szCs w:val="22"/>
          <w:lang w:val="en-US"/>
        </w:rPr>
        <w:t>will lead to a finding of misrepresentation.</w:t>
      </w:r>
    </w:p>
    <w:p w:rsidR="003E1591" w:rsidRPr="005B7011" w:rsidRDefault="003E1591" w:rsidP="00556965">
      <w:pPr>
        <w:jc w:val="both"/>
        <w:rPr>
          <w:rFonts w:cs="Baskerville"/>
          <w:sz w:val="22"/>
          <w:szCs w:val="22"/>
          <w:lang w:val="en-US"/>
        </w:rPr>
      </w:pPr>
    </w:p>
    <w:p w:rsidR="00186EE0" w:rsidRPr="005B7011" w:rsidRDefault="003E1591" w:rsidP="00556965">
      <w:pPr>
        <w:jc w:val="both"/>
        <w:rPr>
          <w:rFonts w:cs="Baskerville"/>
          <w:sz w:val="22"/>
          <w:szCs w:val="22"/>
          <w:lang w:val="en-US"/>
        </w:rPr>
      </w:pPr>
      <w:r w:rsidRPr="005B7011">
        <w:rPr>
          <w:rFonts w:cs="Baskerville"/>
          <w:sz w:val="22"/>
          <w:szCs w:val="22"/>
          <w:lang w:val="en-US"/>
        </w:rPr>
        <w:t xml:space="preserve">To </w:t>
      </w:r>
      <w:r w:rsidR="00701557" w:rsidRPr="005B7011">
        <w:rPr>
          <w:rFonts w:cs="Baskerville"/>
          <w:sz w:val="22"/>
          <w:szCs w:val="22"/>
          <w:lang w:val="en-US"/>
        </w:rPr>
        <w:t xml:space="preserve">successfully </w:t>
      </w:r>
      <w:r w:rsidRPr="005B7011">
        <w:rPr>
          <w:rFonts w:cs="Baskerville"/>
          <w:sz w:val="22"/>
          <w:szCs w:val="22"/>
          <w:lang w:val="en-US"/>
        </w:rPr>
        <w:t xml:space="preserve">apply </w:t>
      </w:r>
      <w:r w:rsidR="00FB32FB" w:rsidRPr="005B7011">
        <w:rPr>
          <w:rFonts w:cs="Baskerville"/>
          <w:i/>
          <w:sz w:val="22"/>
          <w:szCs w:val="22"/>
          <w:lang w:val="en-US"/>
        </w:rPr>
        <w:t>O’Flanagan</w:t>
      </w:r>
      <w:r w:rsidR="00F568D1" w:rsidRPr="005B7011">
        <w:rPr>
          <w:rFonts w:cs="Baskerville"/>
          <w:sz w:val="22"/>
          <w:szCs w:val="22"/>
          <w:lang w:val="en-US"/>
        </w:rPr>
        <w:t xml:space="preserve">, </w:t>
      </w:r>
      <w:r w:rsidR="00823515" w:rsidRPr="005B7011">
        <w:rPr>
          <w:rFonts w:cs="Baskerville"/>
          <w:sz w:val="22"/>
          <w:szCs w:val="22"/>
          <w:lang w:val="en-US"/>
        </w:rPr>
        <w:t xml:space="preserve">Oxfield will first have to </w:t>
      </w:r>
      <w:r w:rsidR="008D2DA4" w:rsidRPr="005B7011">
        <w:rPr>
          <w:rFonts w:cs="Baskerville"/>
          <w:sz w:val="22"/>
          <w:szCs w:val="22"/>
          <w:lang w:val="en-US"/>
        </w:rPr>
        <w:t>argue</w:t>
      </w:r>
      <w:r w:rsidR="00FB32FB" w:rsidRPr="005B7011">
        <w:rPr>
          <w:rFonts w:cs="Baskerville"/>
          <w:sz w:val="22"/>
          <w:szCs w:val="22"/>
          <w:lang w:val="en-US"/>
        </w:rPr>
        <w:t xml:space="preserve"> that </w:t>
      </w:r>
      <w:r w:rsidR="000E4F9A" w:rsidRPr="005B7011">
        <w:rPr>
          <w:rFonts w:cs="Baskerville"/>
          <w:sz w:val="22"/>
          <w:szCs w:val="22"/>
          <w:lang w:val="en-US"/>
        </w:rPr>
        <w:t xml:space="preserve">Easybuck had </w:t>
      </w:r>
      <w:r w:rsidR="00701557" w:rsidRPr="005B7011">
        <w:rPr>
          <w:rFonts w:cs="Baskerville"/>
          <w:sz w:val="22"/>
          <w:szCs w:val="22"/>
          <w:lang w:val="en-US"/>
        </w:rPr>
        <w:t xml:space="preserve">in actuality </w:t>
      </w:r>
      <w:r w:rsidR="008E6B39" w:rsidRPr="005B7011">
        <w:rPr>
          <w:rFonts w:cs="Baskerville"/>
          <w:sz w:val="22"/>
          <w:szCs w:val="22"/>
          <w:lang w:val="en-US"/>
        </w:rPr>
        <w:t xml:space="preserve">made a representation, albeit </w:t>
      </w:r>
      <w:r w:rsidR="00892494" w:rsidRPr="005B7011">
        <w:rPr>
          <w:rFonts w:cs="Baskerville"/>
          <w:sz w:val="22"/>
          <w:szCs w:val="22"/>
          <w:lang w:val="en-US"/>
        </w:rPr>
        <w:t>through conduct</w:t>
      </w:r>
      <w:r w:rsidR="0011682D" w:rsidRPr="005B7011">
        <w:rPr>
          <w:rFonts w:cs="Baskerville"/>
          <w:sz w:val="22"/>
          <w:szCs w:val="22"/>
          <w:lang w:val="en-US"/>
        </w:rPr>
        <w:t xml:space="preserve"> rather than words</w:t>
      </w:r>
      <w:r w:rsidR="00892494" w:rsidRPr="005B7011">
        <w:rPr>
          <w:rFonts w:cs="Baskerville"/>
          <w:sz w:val="22"/>
          <w:szCs w:val="22"/>
          <w:lang w:val="en-US"/>
        </w:rPr>
        <w:t xml:space="preserve">. </w:t>
      </w:r>
      <w:r w:rsidR="0047769C" w:rsidRPr="005B7011">
        <w:rPr>
          <w:rFonts w:cs="Baskerville"/>
          <w:sz w:val="22"/>
          <w:szCs w:val="22"/>
          <w:lang w:val="en-US"/>
        </w:rPr>
        <w:t xml:space="preserve">Easybuck’s operation of a casino on the land </w:t>
      </w:r>
      <w:r w:rsidR="008F43C0" w:rsidRPr="005B7011">
        <w:rPr>
          <w:rFonts w:cs="Baskerville"/>
          <w:sz w:val="22"/>
          <w:szCs w:val="22"/>
          <w:lang w:val="en-US"/>
        </w:rPr>
        <w:t>may be likened</w:t>
      </w:r>
      <w:r w:rsidR="00777197" w:rsidRPr="005B7011">
        <w:rPr>
          <w:rFonts w:cs="Baskerville"/>
          <w:sz w:val="22"/>
          <w:szCs w:val="22"/>
          <w:lang w:val="en-US"/>
        </w:rPr>
        <w:t xml:space="preserve"> to a representation</w:t>
      </w:r>
      <w:r w:rsidR="0047769C" w:rsidRPr="005B7011">
        <w:rPr>
          <w:rFonts w:cs="Baskerville"/>
          <w:sz w:val="22"/>
          <w:szCs w:val="22"/>
          <w:lang w:val="en-US"/>
        </w:rPr>
        <w:t xml:space="preserve"> that the si</w:t>
      </w:r>
      <w:r w:rsidR="003F53AB" w:rsidRPr="005B7011">
        <w:rPr>
          <w:rFonts w:cs="Baskerville"/>
          <w:sz w:val="22"/>
          <w:szCs w:val="22"/>
          <w:lang w:val="en-US"/>
        </w:rPr>
        <w:t xml:space="preserve">te was </w:t>
      </w:r>
      <w:r w:rsidR="00777197" w:rsidRPr="005B7011">
        <w:rPr>
          <w:rFonts w:cs="Baskerville"/>
          <w:sz w:val="22"/>
          <w:szCs w:val="22"/>
          <w:lang w:val="en-US"/>
        </w:rPr>
        <w:t xml:space="preserve">appropriately </w:t>
      </w:r>
      <w:r w:rsidR="00FD15CF" w:rsidRPr="005B7011">
        <w:rPr>
          <w:rFonts w:cs="Baskerville"/>
          <w:sz w:val="22"/>
          <w:szCs w:val="22"/>
          <w:lang w:val="en-US"/>
        </w:rPr>
        <w:t xml:space="preserve">licenced for those activities. </w:t>
      </w:r>
      <w:r w:rsidR="006A42BF" w:rsidRPr="005B7011">
        <w:rPr>
          <w:rFonts w:cs="Baskerville"/>
          <w:sz w:val="22"/>
          <w:szCs w:val="22"/>
          <w:lang w:val="en-US"/>
        </w:rPr>
        <w:t>It was precisely</w:t>
      </w:r>
      <w:r w:rsidR="00377137" w:rsidRPr="005B7011">
        <w:rPr>
          <w:rFonts w:cs="Baskerville"/>
          <w:sz w:val="22"/>
          <w:szCs w:val="22"/>
          <w:lang w:val="en-US"/>
        </w:rPr>
        <w:t xml:space="preserve"> this feature that made the land</w:t>
      </w:r>
      <w:r w:rsidR="002F3066" w:rsidRPr="005B7011">
        <w:rPr>
          <w:rFonts w:cs="Baskerville"/>
          <w:sz w:val="22"/>
          <w:szCs w:val="22"/>
          <w:lang w:val="en-US"/>
        </w:rPr>
        <w:t>‘particularly attractive</w:t>
      </w:r>
      <w:r w:rsidR="00656A9B" w:rsidRPr="005B7011">
        <w:rPr>
          <w:rFonts w:cs="Baskerville"/>
          <w:sz w:val="22"/>
          <w:szCs w:val="22"/>
          <w:lang w:val="en-US"/>
        </w:rPr>
        <w:t>’</w:t>
      </w:r>
      <w:r w:rsidR="006A42BF" w:rsidRPr="005B7011">
        <w:rPr>
          <w:rFonts w:cs="Baskerville"/>
          <w:sz w:val="22"/>
          <w:szCs w:val="22"/>
          <w:lang w:val="en-US"/>
        </w:rPr>
        <w:t xml:space="preserve"> to Ox</w:t>
      </w:r>
      <w:r w:rsidR="00157B18" w:rsidRPr="005B7011">
        <w:rPr>
          <w:rFonts w:cs="Baskerville"/>
          <w:sz w:val="22"/>
          <w:szCs w:val="22"/>
          <w:lang w:val="en-US"/>
        </w:rPr>
        <w:t>field and certainly</w:t>
      </w:r>
      <w:r w:rsidR="00B26573" w:rsidRPr="005B7011">
        <w:rPr>
          <w:rFonts w:cs="Baskerville"/>
          <w:sz w:val="22"/>
          <w:szCs w:val="22"/>
          <w:lang w:val="en-US"/>
        </w:rPr>
        <w:t>fac</w:t>
      </w:r>
      <w:r w:rsidR="0071230E" w:rsidRPr="005B7011">
        <w:rPr>
          <w:rFonts w:cs="Baskerville"/>
          <w:sz w:val="22"/>
          <w:szCs w:val="22"/>
          <w:lang w:val="en-US"/>
        </w:rPr>
        <w:t xml:space="preserve">tored into </w:t>
      </w:r>
      <w:r w:rsidR="00B47F97" w:rsidRPr="005B7011">
        <w:rPr>
          <w:rFonts w:cs="Baskerville"/>
          <w:sz w:val="22"/>
          <w:szCs w:val="22"/>
          <w:lang w:val="en-US"/>
        </w:rPr>
        <w:t>its</w:t>
      </w:r>
      <w:r w:rsidR="002F3066" w:rsidRPr="005B7011">
        <w:rPr>
          <w:rFonts w:cs="Baskerville"/>
          <w:sz w:val="22"/>
          <w:szCs w:val="22"/>
          <w:lang w:val="en-US"/>
        </w:rPr>
        <w:t xml:space="preserve">eventual </w:t>
      </w:r>
      <w:commentRangeStart w:id="4"/>
      <w:r w:rsidR="002F3066" w:rsidRPr="005B7011">
        <w:rPr>
          <w:rFonts w:cs="Baskerville"/>
          <w:sz w:val="22"/>
          <w:szCs w:val="22"/>
          <w:lang w:val="en-US"/>
        </w:rPr>
        <w:t xml:space="preserve">decision to buy the </w:t>
      </w:r>
      <w:r w:rsidR="00B76004" w:rsidRPr="005B7011">
        <w:rPr>
          <w:rFonts w:cs="Baskerville"/>
          <w:sz w:val="22"/>
          <w:szCs w:val="22"/>
          <w:lang w:val="en-US"/>
        </w:rPr>
        <w:t>site</w:t>
      </w:r>
      <w:r w:rsidR="005B7011">
        <w:rPr>
          <w:rFonts w:cs="Baskerville"/>
          <w:sz w:val="22"/>
          <w:szCs w:val="22"/>
          <w:lang w:val="en-US"/>
        </w:rPr>
        <w:t>.</w:t>
      </w:r>
      <w:commentRangeEnd w:id="4"/>
      <w:r w:rsidR="005B7011">
        <w:rPr>
          <w:rStyle w:val="CommentReference"/>
        </w:rPr>
        <w:commentReference w:id="4"/>
      </w:r>
    </w:p>
    <w:p w:rsidR="00C915E3" w:rsidRPr="005B7011" w:rsidRDefault="00C915E3" w:rsidP="00556965">
      <w:pPr>
        <w:jc w:val="both"/>
        <w:rPr>
          <w:rFonts w:cs="Baskerville"/>
          <w:sz w:val="22"/>
          <w:szCs w:val="22"/>
          <w:lang w:val="en-US"/>
        </w:rPr>
      </w:pPr>
    </w:p>
    <w:p w:rsidR="007F36B7" w:rsidRPr="005B7011" w:rsidRDefault="006A29E0" w:rsidP="00556965">
      <w:pPr>
        <w:jc w:val="both"/>
        <w:rPr>
          <w:rFonts w:cs="Baskerville"/>
          <w:sz w:val="22"/>
          <w:szCs w:val="22"/>
          <w:lang w:val="en-US"/>
        </w:rPr>
      </w:pPr>
      <w:commentRangeStart w:id="5"/>
      <w:r w:rsidRPr="005B7011">
        <w:rPr>
          <w:rFonts w:cs="Baskerville"/>
          <w:sz w:val="22"/>
          <w:szCs w:val="22"/>
          <w:lang w:val="en-US"/>
        </w:rPr>
        <w:t xml:space="preserve">Next, </w:t>
      </w:r>
      <w:r w:rsidR="00C915E3" w:rsidRPr="005B7011">
        <w:rPr>
          <w:rFonts w:cs="Baskerville"/>
          <w:sz w:val="22"/>
          <w:szCs w:val="22"/>
          <w:lang w:val="en-US"/>
        </w:rPr>
        <w:t xml:space="preserve">Fry J in </w:t>
      </w:r>
      <w:r w:rsidR="00E3306D" w:rsidRPr="005B7011">
        <w:rPr>
          <w:rFonts w:cs="Baskerville"/>
          <w:i/>
          <w:sz w:val="22"/>
          <w:szCs w:val="22"/>
          <w:lang w:val="en-US"/>
        </w:rPr>
        <w:t>Davies v London and Provincial Marine Insurance Co [1878]</w:t>
      </w:r>
      <w:r w:rsidR="001D169C" w:rsidRPr="005B7011">
        <w:rPr>
          <w:rFonts w:cs="Baskerville"/>
          <w:sz w:val="22"/>
          <w:szCs w:val="22"/>
          <w:lang w:val="en-US"/>
        </w:rPr>
        <w:t>warned that a contracting p</w:t>
      </w:r>
      <w:r w:rsidR="00A05C91" w:rsidRPr="005B7011">
        <w:rPr>
          <w:rFonts w:cs="Baskerville"/>
          <w:sz w:val="22"/>
          <w:szCs w:val="22"/>
          <w:lang w:val="en-US"/>
        </w:rPr>
        <w:t xml:space="preserve">arty </w:t>
      </w:r>
      <w:r w:rsidR="00A9314C" w:rsidRPr="005B7011">
        <w:rPr>
          <w:rFonts w:cs="Baskerville"/>
          <w:sz w:val="22"/>
          <w:szCs w:val="22"/>
          <w:lang w:val="en-US"/>
        </w:rPr>
        <w:t xml:space="preserve">who </w:t>
      </w:r>
      <w:r w:rsidR="00501C1C" w:rsidRPr="005B7011">
        <w:rPr>
          <w:rFonts w:cs="Baskerville"/>
          <w:sz w:val="22"/>
          <w:szCs w:val="22"/>
          <w:lang w:val="en-US"/>
        </w:rPr>
        <w:t>‘has made</w:t>
      </w:r>
      <w:r w:rsidR="00A9314C" w:rsidRPr="005B7011">
        <w:rPr>
          <w:rFonts w:cs="Baskerville"/>
          <w:sz w:val="22"/>
          <w:szCs w:val="22"/>
          <w:lang w:val="en-US"/>
        </w:rPr>
        <w:t xml:space="preserve"> a statement which is false in fact</w:t>
      </w:r>
      <w:r w:rsidR="00501C1C" w:rsidRPr="005B7011">
        <w:rPr>
          <w:rFonts w:cs="Baskerville"/>
          <w:sz w:val="22"/>
          <w:szCs w:val="22"/>
          <w:lang w:val="en-US"/>
        </w:rPr>
        <w:t>,</w:t>
      </w:r>
      <w:r w:rsidR="00A9314C" w:rsidRPr="005B7011">
        <w:rPr>
          <w:rFonts w:cs="Baskerville"/>
          <w:sz w:val="22"/>
          <w:szCs w:val="22"/>
          <w:lang w:val="en-US"/>
        </w:rPr>
        <w:t xml:space="preserve"> b</w:t>
      </w:r>
      <w:r w:rsidR="00501C1C" w:rsidRPr="005B7011">
        <w:rPr>
          <w:rFonts w:cs="Baskerville"/>
          <w:sz w:val="22"/>
          <w:szCs w:val="22"/>
          <w:lang w:val="en-US"/>
        </w:rPr>
        <w:t>ut which he believes to be true and which</w:t>
      </w:r>
      <w:r w:rsidR="00BA532C" w:rsidRPr="005B7011">
        <w:rPr>
          <w:rFonts w:cs="Baskerville"/>
          <w:sz w:val="22"/>
          <w:szCs w:val="22"/>
          <w:lang w:val="en-US"/>
        </w:rPr>
        <w:t xml:space="preserve"> is material to the contract’</w:t>
      </w:r>
      <w:r w:rsidR="00D80150" w:rsidRPr="005B7011">
        <w:rPr>
          <w:rFonts w:cs="Baskerville"/>
          <w:sz w:val="22"/>
          <w:szCs w:val="22"/>
          <w:lang w:val="en-US"/>
        </w:rPr>
        <w:t>, is duty-bound</w:t>
      </w:r>
      <w:r w:rsidR="00BA532C" w:rsidRPr="005B7011">
        <w:rPr>
          <w:rFonts w:cs="Baskerville"/>
          <w:sz w:val="22"/>
          <w:szCs w:val="22"/>
          <w:lang w:val="en-US"/>
        </w:rPr>
        <w:t xml:space="preserve"> to correc</w:t>
      </w:r>
      <w:r w:rsidR="00D80150" w:rsidRPr="005B7011">
        <w:rPr>
          <w:rFonts w:cs="Baskerville"/>
          <w:sz w:val="22"/>
          <w:szCs w:val="22"/>
          <w:lang w:val="en-US"/>
        </w:rPr>
        <w:t>t that representation</w:t>
      </w:r>
      <w:r w:rsidR="006F69B0" w:rsidRPr="005B7011">
        <w:rPr>
          <w:rFonts w:cs="Baskerville"/>
          <w:sz w:val="22"/>
          <w:szCs w:val="22"/>
          <w:lang w:val="en-US"/>
        </w:rPr>
        <w:t xml:space="preserve"> if he subsequently learn</w:t>
      </w:r>
      <w:r w:rsidR="00BA532C" w:rsidRPr="005B7011">
        <w:rPr>
          <w:rFonts w:cs="Baskerville"/>
          <w:sz w:val="22"/>
          <w:szCs w:val="22"/>
          <w:lang w:val="en-US"/>
        </w:rPr>
        <w:t>s that it is erroneous</w:t>
      </w:r>
      <w:r w:rsidR="00B359CF" w:rsidRPr="005B7011">
        <w:rPr>
          <w:rFonts w:cs="Baskerville"/>
          <w:sz w:val="22"/>
          <w:szCs w:val="22"/>
          <w:lang w:val="en-US"/>
        </w:rPr>
        <w:t>.</w:t>
      </w:r>
      <w:commentRangeEnd w:id="5"/>
      <w:r w:rsidR="00CB4020">
        <w:rPr>
          <w:rStyle w:val="CommentReference"/>
        </w:rPr>
        <w:commentReference w:id="5"/>
      </w:r>
      <w:commentRangeStart w:id="6"/>
      <w:r w:rsidR="00FB662F" w:rsidRPr="005B7011">
        <w:rPr>
          <w:rFonts w:cs="Baskerville"/>
          <w:sz w:val="22"/>
          <w:szCs w:val="22"/>
          <w:lang w:val="en-US"/>
        </w:rPr>
        <w:t>Following the decision in</w:t>
      </w:r>
      <w:r w:rsidR="00EC6BEA" w:rsidRPr="005B7011">
        <w:rPr>
          <w:rFonts w:cs="Baskerville"/>
          <w:i/>
          <w:sz w:val="22"/>
          <w:szCs w:val="22"/>
          <w:lang w:val="en-US"/>
        </w:rPr>
        <w:t>Spice Girls Ltd v Aprilla World Service BV [2002]</w:t>
      </w:r>
      <w:r w:rsidR="00DA3C48" w:rsidRPr="005B7011">
        <w:rPr>
          <w:rFonts w:cs="Baskerville"/>
          <w:sz w:val="22"/>
          <w:szCs w:val="22"/>
          <w:lang w:val="en-US"/>
        </w:rPr>
        <w:t>, it seems clear thatt</w:t>
      </w:r>
      <w:r w:rsidR="00EC6BEA" w:rsidRPr="005B7011">
        <w:rPr>
          <w:rFonts w:cs="Baskerville"/>
          <w:sz w:val="22"/>
          <w:szCs w:val="22"/>
          <w:lang w:val="en-US"/>
        </w:rPr>
        <w:t>his rule</w:t>
      </w:r>
      <w:r w:rsidR="00935D6D" w:rsidRPr="005B7011">
        <w:rPr>
          <w:rFonts w:cs="Baskerville"/>
          <w:sz w:val="22"/>
          <w:szCs w:val="22"/>
          <w:lang w:val="en-US"/>
        </w:rPr>
        <w:t xml:space="preserve">also applies to </w:t>
      </w:r>
      <w:r w:rsidR="00102C04" w:rsidRPr="005B7011">
        <w:rPr>
          <w:rFonts w:cs="Baskerville"/>
          <w:sz w:val="22"/>
          <w:szCs w:val="22"/>
          <w:lang w:val="en-US"/>
        </w:rPr>
        <w:t>prior representation</w:t>
      </w:r>
      <w:r w:rsidR="00C46D23" w:rsidRPr="005B7011">
        <w:rPr>
          <w:rFonts w:cs="Baskerville"/>
          <w:sz w:val="22"/>
          <w:szCs w:val="22"/>
          <w:lang w:val="en-US"/>
        </w:rPr>
        <w:t>s</w:t>
      </w:r>
      <w:r w:rsidR="003A17D7" w:rsidRPr="005B7011">
        <w:rPr>
          <w:rFonts w:cs="Baskerville"/>
          <w:sz w:val="22"/>
          <w:szCs w:val="22"/>
          <w:lang w:val="en-US"/>
        </w:rPr>
        <w:t xml:space="preserve"> made by conduct</w:t>
      </w:r>
      <w:r w:rsidR="00935D6D" w:rsidRPr="005B7011">
        <w:rPr>
          <w:rFonts w:cs="Baskerville"/>
          <w:sz w:val="22"/>
          <w:szCs w:val="22"/>
          <w:lang w:val="en-US"/>
        </w:rPr>
        <w:t xml:space="preserve"> and produces the s</w:t>
      </w:r>
      <w:r w:rsidR="007119FD" w:rsidRPr="005B7011">
        <w:rPr>
          <w:rFonts w:cs="Baskerville"/>
          <w:sz w:val="22"/>
          <w:szCs w:val="22"/>
          <w:lang w:val="en-US"/>
        </w:rPr>
        <w:t xml:space="preserve">ame </w:t>
      </w:r>
      <w:r w:rsidR="00305636" w:rsidRPr="005B7011">
        <w:rPr>
          <w:rFonts w:cs="Baskerville"/>
          <w:sz w:val="22"/>
          <w:szCs w:val="22"/>
          <w:lang w:val="en-US"/>
        </w:rPr>
        <w:t xml:space="preserve">desirable </w:t>
      </w:r>
      <w:r w:rsidR="007119FD" w:rsidRPr="005B7011">
        <w:rPr>
          <w:rFonts w:cs="Baskerville"/>
          <w:sz w:val="22"/>
          <w:szCs w:val="22"/>
          <w:lang w:val="en-US"/>
        </w:rPr>
        <w:t>outcome</w:t>
      </w:r>
      <w:r w:rsidR="00305636" w:rsidRPr="005B7011">
        <w:rPr>
          <w:rFonts w:cs="Baskerville"/>
          <w:sz w:val="22"/>
          <w:szCs w:val="22"/>
          <w:lang w:val="en-US"/>
        </w:rPr>
        <w:t xml:space="preserve"> for the representee</w:t>
      </w:r>
      <w:r w:rsidR="004731CB" w:rsidRPr="005B7011">
        <w:rPr>
          <w:rFonts w:cs="Baskerville"/>
          <w:sz w:val="22"/>
          <w:szCs w:val="22"/>
          <w:lang w:val="en-US"/>
        </w:rPr>
        <w:t xml:space="preserve">, i.e. </w:t>
      </w:r>
      <w:r w:rsidR="00AD44F7" w:rsidRPr="005B7011">
        <w:rPr>
          <w:rFonts w:cs="Baskerville"/>
          <w:sz w:val="22"/>
          <w:szCs w:val="22"/>
          <w:lang w:val="en-US"/>
        </w:rPr>
        <w:t>successful establishment of</w:t>
      </w:r>
      <w:r w:rsidR="004731CB" w:rsidRPr="005B7011">
        <w:rPr>
          <w:rFonts w:cs="Baskerville"/>
          <w:sz w:val="22"/>
          <w:szCs w:val="22"/>
        </w:rPr>
        <w:t xml:space="preserve">a </w:t>
      </w:r>
      <w:r w:rsidR="003142C2" w:rsidRPr="005B7011">
        <w:rPr>
          <w:rFonts w:cs="Baskerville"/>
          <w:sz w:val="22"/>
          <w:szCs w:val="22"/>
          <w:lang w:val="en-US"/>
        </w:rPr>
        <w:t>misrepresentation</w:t>
      </w:r>
      <w:r w:rsidR="009404B8" w:rsidRPr="005B7011">
        <w:rPr>
          <w:rFonts w:cs="Baskerville"/>
          <w:sz w:val="22"/>
          <w:szCs w:val="22"/>
          <w:lang w:val="en-US"/>
        </w:rPr>
        <w:t>.</w:t>
      </w:r>
      <w:commentRangeEnd w:id="6"/>
      <w:r w:rsidR="00CB4020">
        <w:rPr>
          <w:rStyle w:val="CommentReference"/>
        </w:rPr>
        <w:commentReference w:id="6"/>
      </w:r>
      <w:r w:rsidR="009404B8" w:rsidRPr="005B7011">
        <w:rPr>
          <w:rFonts w:cs="Baskerville"/>
          <w:sz w:val="22"/>
          <w:szCs w:val="22"/>
          <w:lang w:val="en-US"/>
        </w:rPr>
        <w:t>I</w:t>
      </w:r>
      <w:r w:rsidR="006844D4" w:rsidRPr="005B7011">
        <w:rPr>
          <w:rFonts w:cs="Baskerville"/>
          <w:sz w:val="22"/>
          <w:szCs w:val="22"/>
          <w:lang w:val="en-US"/>
        </w:rPr>
        <w:t>nterestingly enough</w:t>
      </w:r>
      <w:r w:rsidR="0017392D" w:rsidRPr="005B7011">
        <w:rPr>
          <w:rFonts w:cs="Baskerville"/>
          <w:sz w:val="22"/>
          <w:szCs w:val="22"/>
          <w:lang w:val="en-US"/>
        </w:rPr>
        <w:t xml:space="preserve">, the </w:t>
      </w:r>
      <w:r w:rsidR="00AA09B7" w:rsidRPr="005B7011">
        <w:rPr>
          <w:rFonts w:cs="Baskerville"/>
          <w:sz w:val="22"/>
          <w:szCs w:val="22"/>
          <w:lang w:val="en-US"/>
        </w:rPr>
        <w:t>result</w:t>
      </w:r>
      <w:r w:rsidR="0017392D" w:rsidRPr="005B7011">
        <w:rPr>
          <w:rFonts w:cs="Baskerville"/>
          <w:sz w:val="22"/>
          <w:szCs w:val="22"/>
          <w:lang w:val="en-US"/>
        </w:rPr>
        <w:t>in such cases c</w:t>
      </w:r>
      <w:r w:rsidR="00A34963" w:rsidRPr="005B7011">
        <w:rPr>
          <w:rFonts w:cs="Baskerville"/>
          <w:sz w:val="22"/>
          <w:szCs w:val="22"/>
          <w:lang w:val="en-US"/>
        </w:rPr>
        <w:t xml:space="preserve">an be explained </w:t>
      </w:r>
      <w:r w:rsidR="00620ABA" w:rsidRPr="005B7011">
        <w:rPr>
          <w:rFonts w:cs="Baskerville"/>
          <w:sz w:val="22"/>
          <w:szCs w:val="22"/>
          <w:lang w:val="en-US"/>
        </w:rPr>
        <w:t>via</w:t>
      </w:r>
      <w:r w:rsidR="004901D3" w:rsidRPr="005B7011">
        <w:rPr>
          <w:rFonts w:cs="Baskerville"/>
          <w:sz w:val="22"/>
          <w:szCs w:val="22"/>
          <w:lang w:val="en-US"/>
        </w:rPr>
        <w:t>two</w:t>
      </w:r>
      <w:r w:rsidR="00620ABA" w:rsidRPr="005B7011">
        <w:rPr>
          <w:rFonts w:cs="Baskerville"/>
          <w:sz w:val="22"/>
          <w:szCs w:val="22"/>
          <w:lang w:val="en-US"/>
        </w:rPr>
        <w:t xml:space="preserve"> distinct</w:t>
      </w:r>
      <w:r w:rsidR="00DD6959" w:rsidRPr="005B7011">
        <w:rPr>
          <w:rFonts w:cs="Baskerville"/>
          <w:sz w:val="22"/>
          <w:szCs w:val="22"/>
          <w:lang w:val="en-US"/>
        </w:rPr>
        <w:t>modes of analysis</w:t>
      </w:r>
      <w:r w:rsidR="00562A77" w:rsidRPr="005B7011">
        <w:rPr>
          <w:rFonts w:cs="Baskerville"/>
          <w:sz w:val="22"/>
          <w:szCs w:val="22"/>
          <w:lang w:val="en-US"/>
        </w:rPr>
        <w:t xml:space="preserve">as </w:t>
      </w:r>
      <w:r w:rsidR="00AE63C2" w:rsidRPr="005B7011">
        <w:rPr>
          <w:rFonts w:cs="Baskerville"/>
          <w:sz w:val="22"/>
          <w:szCs w:val="22"/>
          <w:lang w:val="en-US"/>
        </w:rPr>
        <w:t>Lord Wright MR</w:t>
      </w:r>
      <w:r w:rsidR="00834D6A" w:rsidRPr="005B7011">
        <w:rPr>
          <w:rFonts w:cs="Baskerville"/>
          <w:sz w:val="22"/>
          <w:szCs w:val="22"/>
          <w:lang w:val="en-US"/>
        </w:rPr>
        <w:t xml:space="preserve">in </w:t>
      </w:r>
      <w:r w:rsidR="00834D6A" w:rsidRPr="005B7011">
        <w:rPr>
          <w:rFonts w:cs="Baskerville"/>
          <w:i/>
          <w:sz w:val="22"/>
          <w:szCs w:val="22"/>
          <w:lang w:val="en-US"/>
        </w:rPr>
        <w:t>O’</w:t>
      </w:r>
      <w:r w:rsidR="0025191F" w:rsidRPr="005B7011">
        <w:rPr>
          <w:rFonts w:cs="Baskerville"/>
          <w:i/>
          <w:sz w:val="22"/>
          <w:szCs w:val="22"/>
          <w:lang w:val="en-US"/>
        </w:rPr>
        <w:t xml:space="preserve">Flanagan </w:t>
      </w:r>
      <w:r w:rsidR="0025191F" w:rsidRPr="005B7011">
        <w:rPr>
          <w:rFonts w:cs="Baskerville"/>
          <w:sz w:val="22"/>
          <w:szCs w:val="22"/>
          <w:lang w:val="en-US"/>
        </w:rPr>
        <w:t>opine</w:t>
      </w:r>
      <w:r w:rsidR="00B01579" w:rsidRPr="005B7011">
        <w:rPr>
          <w:rFonts w:cs="Baskerville"/>
          <w:sz w:val="22"/>
          <w:szCs w:val="22"/>
          <w:lang w:val="en-US"/>
        </w:rPr>
        <w:t>d.</w:t>
      </w:r>
      <w:r w:rsidR="004931CC" w:rsidRPr="005B7011">
        <w:rPr>
          <w:rFonts w:cs="Baskerville"/>
          <w:sz w:val="22"/>
          <w:szCs w:val="22"/>
          <w:lang w:val="en-US"/>
        </w:rPr>
        <w:t>I</w:t>
      </w:r>
      <w:r w:rsidR="004901D3" w:rsidRPr="005B7011">
        <w:rPr>
          <w:rFonts w:cs="Baskerville"/>
          <w:sz w:val="22"/>
          <w:szCs w:val="22"/>
          <w:lang w:val="en-US"/>
        </w:rPr>
        <w:t>f a party</w:t>
      </w:r>
      <w:r w:rsidR="00A80813" w:rsidRPr="005B7011">
        <w:rPr>
          <w:rFonts w:cs="Baskerville"/>
          <w:sz w:val="22"/>
          <w:szCs w:val="22"/>
          <w:lang w:val="en-US"/>
        </w:rPr>
        <w:t>knows that the meaning</w:t>
      </w:r>
      <w:r w:rsidR="00313AB6" w:rsidRPr="005B7011">
        <w:rPr>
          <w:rFonts w:cs="Baskerville"/>
          <w:sz w:val="22"/>
          <w:szCs w:val="22"/>
          <w:lang w:val="en-US"/>
        </w:rPr>
        <w:t xml:space="preserve"> conveyed by his behaviour</w:t>
      </w:r>
      <w:r w:rsidR="001132CE" w:rsidRPr="005B7011">
        <w:rPr>
          <w:rFonts w:cs="Baskerville"/>
          <w:sz w:val="22"/>
          <w:szCs w:val="22"/>
          <w:lang w:val="en-US"/>
        </w:rPr>
        <w:t xml:space="preserve"> is no longer true but nonetheles</w:t>
      </w:r>
      <w:r w:rsidR="001F2D95" w:rsidRPr="005B7011">
        <w:rPr>
          <w:rFonts w:cs="Baskerville"/>
          <w:sz w:val="22"/>
          <w:szCs w:val="22"/>
          <w:lang w:val="en-US"/>
        </w:rPr>
        <w:t>s does not act any differently</w:t>
      </w:r>
      <w:r w:rsidR="00C46D23" w:rsidRPr="005B7011">
        <w:rPr>
          <w:rFonts w:cs="Baskerville"/>
          <w:sz w:val="22"/>
          <w:szCs w:val="22"/>
          <w:lang w:val="en-US"/>
        </w:rPr>
        <w:t xml:space="preserve">to correct that impression </w:t>
      </w:r>
      <w:r w:rsidR="00EC5CC7" w:rsidRPr="005B7011">
        <w:rPr>
          <w:rFonts w:cs="Baskerville"/>
          <w:sz w:val="22"/>
          <w:szCs w:val="22"/>
          <w:lang w:val="en-US"/>
        </w:rPr>
        <w:t>right up to the point when</w:t>
      </w:r>
      <w:r w:rsidR="00A329E1" w:rsidRPr="005B7011">
        <w:rPr>
          <w:rFonts w:cs="Baskerville"/>
          <w:sz w:val="22"/>
          <w:szCs w:val="22"/>
          <w:lang w:val="en-US"/>
        </w:rPr>
        <w:t xml:space="preserve"> the contract is formed</w:t>
      </w:r>
      <w:r w:rsidR="004931CC" w:rsidRPr="005B7011">
        <w:rPr>
          <w:rFonts w:cs="Baskerville"/>
          <w:sz w:val="22"/>
          <w:szCs w:val="22"/>
          <w:lang w:val="en-US"/>
        </w:rPr>
        <w:t>,</w:t>
      </w:r>
      <w:r w:rsidR="009C3131" w:rsidRPr="005B7011">
        <w:rPr>
          <w:rFonts w:cs="Baskerville"/>
          <w:sz w:val="22"/>
          <w:szCs w:val="22"/>
          <w:lang w:val="en-US"/>
        </w:rPr>
        <w:t xml:space="preserve">he has </w:t>
      </w:r>
      <w:r w:rsidR="0022738F" w:rsidRPr="005B7011">
        <w:rPr>
          <w:rFonts w:cs="Baskerville"/>
          <w:sz w:val="22"/>
          <w:szCs w:val="22"/>
          <w:lang w:val="en-US"/>
        </w:rPr>
        <w:t xml:space="preserve">(i) </w:t>
      </w:r>
      <w:r w:rsidR="009C3131" w:rsidRPr="005B7011">
        <w:rPr>
          <w:rFonts w:cs="Baskerville"/>
          <w:sz w:val="22"/>
          <w:szCs w:val="22"/>
          <w:lang w:val="en-US"/>
        </w:rPr>
        <w:t>patently</w:t>
      </w:r>
      <w:r w:rsidR="00423114" w:rsidRPr="005B7011">
        <w:rPr>
          <w:rFonts w:cs="Baskerville"/>
          <w:sz w:val="22"/>
          <w:szCs w:val="22"/>
          <w:lang w:val="en-US"/>
        </w:rPr>
        <w:t xml:space="preserve"> breach</w:t>
      </w:r>
      <w:r w:rsidR="009C3131" w:rsidRPr="005B7011">
        <w:rPr>
          <w:rFonts w:cs="Baskerville"/>
          <w:sz w:val="22"/>
          <w:szCs w:val="22"/>
        </w:rPr>
        <w:t>ed</w:t>
      </w:r>
      <w:r w:rsidR="00423114" w:rsidRPr="005B7011">
        <w:rPr>
          <w:rFonts w:cs="Baskerville"/>
          <w:sz w:val="22"/>
          <w:szCs w:val="22"/>
          <w:lang w:val="en-US"/>
        </w:rPr>
        <w:t xml:space="preserve"> his</w:t>
      </w:r>
      <w:r w:rsidR="00A15841" w:rsidRPr="005B7011">
        <w:rPr>
          <w:rFonts w:cs="Baskerville"/>
          <w:sz w:val="22"/>
          <w:szCs w:val="22"/>
          <w:lang w:val="en-US"/>
        </w:rPr>
        <w:t xml:space="preserve"> ‘duty to communicate the change of circumstances’</w:t>
      </w:r>
      <w:r w:rsidR="00C46D23" w:rsidRPr="005B7011">
        <w:rPr>
          <w:rFonts w:cs="Baskerville"/>
          <w:sz w:val="22"/>
          <w:szCs w:val="22"/>
          <w:lang w:val="en-US"/>
        </w:rPr>
        <w:t>, but</w:t>
      </w:r>
      <w:r w:rsidR="0022738F" w:rsidRPr="005B7011">
        <w:rPr>
          <w:rFonts w:cs="Baskerville"/>
          <w:sz w:val="22"/>
          <w:szCs w:val="22"/>
          <w:lang w:val="en-US"/>
        </w:rPr>
        <w:t xml:space="preserve">(ii) </w:t>
      </w:r>
      <w:r w:rsidR="001D51A6" w:rsidRPr="005B7011">
        <w:rPr>
          <w:rFonts w:cs="Baskerville"/>
          <w:sz w:val="22"/>
          <w:szCs w:val="22"/>
          <w:lang w:val="en-US"/>
        </w:rPr>
        <w:t xml:space="preserve">his </w:t>
      </w:r>
      <w:r w:rsidR="00E54488" w:rsidRPr="005B7011">
        <w:rPr>
          <w:rFonts w:cs="Baskerville"/>
          <w:sz w:val="22"/>
          <w:szCs w:val="22"/>
          <w:lang w:val="en-US"/>
        </w:rPr>
        <w:t>initially faultless</w:t>
      </w:r>
      <w:r w:rsidR="001D51A6" w:rsidRPr="005B7011">
        <w:rPr>
          <w:rFonts w:cs="Baskerville"/>
          <w:sz w:val="22"/>
          <w:szCs w:val="22"/>
          <w:lang w:val="en-US"/>
        </w:rPr>
        <w:t>conduct may also be treated as a ‘continuing representation’</w:t>
      </w:r>
      <w:r w:rsidR="00C91FDF" w:rsidRPr="005B7011">
        <w:rPr>
          <w:rFonts w:cs="Baskerville"/>
          <w:sz w:val="22"/>
          <w:szCs w:val="22"/>
          <w:lang w:val="en-US"/>
        </w:rPr>
        <w:t>which</w:t>
      </w:r>
      <w:r w:rsidR="0022738F" w:rsidRPr="005B7011">
        <w:rPr>
          <w:rFonts w:cs="Baskerville"/>
          <w:sz w:val="22"/>
          <w:szCs w:val="22"/>
          <w:lang w:val="en-US"/>
        </w:rPr>
        <w:t xml:space="preserve"> can be</w:t>
      </w:r>
      <w:r w:rsidR="005C4D3E" w:rsidRPr="005B7011">
        <w:rPr>
          <w:rFonts w:cs="Baskerville"/>
          <w:sz w:val="22"/>
          <w:szCs w:val="22"/>
          <w:lang w:val="en-US"/>
        </w:rPr>
        <w:t xml:space="preserve"> held </w:t>
      </w:r>
      <w:r w:rsidR="00AC4D7D" w:rsidRPr="005B7011">
        <w:rPr>
          <w:rFonts w:cs="Baskerville"/>
          <w:sz w:val="22"/>
          <w:szCs w:val="22"/>
          <w:lang w:val="en-US"/>
        </w:rPr>
        <w:t xml:space="preserve">in itself </w:t>
      </w:r>
      <w:r w:rsidR="005C4D3E" w:rsidRPr="005B7011">
        <w:rPr>
          <w:rFonts w:cs="Baskerville"/>
          <w:sz w:val="22"/>
          <w:szCs w:val="22"/>
          <w:lang w:val="en-US"/>
        </w:rPr>
        <w:t>to havefraudulently induced</w:t>
      </w:r>
      <w:r w:rsidR="00501EF4" w:rsidRPr="005B7011">
        <w:rPr>
          <w:rFonts w:cs="Baskerville"/>
          <w:sz w:val="22"/>
          <w:szCs w:val="22"/>
          <w:lang w:val="en-US"/>
        </w:rPr>
        <w:t xml:space="preserve"> the</w:t>
      </w:r>
      <w:r w:rsidR="009825B6" w:rsidRPr="005B7011">
        <w:rPr>
          <w:rFonts w:cs="Baskerville"/>
          <w:sz w:val="22"/>
          <w:szCs w:val="22"/>
          <w:lang w:val="en-US"/>
        </w:rPr>
        <w:t xml:space="preserve">claimant to enter into the </w:t>
      </w:r>
      <w:r w:rsidR="00501EF4" w:rsidRPr="005B7011">
        <w:rPr>
          <w:rFonts w:cs="Baskerville"/>
          <w:sz w:val="22"/>
          <w:szCs w:val="22"/>
          <w:lang w:val="en-US"/>
        </w:rPr>
        <w:t>contract</w:t>
      </w:r>
      <w:r w:rsidR="00412E41" w:rsidRPr="005B7011">
        <w:rPr>
          <w:rFonts w:cs="Baskerville"/>
          <w:sz w:val="22"/>
          <w:szCs w:val="22"/>
          <w:lang w:val="en-US"/>
        </w:rPr>
        <w:t>.</w:t>
      </w:r>
      <w:r w:rsidR="00A75B3C" w:rsidRPr="005B7011">
        <w:rPr>
          <w:rFonts w:cs="Baskerville"/>
          <w:sz w:val="22"/>
          <w:szCs w:val="22"/>
          <w:lang w:val="en-US"/>
        </w:rPr>
        <w:t xml:space="preserve">Here, it seems safe to assume that Oxfield can rely on </w:t>
      </w:r>
      <w:commentRangeStart w:id="7"/>
      <w:r w:rsidR="00A75B3C" w:rsidRPr="005B7011">
        <w:rPr>
          <w:rFonts w:cs="Baskerville"/>
          <w:sz w:val="22"/>
          <w:szCs w:val="22"/>
          <w:lang w:val="en-US"/>
        </w:rPr>
        <w:t>either approach</w:t>
      </w:r>
      <w:commentRangeEnd w:id="7"/>
      <w:r w:rsidR="00CB4020">
        <w:rPr>
          <w:rStyle w:val="CommentReference"/>
        </w:rPr>
        <w:commentReference w:id="7"/>
      </w:r>
      <w:r w:rsidR="00A75B3C" w:rsidRPr="005B7011">
        <w:rPr>
          <w:rFonts w:cs="Baskerville"/>
          <w:sz w:val="22"/>
          <w:szCs w:val="22"/>
          <w:lang w:val="en-US"/>
        </w:rPr>
        <w:t>to show that there was an actionable misrepresentation</w:t>
      </w:r>
      <w:r w:rsidR="000277E4" w:rsidRPr="005B7011">
        <w:rPr>
          <w:rFonts w:cs="Baskerville"/>
          <w:sz w:val="22"/>
          <w:szCs w:val="22"/>
          <w:lang w:val="en-US"/>
        </w:rPr>
        <w:t xml:space="preserve"> made by</w:t>
      </w:r>
      <w:r w:rsidR="00E85CFA" w:rsidRPr="005B7011">
        <w:rPr>
          <w:rFonts w:cs="Baskerville"/>
          <w:sz w:val="22"/>
          <w:szCs w:val="22"/>
          <w:lang w:val="en-US"/>
        </w:rPr>
        <w:t>Easy</w:t>
      </w:r>
      <w:r w:rsidR="00C00F31" w:rsidRPr="005B7011">
        <w:rPr>
          <w:rFonts w:cs="Baskerville"/>
          <w:sz w:val="22"/>
          <w:szCs w:val="22"/>
          <w:lang w:val="en-US"/>
        </w:rPr>
        <w:t>buck in respect of the viabili</w:t>
      </w:r>
      <w:r w:rsidR="007A2DCB" w:rsidRPr="005B7011">
        <w:rPr>
          <w:rFonts w:cs="Baskerville"/>
          <w:sz w:val="22"/>
          <w:szCs w:val="22"/>
          <w:lang w:val="en-US"/>
        </w:rPr>
        <w:t>ty of a casino on the site</w:t>
      </w:r>
      <w:r w:rsidR="002A53E9" w:rsidRPr="005B7011">
        <w:rPr>
          <w:rFonts w:cs="Baskerville"/>
          <w:sz w:val="22"/>
          <w:szCs w:val="22"/>
          <w:lang w:val="en-US"/>
        </w:rPr>
        <w:t>– h</w:t>
      </w:r>
      <w:r w:rsidR="00412E41" w:rsidRPr="005B7011">
        <w:rPr>
          <w:rFonts w:cs="Baskerville"/>
          <w:sz w:val="22"/>
          <w:szCs w:val="22"/>
          <w:lang w:val="en-US"/>
        </w:rPr>
        <w:t xml:space="preserve">owever, </w:t>
      </w:r>
      <w:r w:rsidR="00FF7BD0" w:rsidRPr="005B7011">
        <w:rPr>
          <w:rFonts w:cs="Baskerville"/>
          <w:sz w:val="22"/>
          <w:szCs w:val="22"/>
          <w:lang w:val="en-US"/>
        </w:rPr>
        <w:t>i</w:t>
      </w:r>
      <w:r w:rsidR="00D60272" w:rsidRPr="005B7011">
        <w:rPr>
          <w:rFonts w:cs="Baskerville"/>
          <w:sz w:val="22"/>
          <w:szCs w:val="22"/>
          <w:lang w:val="en-US"/>
        </w:rPr>
        <w:t>t is important to note that b</w:t>
      </w:r>
      <w:r w:rsidR="00B62C0C" w:rsidRPr="005B7011">
        <w:rPr>
          <w:rFonts w:cs="Baskerville"/>
          <w:sz w:val="22"/>
          <w:szCs w:val="22"/>
          <w:lang w:val="en-US"/>
        </w:rPr>
        <w:t>asin</w:t>
      </w:r>
      <w:r w:rsidR="00841892" w:rsidRPr="005B7011">
        <w:rPr>
          <w:rFonts w:cs="Baskerville"/>
          <w:sz w:val="22"/>
          <w:szCs w:val="22"/>
          <w:lang w:val="en-US"/>
        </w:rPr>
        <w:t>g a decision on one ground or the other</w:t>
      </w:r>
      <w:r w:rsidR="007A2DCB" w:rsidRPr="005B7011">
        <w:rPr>
          <w:rFonts w:cs="Baskerville"/>
          <w:sz w:val="22"/>
          <w:szCs w:val="22"/>
          <w:lang w:val="en-US"/>
        </w:rPr>
        <w:t xml:space="preserve"> will</w:t>
      </w:r>
      <w:r w:rsidR="007E005F" w:rsidRPr="005B7011">
        <w:rPr>
          <w:rFonts w:cs="Baskerville"/>
          <w:sz w:val="22"/>
          <w:szCs w:val="22"/>
          <w:lang w:val="en-US"/>
        </w:rPr>
        <w:t xml:space="preserve"> have</w:t>
      </w:r>
      <w:r w:rsidR="007220A6" w:rsidRPr="005B7011">
        <w:rPr>
          <w:rFonts w:cs="Baskerville"/>
          <w:sz w:val="22"/>
          <w:szCs w:val="22"/>
          <w:lang w:val="en-US"/>
        </w:rPr>
        <w:t xml:space="preserve"> implications</w:t>
      </w:r>
      <w:r w:rsidR="00310EE5" w:rsidRPr="005B7011">
        <w:rPr>
          <w:rFonts w:cs="Baskerville"/>
          <w:sz w:val="22"/>
          <w:szCs w:val="22"/>
          <w:lang w:val="en-US"/>
        </w:rPr>
        <w:t xml:space="preserve"> for the availability of remedies</w:t>
      </w:r>
      <w:r w:rsidR="00A715F9" w:rsidRPr="005B7011">
        <w:rPr>
          <w:rFonts w:cs="Baskerville"/>
          <w:sz w:val="22"/>
          <w:szCs w:val="22"/>
          <w:lang w:val="en-US"/>
        </w:rPr>
        <w:t>.</w:t>
      </w:r>
    </w:p>
    <w:p w:rsidR="007F36B7" w:rsidRPr="005B7011" w:rsidRDefault="007F36B7" w:rsidP="00556965">
      <w:pPr>
        <w:jc w:val="both"/>
        <w:rPr>
          <w:rFonts w:cs="Baskerville"/>
          <w:sz w:val="22"/>
          <w:szCs w:val="22"/>
          <w:lang w:val="en-US"/>
        </w:rPr>
      </w:pPr>
    </w:p>
    <w:p w:rsidR="008225D9" w:rsidRPr="005B7011" w:rsidRDefault="008225D9" w:rsidP="00414046">
      <w:pPr>
        <w:jc w:val="center"/>
        <w:rPr>
          <w:rFonts w:cs="Baskerville"/>
          <w:sz w:val="22"/>
          <w:szCs w:val="22"/>
          <w:u w:val="single"/>
          <w:lang w:val="en-US"/>
        </w:rPr>
      </w:pPr>
      <w:r w:rsidRPr="005B7011">
        <w:rPr>
          <w:rFonts w:cs="Baskerville"/>
          <w:sz w:val="22"/>
          <w:szCs w:val="22"/>
          <w:u w:val="single"/>
          <w:lang w:val="en-US"/>
        </w:rPr>
        <w:t>Remedies</w:t>
      </w:r>
    </w:p>
    <w:p w:rsidR="008225D9" w:rsidRPr="005B7011" w:rsidRDefault="008225D9" w:rsidP="00556965">
      <w:pPr>
        <w:jc w:val="both"/>
        <w:rPr>
          <w:rFonts w:cs="Baskerville"/>
          <w:sz w:val="22"/>
          <w:szCs w:val="22"/>
          <w:lang w:val="en-US"/>
        </w:rPr>
      </w:pPr>
    </w:p>
    <w:p w:rsidR="00510F90" w:rsidRPr="005B7011" w:rsidRDefault="00CC113E" w:rsidP="00556965">
      <w:pPr>
        <w:jc w:val="both"/>
        <w:rPr>
          <w:rFonts w:cs="Baskerville"/>
          <w:sz w:val="22"/>
          <w:szCs w:val="22"/>
        </w:rPr>
      </w:pPr>
      <w:commentRangeStart w:id="8"/>
      <w:r w:rsidRPr="005B7011">
        <w:rPr>
          <w:rFonts w:cs="Baskerville"/>
          <w:sz w:val="22"/>
          <w:szCs w:val="22"/>
          <w:lang w:val="en-US"/>
        </w:rPr>
        <w:t>In cases involving</w:t>
      </w:r>
      <w:r w:rsidR="00817864" w:rsidRPr="005B7011">
        <w:rPr>
          <w:rFonts w:cs="Baskerville"/>
          <w:sz w:val="22"/>
          <w:szCs w:val="22"/>
          <w:lang w:val="en-US"/>
        </w:rPr>
        <w:t xml:space="preserve"> misrepresentation</w:t>
      </w:r>
      <w:commentRangeEnd w:id="8"/>
      <w:r w:rsidR="00CB4020">
        <w:rPr>
          <w:rStyle w:val="CommentReference"/>
        </w:rPr>
        <w:commentReference w:id="8"/>
      </w:r>
      <w:r w:rsidR="00817864" w:rsidRPr="005B7011">
        <w:rPr>
          <w:rFonts w:cs="Baskerville"/>
          <w:sz w:val="22"/>
          <w:szCs w:val="22"/>
          <w:lang w:val="en-US"/>
        </w:rPr>
        <w:t>, the primary remedy i</w:t>
      </w:r>
      <w:r w:rsidR="00FF18A0" w:rsidRPr="005B7011">
        <w:rPr>
          <w:rFonts w:cs="Baskerville"/>
          <w:sz w:val="22"/>
          <w:szCs w:val="22"/>
          <w:lang w:val="en-US"/>
        </w:rPr>
        <w:t>s r</w:t>
      </w:r>
      <w:r w:rsidR="00724B67" w:rsidRPr="005B7011">
        <w:rPr>
          <w:rFonts w:cs="Baskerville"/>
          <w:sz w:val="22"/>
          <w:szCs w:val="22"/>
          <w:lang w:val="en-US"/>
        </w:rPr>
        <w:t xml:space="preserve">escission of contract which </w:t>
      </w:r>
      <w:r w:rsidR="00FF18A0" w:rsidRPr="005B7011">
        <w:rPr>
          <w:rFonts w:cs="Baskerville"/>
          <w:sz w:val="22"/>
          <w:szCs w:val="22"/>
          <w:lang w:val="en-US"/>
        </w:rPr>
        <w:t xml:space="preserve">entails setting aside the whole transaction and restoring the </w:t>
      </w:r>
      <w:r w:rsidR="00F50A45" w:rsidRPr="005B7011">
        <w:rPr>
          <w:rFonts w:cs="Baskerville"/>
          <w:sz w:val="22"/>
          <w:szCs w:val="22"/>
          <w:lang w:val="en-US"/>
        </w:rPr>
        <w:t>parties to the positions they w</w:t>
      </w:r>
      <w:r w:rsidR="0015736A" w:rsidRPr="005B7011">
        <w:rPr>
          <w:rFonts w:cs="Baskerville"/>
          <w:sz w:val="22"/>
          <w:szCs w:val="22"/>
          <w:lang w:val="en-US"/>
        </w:rPr>
        <w:t xml:space="preserve">ere in before </w:t>
      </w:r>
      <w:r w:rsidR="00F50A45" w:rsidRPr="005B7011">
        <w:rPr>
          <w:rFonts w:cs="Baskerville"/>
          <w:sz w:val="22"/>
          <w:szCs w:val="22"/>
          <w:lang w:val="en-US"/>
        </w:rPr>
        <w:t>the contract</w:t>
      </w:r>
      <w:r w:rsidR="0015736A" w:rsidRPr="005B7011">
        <w:rPr>
          <w:rFonts w:cs="Baskerville"/>
          <w:sz w:val="22"/>
          <w:szCs w:val="22"/>
          <w:lang w:val="en-US"/>
        </w:rPr>
        <w:t xml:space="preserve"> was made</w:t>
      </w:r>
      <w:r w:rsidR="00F50A45" w:rsidRPr="005B7011">
        <w:rPr>
          <w:rFonts w:cs="Baskerville"/>
          <w:sz w:val="22"/>
          <w:szCs w:val="22"/>
          <w:lang w:val="en-US"/>
        </w:rPr>
        <w:t xml:space="preserve">. </w:t>
      </w:r>
      <w:r w:rsidR="0015736A" w:rsidRPr="005B7011">
        <w:rPr>
          <w:rFonts w:cs="Baskerville"/>
          <w:sz w:val="22"/>
          <w:szCs w:val="22"/>
          <w:lang w:val="en-US"/>
        </w:rPr>
        <w:t>A</w:t>
      </w:r>
      <w:r w:rsidR="00294347" w:rsidRPr="005B7011">
        <w:rPr>
          <w:rFonts w:cs="Baskerville"/>
          <w:sz w:val="22"/>
          <w:szCs w:val="22"/>
          <w:lang w:val="en-US"/>
        </w:rPr>
        <w:t>misrepresentee is entitled to a right to rescind</w:t>
      </w:r>
      <w:r w:rsidR="00817864" w:rsidRPr="005B7011">
        <w:rPr>
          <w:rFonts w:cs="Baskerville"/>
          <w:sz w:val="22"/>
          <w:szCs w:val="22"/>
          <w:lang w:val="en-US"/>
        </w:rPr>
        <w:t xml:space="preserve"> regardless o</w:t>
      </w:r>
      <w:r w:rsidR="00427632" w:rsidRPr="005B7011">
        <w:rPr>
          <w:rFonts w:cs="Baskerville"/>
          <w:sz w:val="22"/>
          <w:szCs w:val="22"/>
          <w:lang w:val="en-US"/>
        </w:rPr>
        <w:t xml:space="preserve">f whether the </w:t>
      </w:r>
      <w:r w:rsidR="00427632" w:rsidRPr="005B7011">
        <w:rPr>
          <w:rFonts w:cs="Baskerville"/>
          <w:sz w:val="22"/>
          <w:szCs w:val="22"/>
          <w:lang w:val="en-US"/>
        </w:rPr>
        <w:lastRenderedPageBreak/>
        <w:t>misrepresentation in question was made fraudulen</w:t>
      </w:r>
      <w:r w:rsidR="00197A3B" w:rsidRPr="005B7011">
        <w:rPr>
          <w:rFonts w:cs="Baskerville"/>
          <w:sz w:val="22"/>
          <w:szCs w:val="22"/>
          <w:lang w:val="en-US"/>
        </w:rPr>
        <w:t>tly, negligently, or innocentl</w:t>
      </w:r>
      <w:r w:rsidR="00A7557F" w:rsidRPr="005B7011">
        <w:rPr>
          <w:rFonts w:cs="Baskerville"/>
          <w:sz w:val="22"/>
          <w:szCs w:val="22"/>
          <w:lang w:val="en-US"/>
        </w:rPr>
        <w:t>y, but resc</w:t>
      </w:r>
      <w:r w:rsidR="00F879DD" w:rsidRPr="005B7011">
        <w:rPr>
          <w:rFonts w:cs="Baskerville"/>
          <w:sz w:val="22"/>
          <w:szCs w:val="22"/>
          <w:lang w:val="en-US"/>
        </w:rPr>
        <w:t>ission will be barred if</w:t>
      </w:r>
      <w:r w:rsidR="00293F69" w:rsidRPr="005B7011">
        <w:rPr>
          <w:rFonts w:cs="Baskerville"/>
          <w:sz w:val="22"/>
          <w:szCs w:val="22"/>
          <w:lang w:val="en-US"/>
        </w:rPr>
        <w:t>:</w:t>
      </w:r>
      <w:r w:rsidR="0013766B" w:rsidRPr="005B7011">
        <w:rPr>
          <w:rFonts w:cs="Baskerville"/>
          <w:sz w:val="22"/>
          <w:szCs w:val="22"/>
          <w:lang w:val="en-US"/>
        </w:rPr>
        <w:t xml:space="preserve">(i) </w:t>
      </w:r>
      <w:r w:rsidR="0013766B" w:rsidRPr="005B7011">
        <w:rPr>
          <w:rFonts w:cs="Baskerville"/>
          <w:i/>
          <w:sz w:val="22"/>
          <w:szCs w:val="22"/>
          <w:lang w:val="en-US"/>
        </w:rPr>
        <w:t>restitutio in integrum</w:t>
      </w:r>
      <w:r w:rsidR="0013766B" w:rsidRPr="005B7011">
        <w:rPr>
          <w:rFonts w:cs="Baskerville"/>
          <w:sz w:val="22"/>
          <w:szCs w:val="22"/>
          <w:lang w:val="en-US"/>
        </w:rPr>
        <w:t>is impossible</w:t>
      </w:r>
      <w:r w:rsidR="00F879DD" w:rsidRPr="005B7011">
        <w:rPr>
          <w:rFonts w:cs="Baskerville"/>
          <w:sz w:val="22"/>
          <w:szCs w:val="22"/>
          <w:lang w:val="en-US"/>
        </w:rPr>
        <w:t>; (ii)</w:t>
      </w:r>
      <w:r w:rsidR="008D0B1A" w:rsidRPr="005B7011">
        <w:rPr>
          <w:rFonts w:cs="Baskerville"/>
          <w:sz w:val="22"/>
          <w:szCs w:val="22"/>
          <w:lang w:val="en-US"/>
        </w:rPr>
        <w:t xml:space="preserve"> the misrepresentee</w:t>
      </w:r>
      <w:r w:rsidR="003A0246" w:rsidRPr="005B7011">
        <w:rPr>
          <w:rFonts w:cs="Baskerville"/>
          <w:sz w:val="22"/>
          <w:szCs w:val="22"/>
          <w:lang w:val="en-US"/>
        </w:rPr>
        <w:t xml:space="preserve">knows of the misrepresentation and </w:t>
      </w:r>
      <w:r w:rsidR="008D0B1A" w:rsidRPr="005B7011">
        <w:rPr>
          <w:rFonts w:cs="Baskerville"/>
          <w:sz w:val="22"/>
          <w:szCs w:val="22"/>
          <w:lang w:val="en-US"/>
        </w:rPr>
        <w:t xml:space="preserve">affirms </w:t>
      </w:r>
      <w:r w:rsidR="003A0246" w:rsidRPr="005B7011">
        <w:rPr>
          <w:rFonts w:cs="Baskerville"/>
          <w:sz w:val="22"/>
          <w:szCs w:val="22"/>
          <w:lang w:val="en-US"/>
        </w:rPr>
        <w:t xml:space="preserve">the contract anyway; (iii) </w:t>
      </w:r>
      <w:commentRangeStart w:id="9"/>
      <w:r w:rsidR="00A70A7B" w:rsidRPr="005B7011">
        <w:rPr>
          <w:rFonts w:cs="Baskerville"/>
          <w:sz w:val="22"/>
          <w:szCs w:val="22"/>
          <w:lang w:val="en-US"/>
        </w:rPr>
        <w:t>too much time has elapsed</w:t>
      </w:r>
      <w:commentRangeEnd w:id="9"/>
      <w:r w:rsidR="00CB4020">
        <w:rPr>
          <w:rStyle w:val="CommentReference"/>
        </w:rPr>
        <w:commentReference w:id="9"/>
      </w:r>
      <w:r w:rsidR="00A70A7B" w:rsidRPr="005B7011">
        <w:rPr>
          <w:rFonts w:cs="Baskerville"/>
          <w:sz w:val="22"/>
          <w:szCs w:val="22"/>
          <w:lang w:val="en-US"/>
        </w:rPr>
        <w:t xml:space="preserve">; or (iv) it would </w:t>
      </w:r>
      <w:r w:rsidR="00501591" w:rsidRPr="005B7011">
        <w:rPr>
          <w:rFonts w:cs="Baskerville"/>
          <w:sz w:val="22"/>
          <w:szCs w:val="22"/>
          <w:lang w:val="en-US"/>
        </w:rPr>
        <w:t xml:space="preserve">prejudice the rights of an </w:t>
      </w:r>
      <w:r w:rsidR="00D200A7" w:rsidRPr="005B7011">
        <w:rPr>
          <w:rFonts w:cs="Baskerville"/>
          <w:sz w:val="22"/>
          <w:szCs w:val="22"/>
          <w:lang w:val="en-US"/>
        </w:rPr>
        <w:t xml:space="preserve">innocent third party who had acquired them in good faith. </w:t>
      </w:r>
      <w:r w:rsidR="00983B9F" w:rsidRPr="005B7011">
        <w:rPr>
          <w:rFonts w:cs="Baskerville"/>
          <w:sz w:val="22"/>
          <w:szCs w:val="22"/>
        </w:rPr>
        <w:t>Rescindin</w:t>
      </w:r>
      <w:r w:rsidR="002049C3" w:rsidRPr="005B7011">
        <w:rPr>
          <w:rFonts w:cs="Baskerville"/>
          <w:sz w:val="22"/>
          <w:szCs w:val="22"/>
        </w:rPr>
        <w:t>g the contract</w:t>
      </w:r>
      <w:r w:rsidR="008443CF" w:rsidRPr="005B7011">
        <w:rPr>
          <w:rFonts w:cs="Baskerville"/>
          <w:sz w:val="22"/>
          <w:szCs w:val="22"/>
        </w:rPr>
        <w:t xml:space="preserve"> would allow Oxfie</w:t>
      </w:r>
      <w:r w:rsidR="00C57017" w:rsidRPr="005B7011">
        <w:rPr>
          <w:rFonts w:cs="Baskerville"/>
          <w:sz w:val="22"/>
          <w:szCs w:val="22"/>
        </w:rPr>
        <w:t xml:space="preserve">ld to regain the £2 million it </w:t>
      </w:r>
      <w:r w:rsidR="00D90B14" w:rsidRPr="005B7011">
        <w:rPr>
          <w:rFonts w:cs="Baskerville"/>
          <w:sz w:val="22"/>
          <w:szCs w:val="22"/>
        </w:rPr>
        <w:t>paid</w:t>
      </w:r>
      <w:r w:rsidR="00A20812" w:rsidRPr="005B7011">
        <w:rPr>
          <w:rFonts w:cs="Baskerville"/>
          <w:sz w:val="22"/>
          <w:szCs w:val="22"/>
        </w:rPr>
        <w:t xml:space="preserve"> for the land</w:t>
      </w:r>
      <w:r w:rsidR="00D90B14" w:rsidRPr="005B7011">
        <w:rPr>
          <w:rFonts w:cs="Baskerville"/>
          <w:sz w:val="22"/>
          <w:szCs w:val="22"/>
        </w:rPr>
        <w:t>, but</w:t>
      </w:r>
      <w:r w:rsidR="009B0821" w:rsidRPr="005B7011">
        <w:rPr>
          <w:rFonts w:cs="Baskerville"/>
          <w:sz w:val="22"/>
          <w:szCs w:val="22"/>
        </w:rPr>
        <w:t xml:space="preserve"> it may seek further redress in the form of damages</w:t>
      </w:r>
      <w:r w:rsidR="00D90B14" w:rsidRPr="005B7011">
        <w:rPr>
          <w:rFonts w:cs="Baskerville"/>
          <w:sz w:val="22"/>
          <w:szCs w:val="22"/>
        </w:rPr>
        <w:t xml:space="preserve"> i</w:t>
      </w:r>
      <w:r w:rsidR="00A20812" w:rsidRPr="005B7011">
        <w:rPr>
          <w:rFonts w:cs="Baskerville"/>
          <w:sz w:val="22"/>
          <w:szCs w:val="22"/>
        </w:rPr>
        <w:t xml:space="preserve">f </w:t>
      </w:r>
      <w:r w:rsidR="009B0821" w:rsidRPr="005B7011">
        <w:rPr>
          <w:rFonts w:cs="Baskerville"/>
          <w:sz w:val="22"/>
          <w:szCs w:val="22"/>
        </w:rPr>
        <w:t>the equitable remedy alone</w:t>
      </w:r>
      <w:r w:rsidR="00C57017" w:rsidRPr="005B7011">
        <w:rPr>
          <w:rFonts w:cs="Baskerville"/>
          <w:sz w:val="22"/>
          <w:szCs w:val="22"/>
        </w:rPr>
        <w:t xml:space="preserve"> is not enough to satisfy it</w:t>
      </w:r>
      <w:r w:rsidR="009B0821" w:rsidRPr="005B7011">
        <w:rPr>
          <w:rFonts w:cs="Baskerville"/>
          <w:sz w:val="22"/>
          <w:szCs w:val="22"/>
        </w:rPr>
        <w:t>.</w:t>
      </w:r>
    </w:p>
    <w:p w:rsidR="00510F90" w:rsidRPr="005B7011" w:rsidRDefault="00510F90" w:rsidP="00556965">
      <w:pPr>
        <w:jc w:val="both"/>
        <w:rPr>
          <w:rFonts w:cs="Baskerville"/>
          <w:sz w:val="22"/>
          <w:szCs w:val="22"/>
        </w:rPr>
      </w:pPr>
    </w:p>
    <w:p w:rsidR="00751167" w:rsidRPr="005B7011" w:rsidRDefault="00943CC2" w:rsidP="00556965">
      <w:pPr>
        <w:jc w:val="both"/>
        <w:rPr>
          <w:rFonts w:cs="Baskerville"/>
          <w:sz w:val="22"/>
          <w:szCs w:val="22"/>
          <w:lang w:val="en-US"/>
        </w:rPr>
      </w:pPr>
      <w:r w:rsidRPr="005B7011">
        <w:rPr>
          <w:rFonts w:cs="Baskerville"/>
          <w:sz w:val="22"/>
          <w:szCs w:val="22"/>
        </w:rPr>
        <w:t xml:space="preserve">Unlike </w:t>
      </w:r>
      <w:r w:rsidR="00503F0B" w:rsidRPr="005B7011">
        <w:rPr>
          <w:rFonts w:cs="Baskerville"/>
          <w:sz w:val="22"/>
          <w:szCs w:val="22"/>
        </w:rPr>
        <w:t xml:space="preserve">rescission, </w:t>
      </w:r>
      <w:r w:rsidR="00681AEA" w:rsidRPr="005B7011">
        <w:rPr>
          <w:rFonts w:cs="Baskerville"/>
          <w:sz w:val="22"/>
          <w:szCs w:val="22"/>
          <w:lang w:val="en-US"/>
        </w:rPr>
        <w:t xml:space="preserve">a claimant’s </w:t>
      </w:r>
      <w:r w:rsidR="00503F0B" w:rsidRPr="005B7011">
        <w:rPr>
          <w:rFonts w:cs="Baskerville"/>
          <w:sz w:val="22"/>
          <w:szCs w:val="22"/>
        </w:rPr>
        <w:t>entitlement to damages</w:t>
      </w:r>
      <w:r w:rsidR="00293F69" w:rsidRPr="005B7011">
        <w:rPr>
          <w:rFonts w:cs="Baskerville"/>
          <w:sz w:val="22"/>
          <w:szCs w:val="22"/>
          <w:lang w:val="en-US"/>
        </w:rPr>
        <w:t>varie</w:t>
      </w:r>
      <w:r w:rsidR="00503F0B" w:rsidRPr="005B7011">
        <w:rPr>
          <w:rFonts w:cs="Baskerville"/>
          <w:sz w:val="22"/>
          <w:szCs w:val="22"/>
          <w:lang w:val="en-US"/>
        </w:rPr>
        <w:t>s</w:t>
      </w:r>
      <w:r w:rsidR="00681AEA" w:rsidRPr="005B7011">
        <w:rPr>
          <w:rFonts w:cs="Baskerville"/>
          <w:sz w:val="22"/>
          <w:szCs w:val="22"/>
        </w:rPr>
        <w:t xml:space="preserve"> depending on the type of </w:t>
      </w:r>
      <w:r w:rsidR="007D58A5" w:rsidRPr="005B7011">
        <w:rPr>
          <w:rFonts w:cs="Baskerville"/>
          <w:sz w:val="22"/>
          <w:szCs w:val="22"/>
        </w:rPr>
        <w:t>misrepresentation</w:t>
      </w:r>
      <w:r w:rsidR="00B77386" w:rsidRPr="005B7011">
        <w:rPr>
          <w:rFonts w:cs="Baskerville"/>
          <w:sz w:val="22"/>
          <w:szCs w:val="22"/>
          <w:lang w:val="en-US"/>
        </w:rPr>
        <w:t>which has been</w:t>
      </w:r>
      <w:r w:rsidR="00E20A5C" w:rsidRPr="005B7011">
        <w:rPr>
          <w:rFonts w:cs="Baskerville"/>
          <w:sz w:val="22"/>
          <w:szCs w:val="22"/>
        </w:rPr>
        <w:t>established</w:t>
      </w:r>
      <w:r w:rsidR="00293F69" w:rsidRPr="005B7011">
        <w:rPr>
          <w:rFonts w:cs="Baskerville"/>
          <w:sz w:val="22"/>
          <w:szCs w:val="22"/>
          <w:lang w:val="en-US"/>
        </w:rPr>
        <w:t xml:space="preserve">– at </w:t>
      </w:r>
      <w:r w:rsidR="006B4226" w:rsidRPr="005B7011">
        <w:rPr>
          <w:rFonts w:cs="Baskerville"/>
          <w:sz w:val="22"/>
          <w:szCs w:val="22"/>
        </w:rPr>
        <w:t xml:space="preserve">common law, </w:t>
      </w:r>
      <w:r w:rsidR="00D71978" w:rsidRPr="005B7011">
        <w:rPr>
          <w:rFonts w:cs="Baskerville"/>
          <w:sz w:val="22"/>
          <w:szCs w:val="22"/>
        </w:rPr>
        <w:t xml:space="preserve">only fraudulent or negligent misrepresentations may underpin </w:t>
      </w:r>
      <w:r w:rsidR="00CF4B89" w:rsidRPr="005B7011">
        <w:rPr>
          <w:rFonts w:cs="Baskerville"/>
          <w:sz w:val="22"/>
          <w:szCs w:val="22"/>
        </w:rPr>
        <w:t>an</w:t>
      </w:r>
      <w:r w:rsidR="00CA4C05" w:rsidRPr="005B7011">
        <w:rPr>
          <w:rFonts w:cs="Baskerville"/>
          <w:sz w:val="22"/>
          <w:szCs w:val="22"/>
        </w:rPr>
        <w:t xml:space="preserve"> award of damages for tortious liability</w:t>
      </w:r>
      <w:r w:rsidR="007B62F3" w:rsidRPr="005B7011">
        <w:rPr>
          <w:rFonts w:cs="Baskerville"/>
          <w:sz w:val="22"/>
          <w:szCs w:val="22"/>
        </w:rPr>
        <w:t xml:space="preserve">, </w:t>
      </w:r>
      <w:r w:rsidR="004D6A14" w:rsidRPr="005B7011">
        <w:rPr>
          <w:rFonts w:cs="Baskerville"/>
          <w:sz w:val="22"/>
          <w:szCs w:val="22"/>
        </w:rPr>
        <w:t>but the</w:t>
      </w:r>
      <w:r w:rsidR="00A16A3F" w:rsidRPr="005B7011">
        <w:rPr>
          <w:rFonts w:cs="Baskerville"/>
          <w:sz w:val="22"/>
          <w:szCs w:val="22"/>
        </w:rPr>
        <w:t xml:space="preserve"> current</w:t>
      </w:r>
      <w:r w:rsidR="004D6A14" w:rsidRPr="005B7011">
        <w:rPr>
          <w:rFonts w:cs="Baskerville"/>
          <w:sz w:val="22"/>
          <w:szCs w:val="22"/>
        </w:rPr>
        <w:t xml:space="preserve"> statutory regime in the form of the Misrepresent</w:t>
      </w:r>
      <w:r w:rsidR="00A16A3F" w:rsidRPr="005B7011">
        <w:rPr>
          <w:rFonts w:cs="Baskerville"/>
          <w:sz w:val="22"/>
          <w:szCs w:val="22"/>
        </w:rPr>
        <w:t>ation Act 196</w:t>
      </w:r>
      <w:r w:rsidR="007124FF" w:rsidRPr="005B7011">
        <w:rPr>
          <w:rFonts w:cs="Baskerville"/>
          <w:sz w:val="22"/>
          <w:szCs w:val="22"/>
        </w:rPr>
        <w:t xml:space="preserve">7 </w:t>
      </w:r>
      <w:r w:rsidR="0002647D" w:rsidRPr="005B7011">
        <w:rPr>
          <w:rFonts w:cs="Baskerville"/>
          <w:sz w:val="22"/>
          <w:szCs w:val="22"/>
          <w:lang w:val="en-US"/>
        </w:rPr>
        <w:t xml:space="preserve">(MA 1967) </w:t>
      </w:r>
      <w:r w:rsidR="007124FF" w:rsidRPr="005B7011">
        <w:rPr>
          <w:rFonts w:cs="Baskerville"/>
          <w:sz w:val="22"/>
          <w:szCs w:val="22"/>
        </w:rPr>
        <w:t>allows damages to be recoverable even for non-fraudulent misrepresentations</w:t>
      </w:r>
      <w:r w:rsidR="00530859" w:rsidRPr="005B7011">
        <w:rPr>
          <w:rFonts w:cs="Baskerville"/>
          <w:sz w:val="22"/>
          <w:szCs w:val="22"/>
        </w:rPr>
        <w:t>.</w:t>
      </w:r>
      <w:r w:rsidR="0035784E" w:rsidRPr="005B7011">
        <w:rPr>
          <w:rFonts w:cs="Baskerville"/>
          <w:sz w:val="22"/>
          <w:szCs w:val="22"/>
          <w:lang w:val="en-US"/>
        </w:rPr>
        <w:t xml:space="preserve"> Furthermore, </w:t>
      </w:r>
      <w:r w:rsidR="00B43B01" w:rsidRPr="005B7011">
        <w:rPr>
          <w:rFonts w:cs="Baskerville"/>
          <w:i/>
          <w:sz w:val="22"/>
          <w:szCs w:val="22"/>
          <w:lang w:val="en-US"/>
        </w:rPr>
        <w:t>Banque Keyser Ullmann SA v Skandia (UK) Insurance Co Ltd</w:t>
      </w:r>
      <w:r w:rsidR="00CB41E6" w:rsidRPr="005B7011">
        <w:rPr>
          <w:rFonts w:cs="Baskerville"/>
          <w:i/>
          <w:sz w:val="22"/>
          <w:szCs w:val="22"/>
          <w:lang w:val="en-US"/>
        </w:rPr>
        <w:t xml:space="preserve">[1990] </w:t>
      </w:r>
      <w:r w:rsidR="003B6372" w:rsidRPr="005B7011">
        <w:rPr>
          <w:rFonts w:cs="Baskerville"/>
          <w:sz w:val="22"/>
          <w:szCs w:val="22"/>
          <w:lang w:val="en-US"/>
        </w:rPr>
        <w:t>held</w:t>
      </w:r>
      <w:r w:rsidR="002230F3" w:rsidRPr="005B7011">
        <w:rPr>
          <w:rFonts w:cs="Baskerville"/>
          <w:sz w:val="22"/>
          <w:szCs w:val="22"/>
          <w:lang w:val="en-US"/>
        </w:rPr>
        <w:t xml:space="preserve"> that failing to discharge a duty of disclosure </w:t>
      </w:r>
      <w:r w:rsidR="003B6372" w:rsidRPr="005B7011">
        <w:rPr>
          <w:rFonts w:cs="Baskerville"/>
          <w:sz w:val="22"/>
          <w:szCs w:val="22"/>
          <w:lang w:val="en-US"/>
        </w:rPr>
        <w:t>triggers rescissi</w:t>
      </w:r>
      <w:r w:rsidR="00CD23B2" w:rsidRPr="005B7011">
        <w:rPr>
          <w:rFonts w:cs="Baskerville"/>
          <w:sz w:val="22"/>
          <w:szCs w:val="22"/>
          <w:lang w:val="en-US"/>
        </w:rPr>
        <w:t>on but not damages; although that</w:t>
      </w:r>
      <w:r w:rsidR="003B6372" w:rsidRPr="005B7011">
        <w:rPr>
          <w:rFonts w:cs="Baskerville"/>
          <w:sz w:val="22"/>
          <w:szCs w:val="22"/>
          <w:lang w:val="en-US"/>
        </w:rPr>
        <w:t xml:space="preserve"> case was concerned </w:t>
      </w:r>
      <w:r w:rsidR="00D71629" w:rsidRPr="005B7011">
        <w:rPr>
          <w:rFonts w:cs="Baskerville"/>
          <w:sz w:val="22"/>
          <w:szCs w:val="22"/>
          <w:lang w:val="en-US"/>
        </w:rPr>
        <w:t xml:space="preserve">only with insurance contracts, it </w:t>
      </w:r>
      <w:r w:rsidR="00DC7501" w:rsidRPr="005B7011">
        <w:rPr>
          <w:rFonts w:cs="Baskerville"/>
          <w:sz w:val="22"/>
          <w:szCs w:val="22"/>
          <w:lang w:val="en-US"/>
        </w:rPr>
        <w:t>is submitted that the</w:t>
      </w:r>
      <w:r w:rsidR="00D71629" w:rsidRPr="005B7011">
        <w:rPr>
          <w:rFonts w:cs="Baskerville"/>
          <w:sz w:val="22"/>
          <w:szCs w:val="22"/>
          <w:lang w:val="en-US"/>
        </w:rPr>
        <w:t xml:space="preserve"> same </w:t>
      </w:r>
      <w:r w:rsidR="00DC7501" w:rsidRPr="005B7011">
        <w:rPr>
          <w:rFonts w:cs="Baskerville"/>
          <w:sz w:val="22"/>
          <w:szCs w:val="22"/>
          <w:lang w:val="en-US"/>
        </w:rPr>
        <w:t xml:space="preserve">principle </w:t>
      </w:r>
      <w:r w:rsidR="00D71629" w:rsidRPr="005B7011">
        <w:rPr>
          <w:rFonts w:cs="Baskerville"/>
          <w:sz w:val="22"/>
          <w:szCs w:val="22"/>
          <w:lang w:val="en-US"/>
        </w:rPr>
        <w:t>should apply</w:t>
      </w:r>
      <w:r w:rsidR="00045BF3" w:rsidRPr="005B7011">
        <w:rPr>
          <w:rFonts w:cs="Baskerville"/>
          <w:sz w:val="22"/>
          <w:szCs w:val="22"/>
          <w:lang w:val="en-US"/>
        </w:rPr>
        <w:t xml:space="preserve"> to any othe</w:t>
      </w:r>
      <w:r w:rsidR="003C155F" w:rsidRPr="005B7011">
        <w:rPr>
          <w:rFonts w:cs="Baskerville"/>
          <w:sz w:val="22"/>
          <w:szCs w:val="22"/>
          <w:lang w:val="en-US"/>
        </w:rPr>
        <w:t>r non-disclosure regardless of context because it is sound to different</w:t>
      </w:r>
      <w:r w:rsidR="006835DB" w:rsidRPr="005B7011">
        <w:rPr>
          <w:rFonts w:cs="Baskerville"/>
          <w:sz w:val="22"/>
          <w:szCs w:val="22"/>
          <w:lang w:val="en-US"/>
        </w:rPr>
        <w:t xml:space="preserve">iate pure omissions from positive </w:t>
      </w:r>
      <w:commentRangeStart w:id="10"/>
      <w:r w:rsidR="006835DB" w:rsidRPr="005B7011">
        <w:rPr>
          <w:rFonts w:cs="Baskerville"/>
          <w:sz w:val="22"/>
          <w:szCs w:val="22"/>
          <w:lang w:val="en-US"/>
        </w:rPr>
        <w:t>actions.</w:t>
      </w:r>
      <w:commentRangeEnd w:id="10"/>
      <w:r w:rsidR="00CB4020">
        <w:rPr>
          <w:rStyle w:val="CommentReference"/>
        </w:rPr>
        <w:commentReference w:id="10"/>
      </w:r>
      <w:r w:rsidR="0022738F" w:rsidRPr="005B7011">
        <w:rPr>
          <w:rFonts w:cs="Baskerville"/>
          <w:sz w:val="22"/>
          <w:szCs w:val="22"/>
          <w:lang w:val="en-US"/>
        </w:rPr>
        <w:t xml:space="preserve">Thus, it is preferable for Oxfield to opt for </w:t>
      </w:r>
      <w:r w:rsidR="00CD23B2" w:rsidRPr="005B7011">
        <w:rPr>
          <w:rFonts w:cs="Baskerville"/>
          <w:sz w:val="22"/>
          <w:szCs w:val="22"/>
          <w:lang w:val="en-US"/>
        </w:rPr>
        <w:t>analysis (ii) in respect of the gambli</w:t>
      </w:r>
      <w:r w:rsidR="004C27C3" w:rsidRPr="005B7011">
        <w:rPr>
          <w:rFonts w:cs="Baskerville"/>
          <w:sz w:val="22"/>
          <w:szCs w:val="22"/>
          <w:lang w:val="en-US"/>
        </w:rPr>
        <w:t>ng permissio</w:t>
      </w:r>
      <w:r w:rsidR="00493880" w:rsidRPr="005B7011">
        <w:rPr>
          <w:rFonts w:cs="Baskerville"/>
          <w:sz w:val="22"/>
          <w:szCs w:val="22"/>
          <w:lang w:val="en-US"/>
        </w:rPr>
        <w:t>n representation</w:t>
      </w:r>
      <w:r w:rsidR="006B2725" w:rsidRPr="005B7011">
        <w:rPr>
          <w:rFonts w:cs="Baskerville"/>
          <w:sz w:val="22"/>
          <w:szCs w:val="22"/>
          <w:lang w:val="en-US"/>
        </w:rPr>
        <w:t xml:space="preserve"> because this will make it eligible for a broa</w:t>
      </w:r>
      <w:r w:rsidR="00995D56" w:rsidRPr="005B7011">
        <w:rPr>
          <w:rFonts w:cs="Baskerville"/>
          <w:sz w:val="22"/>
          <w:szCs w:val="22"/>
          <w:lang w:val="en-US"/>
        </w:rPr>
        <w:t>der range of remedies</w:t>
      </w:r>
      <w:r w:rsidR="00274690" w:rsidRPr="005B7011">
        <w:rPr>
          <w:rFonts w:cs="Baskerville"/>
          <w:sz w:val="22"/>
          <w:szCs w:val="22"/>
          <w:lang w:val="en-US"/>
        </w:rPr>
        <w:t>. A</w:t>
      </w:r>
      <w:r w:rsidR="00995D56" w:rsidRPr="005B7011">
        <w:rPr>
          <w:rFonts w:cs="Baskerville"/>
          <w:sz w:val="22"/>
          <w:szCs w:val="22"/>
          <w:lang w:val="en-US"/>
        </w:rPr>
        <w:t xml:space="preserve">ssessment of remedies will </w:t>
      </w:r>
      <w:r w:rsidR="00F60BE3" w:rsidRPr="005B7011">
        <w:rPr>
          <w:rFonts w:cs="Baskerville"/>
          <w:sz w:val="22"/>
          <w:szCs w:val="22"/>
          <w:lang w:val="en-US"/>
        </w:rPr>
        <w:t xml:space="preserve">therefore </w:t>
      </w:r>
      <w:r w:rsidR="00995D56" w:rsidRPr="005B7011">
        <w:rPr>
          <w:rFonts w:cs="Baskerville"/>
          <w:sz w:val="22"/>
          <w:szCs w:val="22"/>
          <w:lang w:val="en-US"/>
        </w:rPr>
        <w:t xml:space="preserve">proceed on the basis that </w:t>
      </w:r>
      <w:r w:rsidR="00F86C89" w:rsidRPr="005B7011">
        <w:rPr>
          <w:rFonts w:cs="Baskerville"/>
          <w:sz w:val="22"/>
          <w:szCs w:val="22"/>
          <w:lang w:val="en-US"/>
        </w:rPr>
        <w:t>Easybuck is liable for an innocent and a fraudulent misrepresentation.</w:t>
      </w:r>
    </w:p>
    <w:p w:rsidR="00EB37E4" w:rsidRPr="005B7011" w:rsidRDefault="00EB37E4" w:rsidP="00556965">
      <w:pPr>
        <w:jc w:val="both"/>
        <w:rPr>
          <w:rFonts w:cs="Baskerville"/>
          <w:sz w:val="22"/>
          <w:szCs w:val="22"/>
          <w:lang w:val="en-US"/>
        </w:rPr>
      </w:pPr>
    </w:p>
    <w:p w:rsidR="00EB37E4" w:rsidRPr="005B7011" w:rsidRDefault="00EB37E4" w:rsidP="00EB37E4">
      <w:pPr>
        <w:jc w:val="center"/>
        <w:rPr>
          <w:rFonts w:cs="Baskerville"/>
          <w:sz w:val="22"/>
          <w:szCs w:val="22"/>
          <w:u w:val="single"/>
          <w:lang w:val="en-US"/>
        </w:rPr>
      </w:pPr>
      <w:commentRangeStart w:id="11"/>
      <w:r w:rsidRPr="005B7011">
        <w:rPr>
          <w:rFonts w:cs="Baskerville"/>
          <w:sz w:val="22"/>
          <w:szCs w:val="22"/>
          <w:u w:val="single"/>
          <w:lang w:val="en-US"/>
        </w:rPr>
        <w:t>Rescission</w:t>
      </w:r>
      <w:commentRangeEnd w:id="11"/>
      <w:r w:rsidR="00CB4020">
        <w:rPr>
          <w:rStyle w:val="CommentReference"/>
        </w:rPr>
        <w:commentReference w:id="11"/>
      </w:r>
    </w:p>
    <w:p w:rsidR="00B77386" w:rsidRPr="005B7011" w:rsidRDefault="00B77386" w:rsidP="00556965">
      <w:pPr>
        <w:jc w:val="both"/>
        <w:rPr>
          <w:rFonts w:cs="Baskerville"/>
          <w:sz w:val="22"/>
          <w:szCs w:val="22"/>
          <w:lang w:val="en-US"/>
        </w:rPr>
      </w:pPr>
    </w:p>
    <w:p w:rsidR="006835DB" w:rsidRPr="005B7011" w:rsidRDefault="00CA65A1" w:rsidP="00556965">
      <w:pPr>
        <w:jc w:val="both"/>
        <w:rPr>
          <w:rFonts w:cs="Baskerville"/>
          <w:sz w:val="22"/>
          <w:szCs w:val="22"/>
        </w:rPr>
      </w:pPr>
      <w:r w:rsidRPr="005B7011">
        <w:rPr>
          <w:rFonts w:cs="Baskerville"/>
          <w:sz w:val="22"/>
          <w:szCs w:val="22"/>
          <w:lang w:val="en-US"/>
        </w:rPr>
        <w:t xml:space="preserve">Given the significant drop in value of the land, Easybuck will be desperate to avoid rescission because </w:t>
      </w:r>
      <w:r w:rsidR="0030134A" w:rsidRPr="005B7011">
        <w:rPr>
          <w:rFonts w:cs="Baskerville"/>
          <w:sz w:val="22"/>
          <w:szCs w:val="22"/>
          <w:lang w:val="en-US"/>
        </w:rPr>
        <w:t>grant of that remedy will require</w:t>
      </w:r>
      <w:r w:rsidR="00B94089" w:rsidRPr="005B7011">
        <w:rPr>
          <w:rFonts w:cs="Baskerville"/>
          <w:sz w:val="22"/>
          <w:szCs w:val="22"/>
          <w:lang w:val="en-US"/>
        </w:rPr>
        <w:t xml:space="preserve"> it </w:t>
      </w:r>
      <w:r w:rsidR="0030134A" w:rsidRPr="005B7011">
        <w:rPr>
          <w:rFonts w:cs="Baskerville"/>
          <w:sz w:val="22"/>
          <w:szCs w:val="22"/>
        </w:rPr>
        <w:t xml:space="preserve">to </w:t>
      </w:r>
      <w:r w:rsidR="0030134A" w:rsidRPr="005B7011">
        <w:rPr>
          <w:rFonts w:cs="Baskerville"/>
          <w:sz w:val="22"/>
          <w:szCs w:val="22"/>
          <w:lang w:val="en-US"/>
        </w:rPr>
        <w:t>repay</w:t>
      </w:r>
      <w:r w:rsidR="00B94089" w:rsidRPr="005B7011">
        <w:rPr>
          <w:rFonts w:cs="Baskerville"/>
          <w:sz w:val="22"/>
          <w:szCs w:val="22"/>
          <w:lang w:val="en-US"/>
        </w:rPr>
        <w:t>Oxfield</w:t>
      </w:r>
      <w:r w:rsidR="0030134A" w:rsidRPr="005B7011">
        <w:rPr>
          <w:rFonts w:cs="Baskerville"/>
          <w:sz w:val="22"/>
          <w:szCs w:val="22"/>
        </w:rPr>
        <w:t>£2 million in exchange for a prop</w:t>
      </w:r>
      <w:r w:rsidR="00940398" w:rsidRPr="005B7011">
        <w:rPr>
          <w:rFonts w:cs="Baskerville"/>
          <w:sz w:val="22"/>
          <w:szCs w:val="22"/>
        </w:rPr>
        <w:t>erty which is now only worth much</w:t>
      </w:r>
      <w:r w:rsidR="0030134A" w:rsidRPr="005B7011">
        <w:rPr>
          <w:rFonts w:cs="Baskerville"/>
          <w:sz w:val="22"/>
          <w:szCs w:val="22"/>
        </w:rPr>
        <w:t xml:space="preserve"> less. </w:t>
      </w:r>
      <w:r w:rsidR="000042F6" w:rsidRPr="005B7011">
        <w:rPr>
          <w:rFonts w:cs="Baskerville"/>
          <w:sz w:val="22"/>
          <w:szCs w:val="22"/>
        </w:rPr>
        <w:t>To th</w:t>
      </w:r>
      <w:r w:rsidR="007525A8" w:rsidRPr="005B7011">
        <w:rPr>
          <w:rFonts w:cs="Baskerville"/>
          <w:sz w:val="22"/>
          <w:szCs w:val="22"/>
        </w:rPr>
        <w:t xml:space="preserve">is end, it may contend that </w:t>
      </w:r>
      <w:r w:rsidR="000D3465" w:rsidRPr="005B7011">
        <w:rPr>
          <w:rFonts w:cs="Baskerville"/>
          <w:sz w:val="22"/>
          <w:szCs w:val="22"/>
        </w:rPr>
        <w:t>rescission is barred</w:t>
      </w:r>
      <w:r w:rsidR="00377859" w:rsidRPr="005B7011">
        <w:rPr>
          <w:rFonts w:cs="Baskerville"/>
          <w:sz w:val="22"/>
          <w:szCs w:val="22"/>
        </w:rPr>
        <w:t xml:space="preserve">. </w:t>
      </w:r>
      <w:r w:rsidR="005C19D5" w:rsidRPr="005B7011">
        <w:rPr>
          <w:rFonts w:cs="Baskerville"/>
          <w:sz w:val="22"/>
          <w:szCs w:val="22"/>
        </w:rPr>
        <w:t>I</w:t>
      </w:r>
      <w:r w:rsidR="00B54D9A" w:rsidRPr="005B7011">
        <w:rPr>
          <w:rFonts w:cs="Baskerville"/>
          <w:sz w:val="22"/>
          <w:szCs w:val="22"/>
        </w:rPr>
        <w:t>f</w:t>
      </w:r>
      <w:r w:rsidR="00B54D9A" w:rsidRPr="005B7011">
        <w:rPr>
          <w:rFonts w:cs="Baskerville"/>
          <w:sz w:val="22"/>
          <w:szCs w:val="22"/>
          <w:lang w:val="en-US"/>
        </w:rPr>
        <w:t xml:space="preserve"> the nature of a</w:t>
      </w:r>
      <w:r w:rsidR="006802B1" w:rsidRPr="005B7011">
        <w:rPr>
          <w:rFonts w:cs="Baskerville"/>
          <w:sz w:val="22"/>
          <w:szCs w:val="22"/>
          <w:lang w:val="en-US"/>
        </w:rPr>
        <w:t xml:space="preserve"> purchased item </w:t>
      </w:r>
      <w:r w:rsidR="00B54D9A" w:rsidRPr="005B7011">
        <w:rPr>
          <w:rFonts w:cs="Baskerville"/>
          <w:sz w:val="22"/>
          <w:szCs w:val="22"/>
          <w:lang w:val="en-US"/>
        </w:rPr>
        <w:t>has</w:t>
      </w:r>
      <w:r w:rsidR="00721727" w:rsidRPr="005B7011">
        <w:rPr>
          <w:rFonts w:cs="Baskerville"/>
          <w:sz w:val="22"/>
          <w:szCs w:val="22"/>
          <w:lang w:val="en-US"/>
        </w:rPr>
        <w:t xml:space="preserve"> changed, </w:t>
      </w:r>
      <w:r w:rsidR="00130DF6" w:rsidRPr="005B7011">
        <w:rPr>
          <w:rFonts w:cs="Baskerville"/>
          <w:sz w:val="22"/>
          <w:szCs w:val="22"/>
        </w:rPr>
        <w:t xml:space="preserve">it cannot be returned </w:t>
      </w:r>
      <w:r w:rsidR="00653F7D" w:rsidRPr="005B7011">
        <w:rPr>
          <w:rFonts w:cs="Baskerville"/>
          <w:sz w:val="22"/>
          <w:szCs w:val="22"/>
        </w:rPr>
        <w:t xml:space="preserve">and </w:t>
      </w:r>
      <w:r w:rsidR="006B2255" w:rsidRPr="005B7011">
        <w:rPr>
          <w:rFonts w:cs="Baskerville"/>
          <w:sz w:val="22"/>
          <w:szCs w:val="22"/>
          <w:lang w:val="en-US"/>
        </w:rPr>
        <w:t>a</w:t>
      </w:r>
      <w:r w:rsidR="002A2556" w:rsidRPr="005B7011">
        <w:rPr>
          <w:rFonts w:cs="Baskerville"/>
          <w:sz w:val="22"/>
          <w:szCs w:val="22"/>
          <w:lang w:val="en-US"/>
        </w:rPr>
        <w:t xml:space="preserve"> claimant</w:t>
      </w:r>
      <w:r w:rsidR="006B2255" w:rsidRPr="005B7011">
        <w:rPr>
          <w:rFonts w:cs="Baskerville"/>
          <w:sz w:val="22"/>
          <w:szCs w:val="22"/>
          <w:lang w:val="en-US"/>
        </w:rPr>
        <w:t xml:space="preserve"> lose</w:t>
      </w:r>
      <w:r w:rsidR="00FF4FCF" w:rsidRPr="005B7011">
        <w:rPr>
          <w:rFonts w:cs="Baskerville"/>
          <w:sz w:val="22"/>
          <w:szCs w:val="22"/>
        </w:rPr>
        <w:t>s</w:t>
      </w:r>
      <w:r w:rsidR="006B2255" w:rsidRPr="005B7011">
        <w:rPr>
          <w:rFonts w:cs="Baskerville"/>
          <w:sz w:val="22"/>
          <w:szCs w:val="22"/>
          <w:lang w:val="en-US"/>
        </w:rPr>
        <w:t xml:space="preserve"> the right</w:t>
      </w:r>
      <w:r w:rsidR="00130DF6" w:rsidRPr="005B7011">
        <w:rPr>
          <w:rFonts w:cs="Baskerville"/>
          <w:sz w:val="22"/>
          <w:szCs w:val="22"/>
          <w:lang w:val="en-US"/>
        </w:rPr>
        <w:t xml:space="preserve"> to rescind because </w:t>
      </w:r>
      <w:r w:rsidR="00130DF6" w:rsidRPr="005B7011">
        <w:rPr>
          <w:rFonts w:cs="Baskerville"/>
          <w:i/>
          <w:sz w:val="22"/>
          <w:szCs w:val="22"/>
        </w:rPr>
        <w:t>restitutio in integrum</w:t>
      </w:r>
      <w:r w:rsidR="00130DF6" w:rsidRPr="005B7011">
        <w:rPr>
          <w:rFonts w:cs="Baskerville"/>
          <w:sz w:val="22"/>
          <w:szCs w:val="22"/>
        </w:rPr>
        <w:t xml:space="preserve"> cannot be achieved</w:t>
      </w:r>
      <w:r w:rsidR="00ED0EF7" w:rsidRPr="005B7011">
        <w:rPr>
          <w:rFonts w:cs="Baskerville"/>
          <w:sz w:val="22"/>
          <w:szCs w:val="22"/>
        </w:rPr>
        <w:t>. Significant change</w:t>
      </w:r>
      <w:r w:rsidR="00EF3BAE" w:rsidRPr="005B7011">
        <w:rPr>
          <w:rFonts w:cs="Baskerville"/>
          <w:sz w:val="22"/>
          <w:szCs w:val="22"/>
        </w:rPr>
        <w:t>s in the value of a thing – as Easybuck will</w:t>
      </w:r>
      <w:r w:rsidR="008546FF" w:rsidRPr="005B7011">
        <w:rPr>
          <w:rFonts w:cs="Baskerville"/>
          <w:sz w:val="22"/>
          <w:szCs w:val="22"/>
        </w:rPr>
        <w:t xml:space="preserve">no doubt </w:t>
      </w:r>
      <w:r w:rsidR="002E69C7" w:rsidRPr="005B7011">
        <w:rPr>
          <w:rFonts w:cs="Baskerville"/>
          <w:sz w:val="22"/>
          <w:szCs w:val="22"/>
        </w:rPr>
        <w:t xml:space="preserve">argue – are </w:t>
      </w:r>
      <w:r w:rsidR="00ED0EF7" w:rsidRPr="005B7011">
        <w:rPr>
          <w:rFonts w:cs="Baskerville"/>
          <w:sz w:val="22"/>
          <w:szCs w:val="22"/>
        </w:rPr>
        <w:t xml:space="preserve">equivalent to </w:t>
      </w:r>
      <w:r w:rsidR="002E69C7" w:rsidRPr="005B7011">
        <w:rPr>
          <w:rFonts w:cs="Baskerville"/>
          <w:sz w:val="22"/>
          <w:szCs w:val="22"/>
        </w:rPr>
        <w:t>alteration</w:t>
      </w:r>
      <w:r w:rsidR="00ED0EF7" w:rsidRPr="005B7011">
        <w:rPr>
          <w:rFonts w:cs="Baskerville"/>
          <w:sz w:val="22"/>
          <w:szCs w:val="22"/>
        </w:rPr>
        <w:t>s</w:t>
      </w:r>
      <w:r w:rsidR="002E69C7" w:rsidRPr="005B7011">
        <w:rPr>
          <w:rFonts w:cs="Baskerville"/>
          <w:sz w:val="22"/>
          <w:szCs w:val="22"/>
        </w:rPr>
        <w:t xml:space="preserve"> of its </w:t>
      </w:r>
      <w:r w:rsidR="00ED0EF7" w:rsidRPr="005B7011">
        <w:rPr>
          <w:rFonts w:cs="Baskerville"/>
          <w:sz w:val="22"/>
          <w:szCs w:val="22"/>
        </w:rPr>
        <w:t xml:space="preserve">very </w:t>
      </w:r>
      <w:r w:rsidR="00F8601E" w:rsidRPr="005B7011">
        <w:rPr>
          <w:rFonts w:cs="Baskerville"/>
          <w:sz w:val="22"/>
          <w:szCs w:val="22"/>
        </w:rPr>
        <w:t>nature, but</w:t>
      </w:r>
      <w:r w:rsidR="008546FF" w:rsidRPr="005B7011">
        <w:rPr>
          <w:rFonts w:cs="Baskerville"/>
          <w:sz w:val="22"/>
          <w:szCs w:val="22"/>
        </w:rPr>
        <w:t xml:space="preserve"> it </w:t>
      </w:r>
      <w:r w:rsidR="003D24B7" w:rsidRPr="005B7011">
        <w:rPr>
          <w:rFonts w:cs="Baskerville"/>
          <w:sz w:val="22"/>
          <w:szCs w:val="22"/>
          <w:lang w:val="en-US"/>
        </w:rPr>
        <w:t xml:space="preserve">is </w:t>
      </w:r>
      <w:r w:rsidR="00FF4FCF" w:rsidRPr="005B7011">
        <w:rPr>
          <w:rFonts w:cs="Baskerville"/>
          <w:sz w:val="22"/>
          <w:szCs w:val="22"/>
        </w:rPr>
        <w:t xml:space="preserve">exceedingly </w:t>
      </w:r>
      <w:r w:rsidR="003D24B7" w:rsidRPr="005B7011">
        <w:rPr>
          <w:rFonts w:cs="Baskerville"/>
          <w:sz w:val="22"/>
          <w:szCs w:val="22"/>
          <w:lang w:val="en-US"/>
        </w:rPr>
        <w:t>improbable</w:t>
      </w:r>
      <w:r w:rsidR="008546FF" w:rsidRPr="005B7011">
        <w:rPr>
          <w:rFonts w:cs="Baskerville"/>
          <w:sz w:val="22"/>
          <w:szCs w:val="22"/>
          <w:lang w:val="en-US"/>
        </w:rPr>
        <w:t xml:space="preserve"> that this argument will go far</w:t>
      </w:r>
      <w:r w:rsidR="00BC7D6F" w:rsidRPr="005B7011">
        <w:rPr>
          <w:rFonts w:cs="Baskerville"/>
          <w:sz w:val="22"/>
          <w:szCs w:val="22"/>
          <w:lang w:val="en-US"/>
        </w:rPr>
        <w:t xml:space="preserve">in light of the recent Court of Appeal decision in </w:t>
      </w:r>
      <w:r w:rsidR="00BC7D6F" w:rsidRPr="005B7011">
        <w:rPr>
          <w:rFonts w:cs="Baskerville"/>
          <w:i/>
          <w:sz w:val="22"/>
          <w:szCs w:val="22"/>
          <w:lang w:val="en-US"/>
        </w:rPr>
        <w:t>Salt v Stratstone Specialist Ltd [2015]</w:t>
      </w:r>
      <w:r w:rsidR="00BC7D6F" w:rsidRPr="005B7011">
        <w:rPr>
          <w:rFonts w:cs="Baskerville"/>
          <w:sz w:val="22"/>
          <w:szCs w:val="22"/>
          <w:lang w:val="en-US"/>
        </w:rPr>
        <w:t xml:space="preserve">. </w:t>
      </w:r>
      <w:r w:rsidR="00F8601E" w:rsidRPr="005B7011">
        <w:rPr>
          <w:rFonts w:cs="Baskerville"/>
          <w:sz w:val="22"/>
          <w:szCs w:val="22"/>
        </w:rPr>
        <w:t>A claimant who had been sold a ‘brand new’ car u</w:t>
      </w:r>
      <w:r w:rsidR="0007154E" w:rsidRPr="005B7011">
        <w:rPr>
          <w:rFonts w:cs="Baskerville"/>
          <w:sz w:val="22"/>
          <w:szCs w:val="22"/>
        </w:rPr>
        <w:t>nder a misrepresentation</w:t>
      </w:r>
      <w:r w:rsidR="00F8601E" w:rsidRPr="005B7011">
        <w:rPr>
          <w:rFonts w:cs="Baskerville"/>
          <w:sz w:val="22"/>
          <w:szCs w:val="22"/>
        </w:rPr>
        <w:t xml:space="preserve"> could rescind the </w:t>
      </w:r>
      <w:r w:rsidR="00BF1E60" w:rsidRPr="005B7011">
        <w:rPr>
          <w:rFonts w:cs="Baskerville"/>
          <w:sz w:val="22"/>
          <w:szCs w:val="22"/>
        </w:rPr>
        <w:t xml:space="preserve">contract and regain the original </w:t>
      </w:r>
      <w:r w:rsidR="004731CB" w:rsidRPr="005B7011">
        <w:rPr>
          <w:rFonts w:cs="Baskerville"/>
          <w:sz w:val="22"/>
          <w:szCs w:val="22"/>
        </w:rPr>
        <w:t>price he</w:t>
      </w:r>
      <w:r w:rsidR="00BF1E60" w:rsidRPr="005B7011">
        <w:rPr>
          <w:rFonts w:cs="Baskerville"/>
          <w:sz w:val="22"/>
          <w:szCs w:val="22"/>
        </w:rPr>
        <w:t xml:space="preserve"> paid for it</w:t>
      </w:r>
      <w:r w:rsidR="00E33C22" w:rsidRPr="005B7011">
        <w:rPr>
          <w:rFonts w:cs="Baskerville"/>
          <w:sz w:val="22"/>
          <w:szCs w:val="22"/>
        </w:rPr>
        <w:t>,</w:t>
      </w:r>
      <w:r w:rsidR="00B364B0" w:rsidRPr="005B7011">
        <w:rPr>
          <w:rFonts w:cs="Baskerville"/>
          <w:sz w:val="22"/>
          <w:szCs w:val="22"/>
        </w:rPr>
        <w:t xml:space="preserve">notwithstanding the </w:t>
      </w:r>
      <w:r w:rsidR="007F3996" w:rsidRPr="005B7011">
        <w:rPr>
          <w:rFonts w:cs="Baskerville"/>
          <w:sz w:val="22"/>
          <w:szCs w:val="22"/>
        </w:rPr>
        <w:t xml:space="preserve">fact that </w:t>
      </w:r>
      <w:r w:rsidR="0007154E" w:rsidRPr="005B7011">
        <w:rPr>
          <w:rFonts w:cs="Baskerville"/>
          <w:sz w:val="22"/>
          <w:szCs w:val="22"/>
        </w:rPr>
        <w:t>he had use</w:t>
      </w:r>
      <w:r w:rsidR="004731CB" w:rsidRPr="005B7011">
        <w:rPr>
          <w:rFonts w:cs="Baskerville"/>
          <w:sz w:val="22"/>
          <w:szCs w:val="22"/>
        </w:rPr>
        <w:t>d it for some time and its worth</w:t>
      </w:r>
      <w:r w:rsidR="0007154E" w:rsidRPr="005B7011">
        <w:rPr>
          <w:rFonts w:cs="Baskerville"/>
          <w:sz w:val="22"/>
          <w:szCs w:val="22"/>
        </w:rPr>
        <w:t xml:space="preserve"> had</w:t>
      </w:r>
      <w:r w:rsidR="00E33C22" w:rsidRPr="005B7011">
        <w:rPr>
          <w:rFonts w:cs="Baskerville"/>
          <w:sz w:val="22"/>
          <w:szCs w:val="22"/>
        </w:rPr>
        <w:t xml:space="preserve"> naturally diminished</w:t>
      </w:r>
      <w:r w:rsidR="0007154E" w:rsidRPr="005B7011">
        <w:rPr>
          <w:rFonts w:cs="Baskerville"/>
          <w:sz w:val="22"/>
          <w:szCs w:val="22"/>
        </w:rPr>
        <w:t xml:space="preserve"> over that period.</w:t>
      </w:r>
      <w:r w:rsidR="00BC7D6F" w:rsidRPr="005B7011">
        <w:rPr>
          <w:rFonts w:cs="Baskerville"/>
          <w:sz w:val="22"/>
          <w:szCs w:val="22"/>
          <w:lang w:val="en-US"/>
        </w:rPr>
        <w:t>There, much emphasis was placed on the need for ‘practical justice’</w:t>
      </w:r>
      <w:r w:rsidR="008546FF" w:rsidRPr="005B7011">
        <w:rPr>
          <w:rFonts w:cs="Baskerville"/>
          <w:sz w:val="22"/>
          <w:szCs w:val="22"/>
          <w:lang w:val="en-US"/>
        </w:rPr>
        <w:t xml:space="preserve">: </w:t>
      </w:r>
      <w:r w:rsidR="00D2398E" w:rsidRPr="005B7011">
        <w:rPr>
          <w:rFonts w:cs="Baskerville"/>
          <w:sz w:val="22"/>
          <w:szCs w:val="22"/>
          <w:lang w:val="en-US"/>
        </w:rPr>
        <w:t xml:space="preserve">Longmore LJ </w:t>
      </w:r>
      <w:r w:rsidR="003C124F" w:rsidRPr="005B7011">
        <w:rPr>
          <w:rFonts w:cs="Baskerville"/>
          <w:sz w:val="22"/>
          <w:szCs w:val="22"/>
          <w:lang w:val="en-US"/>
        </w:rPr>
        <w:t>observed that ‘neither depreciation nor intermittent enjoyment should…be regarded as reasons for saying restitution is impossible.’</w:t>
      </w:r>
      <w:r w:rsidR="007A01D8" w:rsidRPr="005B7011">
        <w:rPr>
          <w:rFonts w:cs="Baskerville"/>
          <w:sz w:val="22"/>
          <w:szCs w:val="22"/>
          <w:lang w:val="en-US"/>
        </w:rPr>
        <w:t xml:space="preserve">Drawing a parallel between the facts </w:t>
      </w:r>
      <w:r w:rsidR="00BB23EF" w:rsidRPr="005B7011">
        <w:rPr>
          <w:rFonts w:cs="Baskerville"/>
          <w:sz w:val="22"/>
          <w:szCs w:val="22"/>
          <w:lang w:val="en-US"/>
        </w:rPr>
        <w:t xml:space="preserve">of </w:t>
      </w:r>
      <w:r w:rsidR="00BB23EF" w:rsidRPr="005B7011">
        <w:rPr>
          <w:rFonts w:cs="Baskerville"/>
          <w:i/>
          <w:sz w:val="22"/>
          <w:szCs w:val="22"/>
          <w:lang w:val="en-US"/>
        </w:rPr>
        <w:t xml:space="preserve">Salt </w:t>
      </w:r>
      <w:r w:rsidR="00BB23EF" w:rsidRPr="005B7011">
        <w:rPr>
          <w:rFonts w:cs="Baskerville"/>
          <w:sz w:val="22"/>
          <w:szCs w:val="22"/>
          <w:lang w:val="en-US"/>
        </w:rPr>
        <w:t xml:space="preserve">and those here, </w:t>
      </w:r>
      <w:r w:rsidR="00780680" w:rsidRPr="005B7011">
        <w:rPr>
          <w:rFonts w:cs="Baskerville"/>
          <w:sz w:val="22"/>
          <w:szCs w:val="22"/>
          <w:lang w:val="en-US"/>
        </w:rPr>
        <w:t>Oxfield regarded a</w:t>
      </w:r>
      <w:r w:rsidR="006A03CB" w:rsidRPr="005B7011">
        <w:rPr>
          <w:rFonts w:cs="Baskerville"/>
          <w:sz w:val="22"/>
          <w:szCs w:val="22"/>
          <w:lang w:val="en-US"/>
        </w:rPr>
        <w:t xml:space="preserve"> licence for gambling as</w:t>
      </w:r>
      <w:r w:rsidR="007F2AC0" w:rsidRPr="005B7011">
        <w:rPr>
          <w:rFonts w:cs="Baskerville"/>
          <w:sz w:val="22"/>
          <w:szCs w:val="22"/>
          <w:lang w:val="en-US"/>
        </w:rPr>
        <w:t xml:space="preserve"> a ‘must’</w:t>
      </w:r>
      <w:r w:rsidR="00780680" w:rsidRPr="005B7011">
        <w:rPr>
          <w:rFonts w:cs="Baskerville"/>
          <w:sz w:val="22"/>
          <w:szCs w:val="22"/>
          <w:lang w:val="en-US"/>
        </w:rPr>
        <w:t xml:space="preserve"> for</w:t>
      </w:r>
      <w:r w:rsidR="00420C69" w:rsidRPr="005B7011">
        <w:rPr>
          <w:rFonts w:cs="Baskerville"/>
          <w:sz w:val="22"/>
          <w:szCs w:val="22"/>
          <w:lang w:val="en-US"/>
        </w:rPr>
        <w:t xml:space="preserve"> its new</w:t>
      </w:r>
      <w:r w:rsidR="00AE374E" w:rsidRPr="005B7011">
        <w:rPr>
          <w:rFonts w:cs="Baskerville"/>
          <w:sz w:val="22"/>
          <w:szCs w:val="22"/>
          <w:lang w:val="en-US"/>
        </w:rPr>
        <w:t xml:space="preserve"> sit</w:t>
      </w:r>
      <w:r w:rsidR="0096251B" w:rsidRPr="005B7011">
        <w:rPr>
          <w:rFonts w:cs="Baskerville"/>
          <w:sz w:val="22"/>
          <w:szCs w:val="22"/>
          <w:lang w:val="en-US"/>
        </w:rPr>
        <w:t xml:space="preserve">e much like how the </w:t>
      </w:r>
      <w:r w:rsidR="0069090B" w:rsidRPr="005B7011">
        <w:rPr>
          <w:rFonts w:cs="Baskerville"/>
          <w:sz w:val="22"/>
          <w:szCs w:val="22"/>
          <w:lang w:val="en-US"/>
        </w:rPr>
        <w:t xml:space="preserve">claimant there </w:t>
      </w:r>
      <w:r w:rsidR="00D819CF" w:rsidRPr="005B7011">
        <w:rPr>
          <w:rFonts w:cs="Baskerville"/>
          <w:sz w:val="22"/>
          <w:szCs w:val="22"/>
          <w:lang w:val="en-US"/>
        </w:rPr>
        <w:t xml:space="preserve">had </w:t>
      </w:r>
      <w:r w:rsidR="00E33C22" w:rsidRPr="005B7011">
        <w:rPr>
          <w:rFonts w:cs="Baskerville"/>
          <w:sz w:val="22"/>
          <w:szCs w:val="22"/>
          <w:lang w:val="en-US"/>
        </w:rPr>
        <w:t>only wanted an unused</w:t>
      </w:r>
      <w:r w:rsidR="00CB0AE1" w:rsidRPr="005B7011">
        <w:rPr>
          <w:rFonts w:cs="Baskerville"/>
          <w:sz w:val="22"/>
          <w:szCs w:val="22"/>
          <w:lang w:val="en-US"/>
        </w:rPr>
        <w:t>ca</w:t>
      </w:r>
      <w:r w:rsidR="002B78F8" w:rsidRPr="005B7011">
        <w:rPr>
          <w:rFonts w:cs="Baskerville"/>
          <w:sz w:val="22"/>
          <w:szCs w:val="22"/>
          <w:lang w:val="en-US"/>
        </w:rPr>
        <w:t xml:space="preserve">r; the misrepresentors had fraudulently misled them </w:t>
      </w:r>
      <w:r w:rsidR="0044198B" w:rsidRPr="005B7011">
        <w:rPr>
          <w:rFonts w:cs="Baskerville"/>
          <w:sz w:val="22"/>
          <w:szCs w:val="22"/>
          <w:lang w:val="en-US"/>
        </w:rPr>
        <w:t>about</w:t>
      </w:r>
      <w:r w:rsidR="00EB7E82" w:rsidRPr="005B7011">
        <w:rPr>
          <w:rFonts w:cs="Baskerville"/>
          <w:sz w:val="22"/>
          <w:szCs w:val="22"/>
          <w:lang w:val="en-US"/>
        </w:rPr>
        <w:t xml:space="preserve"> the existence of those features</w:t>
      </w:r>
      <w:r w:rsidR="00660624" w:rsidRPr="005B7011">
        <w:rPr>
          <w:rFonts w:cs="Baskerville"/>
          <w:i/>
          <w:sz w:val="22"/>
          <w:szCs w:val="22"/>
          <w:lang w:val="en-US"/>
        </w:rPr>
        <w:t>ab initio</w:t>
      </w:r>
      <w:r w:rsidR="0085136B" w:rsidRPr="005B7011">
        <w:rPr>
          <w:rFonts w:cs="Baskerville"/>
          <w:sz w:val="22"/>
          <w:szCs w:val="22"/>
          <w:lang w:val="en-US"/>
        </w:rPr>
        <w:t xml:space="preserve">and so should not </w:t>
      </w:r>
      <w:r w:rsidR="003218E0" w:rsidRPr="005B7011">
        <w:rPr>
          <w:rFonts w:cs="Baskerville"/>
          <w:sz w:val="22"/>
          <w:szCs w:val="22"/>
          <w:lang w:val="en-US"/>
        </w:rPr>
        <w:t>be allowed to escape restitution</w:t>
      </w:r>
      <w:r w:rsidR="00A06124" w:rsidRPr="005B7011">
        <w:rPr>
          <w:rFonts w:cs="Baskerville"/>
          <w:sz w:val="22"/>
          <w:szCs w:val="22"/>
          <w:lang w:val="en-US"/>
        </w:rPr>
        <w:t xml:space="preserve"> in full</w:t>
      </w:r>
      <w:r w:rsidR="004F743D" w:rsidRPr="005B7011">
        <w:rPr>
          <w:rFonts w:cs="Baskerville"/>
          <w:sz w:val="22"/>
          <w:szCs w:val="22"/>
          <w:lang w:val="en-US"/>
        </w:rPr>
        <w:t>.</w:t>
      </w:r>
      <w:r w:rsidR="00DB6705" w:rsidRPr="005B7011">
        <w:rPr>
          <w:rFonts w:cs="Baskerville"/>
          <w:sz w:val="22"/>
          <w:szCs w:val="22"/>
        </w:rPr>
        <w:t xml:space="preserve"> Lapse of time is unlikely to bar rescission too</w:t>
      </w:r>
      <w:r w:rsidR="00CE6C42" w:rsidRPr="005B7011">
        <w:rPr>
          <w:rFonts w:cs="Baskerville"/>
          <w:sz w:val="22"/>
          <w:szCs w:val="22"/>
        </w:rPr>
        <w:t xml:space="preserve">since the sale </w:t>
      </w:r>
      <w:r w:rsidR="00E77847" w:rsidRPr="005B7011">
        <w:rPr>
          <w:rFonts w:cs="Baskerville"/>
          <w:sz w:val="22"/>
          <w:szCs w:val="22"/>
        </w:rPr>
        <w:t>was only completed</w:t>
      </w:r>
      <w:r w:rsidR="00CE6C42" w:rsidRPr="005B7011">
        <w:rPr>
          <w:rFonts w:cs="Baskerville"/>
          <w:sz w:val="22"/>
          <w:szCs w:val="22"/>
        </w:rPr>
        <w:t xml:space="preserve"> a few months</w:t>
      </w:r>
      <w:r w:rsidR="00E77847" w:rsidRPr="005B7011">
        <w:rPr>
          <w:rFonts w:cs="Baskerville"/>
          <w:sz w:val="22"/>
          <w:szCs w:val="22"/>
        </w:rPr>
        <w:t xml:space="preserve"> ago;</w:t>
      </w:r>
      <w:r w:rsidR="00DC2275" w:rsidRPr="005B7011">
        <w:rPr>
          <w:rFonts w:cs="Baskerville"/>
          <w:sz w:val="22"/>
          <w:szCs w:val="22"/>
        </w:rPr>
        <w:t xml:space="preserve">the claimant in </w:t>
      </w:r>
      <w:r w:rsidR="00DC2275" w:rsidRPr="005B7011">
        <w:rPr>
          <w:rFonts w:cs="Baskerville"/>
          <w:i/>
          <w:sz w:val="22"/>
          <w:szCs w:val="22"/>
        </w:rPr>
        <w:t>Salt</w:t>
      </w:r>
      <w:r w:rsidR="00DC2275" w:rsidRPr="005B7011">
        <w:rPr>
          <w:rFonts w:cs="Baskerville"/>
          <w:sz w:val="22"/>
          <w:szCs w:val="22"/>
        </w:rPr>
        <w:t xml:space="preserve"> was able to rescind even after a number of years</w:t>
      </w:r>
      <w:r w:rsidR="00D14BDB" w:rsidRPr="005B7011">
        <w:rPr>
          <w:rFonts w:cs="Baskerville"/>
          <w:sz w:val="22"/>
          <w:szCs w:val="22"/>
        </w:rPr>
        <w:t xml:space="preserve"> had </w:t>
      </w:r>
      <w:commentRangeStart w:id="12"/>
      <w:r w:rsidR="00D14BDB" w:rsidRPr="005B7011">
        <w:rPr>
          <w:rFonts w:cs="Baskerville"/>
          <w:sz w:val="22"/>
          <w:szCs w:val="22"/>
        </w:rPr>
        <w:t>elapsed</w:t>
      </w:r>
      <w:r w:rsidR="00DC2275" w:rsidRPr="005B7011">
        <w:rPr>
          <w:rFonts w:cs="Baskerville"/>
          <w:sz w:val="22"/>
          <w:szCs w:val="22"/>
        </w:rPr>
        <w:t>.</w:t>
      </w:r>
      <w:commentRangeEnd w:id="12"/>
      <w:r w:rsidR="00407803">
        <w:rPr>
          <w:rStyle w:val="CommentReference"/>
        </w:rPr>
        <w:commentReference w:id="12"/>
      </w:r>
    </w:p>
    <w:p w:rsidR="003218E0" w:rsidRPr="005B7011" w:rsidRDefault="003218E0" w:rsidP="00556965">
      <w:pPr>
        <w:jc w:val="both"/>
        <w:rPr>
          <w:rFonts w:cs="Baskerville"/>
          <w:sz w:val="22"/>
          <w:szCs w:val="22"/>
          <w:lang w:val="en-US"/>
        </w:rPr>
      </w:pPr>
    </w:p>
    <w:p w:rsidR="00174432" w:rsidRPr="005B7011" w:rsidRDefault="00515091" w:rsidP="00556965">
      <w:pPr>
        <w:jc w:val="both"/>
        <w:rPr>
          <w:rFonts w:cs="Baskerville"/>
          <w:sz w:val="22"/>
          <w:szCs w:val="22"/>
        </w:rPr>
      </w:pPr>
      <w:r w:rsidRPr="005B7011">
        <w:rPr>
          <w:rFonts w:cs="Baskerville"/>
          <w:sz w:val="22"/>
          <w:szCs w:val="22"/>
        </w:rPr>
        <w:t xml:space="preserve">Similarly, </w:t>
      </w:r>
      <w:r w:rsidR="00215B44" w:rsidRPr="005B7011">
        <w:rPr>
          <w:rFonts w:cs="Baskerville"/>
          <w:sz w:val="22"/>
          <w:szCs w:val="22"/>
          <w:lang w:val="en-US"/>
        </w:rPr>
        <w:t>Easy</w:t>
      </w:r>
      <w:r w:rsidR="00863B31" w:rsidRPr="005B7011">
        <w:rPr>
          <w:rFonts w:cs="Baskerville"/>
          <w:sz w:val="22"/>
          <w:szCs w:val="22"/>
          <w:lang w:val="en-US"/>
        </w:rPr>
        <w:t>buc</w:t>
      </w:r>
      <w:r w:rsidR="00924C4F" w:rsidRPr="005B7011">
        <w:rPr>
          <w:rFonts w:cs="Baskerville"/>
          <w:sz w:val="22"/>
          <w:szCs w:val="22"/>
          <w:lang w:val="en-US"/>
        </w:rPr>
        <w:t>k will have</w:t>
      </w:r>
      <w:r w:rsidRPr="005B7011">
        <w:rPr>
          <w:rFonts w:cs="Baskerville"/>
          <w:sz w:val="22"/>
          <w:szCs w:val="22"/>
          <w:lang w:val="en-US"/>
        </w:rPr>
        <w:t xml:space="preserve"> little luck </w:t>
      </w:r>
      <w:r w:rsidR="00924C4F" w:rsidRPr="005B7011">
        <w:rPr>
          <w:rFonts w:cs="Baskerville"/>
          <w:sz w:val="22"/>
          <w:szCs w:val="22"/>
        </w:rPr>
        <w:t xml:space="preserve">getting a court to exercise its power under </w:t>
      </w:r>
      <w:r w:rsidR="00A06124" w:rsidRPr="005B7011">
        <w:rPr>
          <w:rFonts w:cs="Baskerville"/>
          <w:sz w:val="22"/>
          <w:szCs w:val="22"/>
          <w:lang w:val="en-US"/>
        </w:rPr>
        <w:t>s</w:t>
      </w:r>
      <w:r w:rsidR="003218E0" w:rsidRPr="005B7011">
        <w:rPr>
          <w:rFonts w:cs="Baskerville"/>
          <w:sz w:val="22"/>
          <w:szCs w:val="22"/>
          <w:lang w:val="en-US"/>
        </w:rPr>
        <w:t>. 2(2) of the MA 1967</w:t>
      </w:r>
      <w:r w:rsidR="005B4AB4" w:rsidRPr="005B7011">
        <w:rPr>
          <w:rFonts w:cs="Baskerville"/>
          <w:sz w:val="22"/>
          <w:szCs w:val="22"/>
        </w:rPr>
        <w:t xml:space="preserve"> to award damages in lieu of</w:t>
      </w:r>
      <w:r w:rsidR="008D02C7" w:rsidRPr="005B7011">
        <w:rPr>
          <w:rFonts w:cs="Baskerville"/>
          <w:sz w:val="22"/>
          <w:szCs w:val="22"/>
          <w:lang w:val="en-US"/>
        </w:rPr>
        <w:t xml:space="preserve"> rescission</w:t>
      </w:r>
      <w:r w:rsidR="00A22225" w:rsidRPr="005B7011">
        <w:rPr>
          <w:rFonts w:cs="Baskerville"/>
          <w:sz w:val="22"/>
          <w:szCs w:val="22"/>
        </w:rPr>
        <w:t>. T</w:t>
      </w:r>
      <w:r w:rsidR="007E0F0E" w:rsidRPr="005B7011">
        <w:rPr>
          <w:rFonts w:cs="Baskerville"/>
          <w:sz w:val="22"/>
          <w:szCs w:val="22"/>
        </w:rPr>
        <w:t xml:space="preserve">he </w:t>
      </w:r>
      <w:r w:rsidR="004B5B15" w:rsidRPr="005B7011">
        <w:rPr>
          <w:rFonts w:cs="Baskerville"/>
          <w:sz w:val="22"/>
          <w:szCs w:val="22"/>
        </w:rPr>
        <w:t xml:space="preserve">facts of the </w:t>
      </w:r>
      <w:r w:rsidR="007E0F0E" w:rsidRPr="005B7011">
        <w:rPr>
          <w:rFonts w:cs="Baskerville"/>
          <w:sz w:val="22"/>
          <w:szCs w:val="22"/>
        </w:rPr>
        <w:t xml:space="preserve">leading decision </w:t>
      </w:r>
      <w:r w:rsidR="004B5B15" w:rsidRPr="005B7011">
        <w:rPr>
          <w:rFonts w:cs="Baskerville"/>
          <w:sz w:val="22"/>
          <w:szCs w:val="22"/>
        </w:rPr>
        <w:t>on this matter bear</w:t>
      </w:r>
      <w:r w:rsidR="005B4AB4" w:rsidRPr="005B7011">
        <w:rPr>
          <w:rFonts w:cs="Baskerville"/>
          <w:sz w:val="22"/>
          <w:szCs w:val="22"/>
        </w:rPr>
        <w:t xml:space="preserve"> a striking similarity to </w:t>
      </w:r>
      <w:r w:rsidR="004B5B15" w:rsidRPr="005B7011">
        <w:rPr>
          <w:rFonts w:cs="Baskerville"/>
          <w:sz w:val="22"/>
          <w:szCs w:val="22"/>
        </w:rPr>
        <w:t xml:space="preserve">those of </w:t>
      </w:r>
      <w:r w:rsidR="007E0F0E" w:rsidRPr="005B7011">
        <w:rPr>
          <w:rFonts w:cs="Baskerville"/>
          <w:sz w:val="22"/>
          <w:szCs w:val="22"/>
        </w:rPr>
        <w:t>the instant case</w:t>
      </w:r>
      <w:r w:rsidR="00A84AD3" w:rsidRPr="005B7011">
        <w:rPr>
          <w:rFonts w:cs="Baskerville"/>
          <w:sz w:val="22"/>
          <w:szCs w:val="22"/>
        </w:rPr>
        <w:t xml:space="preserve"> because </w:t>
      </w:r>
      <w:r w:rsidR="004B5B15" w:rsidRPr="005B7011">
        <w:rPr>
          <w:rFonts w:cs="Baskerville"/>
          <w:sz w:val="22"/>
          <w:szCs w:val="22"/>
        </w:rPr>
        <w:t xml:space="preserve">the existence of burdens </w:t>
      </w:r>
      <w:r w:rsidR="0009527C" w:rsidRPr="005B7011">
        <w:rPr>
          <w:rFonts w:cs="Baskerville"/>
          <w:sz w:val="22"/>
          <w:szCs w:val="22"/>
        </w:rPr>
        <w:t>on the land was</w:t>
      </w:r>
      <w:r w:rsidR="002A2E15" w:rsidRPr="005B7011">
        <w:rPr>
          <w:rFonts w:cs="Baskerville"/>
          <w:sz w:val="22"/>
          <w:szCs w:val="22"/>
        </w:rPr>
        <w:t xml:space="preserve"> also at issue in</w:t>
      </w:r>
      <w:r w:rsidR="004B5B15" w:rsidRPr="005B7011">
        <w:rPr>
          <w:rFonts w:cs="Baskerville"/>
          <w:sz w:val="22"/>
          <w:szCs w:val="22"/>
        </w:rPr>
        <w:t xml:space="preserve"> that dispute</w:t>
      </w:r>
      <w:r w:rsidR="0009527C" w:rsidRPr="005B7011">
        <w:rPr>
          <w:rFonts w:cs="Baskerville"/>
          <w:sz w:val="22"/>
          <w:szCs w:val="22"/>
        </w:rPr>
        <w:t xml:space="preserve"> – i</w:t>
      </w:r>
      <w:r w:rsidR="007E0F0E" w:rsidRPr="005B7011">
        <w:rPr>
          <w:rFonts w:cs="Baskerville"/>
          <w:sz w:val="22"/>
          <w:szCs w:val="22"/>
        </w:rPr>
        <w:t xml:space="preserve">n </w:t>
      </w:r>
      <w:r w:rsidR="007E0F0E" w:rsidRPr="005B7011">
        <w:rPr>
          <w:rFonts w:cs="Baskerville"/>
          <w:i/>
          <w:sz w:val="22"/>
          <w:szCs w:val="22"/>
        </w:rPr>
        <w:t>William Sindall plc v Cambridgeshire County Council [1994]</w:t>
      </w:r>
      <w:r w:rsidR="007E0F0E" w:rsidRPr="005B7011">
        <w:rPr>
          <w:rFonts w:cs="Baskerville"/>
          <w:sz w:val="22"/>
          <w:szCs w:val="22"/>
        </w:rPr>
        <w:t xml:space="preserve">, </w:t>
      </w:r>
      <w:r w:rsidR="00F156A4" w:rsidRPr="005B7011">
        <w:rPr>
          <w:rFonts w:cs="Baskerville"/>
          <w:i/>
          <w:sz w:val="22"/>
          <w:szCs w:val="22"/>
        </w:rPr>
        <w:t xml:space="preserve">obiter </w:t>
      </w:r>
      <w:r w:rsidR="00F156A4" w:rsidRPr="005B7011">
        <w:rPr>
          <w:rFonts w:cs="Baskerville"/>
          <w:sz w:val="22"/>
          <w:szCs w:val="22"/>
        </w:rPr>
        <w:t>co</w:t>
      </w:r>
      <w:r w:rsidR="002163FC" w:rsidRPr="005B7011">
        <w:rPr>
          <w:rFonts w:cs="Baskerville"/>
          <w:sz w:val="22"/>
          <w:szCs w:val="22"/>
        </w:rPr>
        <w:t>mments indica</w:t>
      </w:r>
      <w:r w:rsidR="00E17807" w:rsidRPr="005B7011">
        <w:rPr>
          <w:rFonts w:cs="Baskerville"/>
          <w:sz w:val="22"/>
          <w:szCs w:val="22"/>
        </w:rPr>
        <w:t>te that claimants who seek</w:t>
      </w:r>
      <w:r w:rsidR="002163FC" w:rsidRPr="005B7011">
        <w:rPr>
          <w:rFonts w:cs="Baskerville"/>
          <w:sz w:val="22"/>
          <w:szCs w:val="22"/>
        </w:rPr>
        <w:t xml:space="preserve"> to escape bad bargains through rescission will not be allowed to do so where the cost of making good the misrepresentation is relatively trivial in the context of the contract as a whole</w:t>
      </w:r>
      <w:r w:rsidR="00F91634" w:rsidRPr="005B7011">
        <w:rPr>
          <w:rFonts w:cs="Baskerville"/>
          <w:sz w:val="22"/>
          <w:szCs w:val="22"/>
        </w:rPr>
        <w:t xml:space="preserve">. </w:t>
      </w:r>
      <w:r w:rsidR="006A1104" w:rsidRPr="005B7011">
        <w:rPr>
          <w:rFonts w:cs="Baskerville"/>
          <w:sz w:val="22"/>
          <w:szCs w:val="22"/>
        </w:rPr>
        <w:t xml:space="preserve">The court </w:t>
      </w:r>
      <w:r w:rsidR="007B1396" w:rsidRPr="005B7011">
        <w:rPr>
          <w:rFonts w:cs="Baskerville"/>
          <w:sz w:val="22"/>
          <w:szCs w:val="22"/>
        </w:rPr>
        <w:t xml:space="preserve">also </w:t>
      </w:r>
      <w:r w:rsidR="006A1104" w:rsidRPr="005B7011">
        <w:rPr>
          <w:rFonts w:cs="Baskerville"/>
          <w:sz w:val="22"/>
          <w:szCs w:val="22"/>
        </w:rPr>
        <w:t xml:space="preserve">suggested some guiding factors which </w:t>
      </w:r>
      <w:r w:rsidR="00774FA3" w:rsidRPr="005B7011">
        <w:rPr>
          <w:rFonts w:cs="Baskerville"/>
          <w:sz w:val="22"/>
          <w:szCs w:val="22"/>
        </w:rPr>
        <w:t>judges would ne</w:t>
      </w:r>
      <w:r w:rsidR="0070076D" w:rsidRPr="005B7011">
        <w:rPr>
          <w:rFonts w:cs="Baskerville"/>
          <w:sz w:val="22"/>
          <w:szCs w:val="22"/>
        </w:rPr>
        <w:t>ed to consider before the</w:t>
      </w:r>
      <w:r w:rsidR="006A1104" w:rsidRPr="005B7011">
        <w:rPr>
          <w:rFonts w:cs="Baskerville"/>
          <w:sz w:val="22"/>
          <w:szCs w:val="22"/>
        </w:rPr>
        <w:t>s. 2(2) discretion</w:t>
      </w:r>
      <w:r w:rsidR="0070076D" w:rsidRPr="005B7011">
        <w:rPr>
          <w:rFonts w:cs="Baskerville"/>
          <w:sz w:val="22"/>
          <w:szCs w:val="22"/>
        </w:rPr>
        <w:t xml:space="preserve"> can be validly exercised,but</w:t>
      </w:r>
      <w:r w:rsidR="00F91634" w:rsidRPr="005B7011">
        <w:rPr>
          <w:rFonts w:cs="Baskerville"/>
          <w:sz w:val="22"/>
          <w:szCs w:val="22"/>
        </w:rPr>
        <w:t xml:space="preserve"> it is submitted that </w:t>
      </w:r>
      <w:r w:rsidR="00F63222" w:rsidRPr="005B7011">
        <w:rPr>
          <w:rFonts w:cs="Baskerville"/>
          <w:sz w:val="22"/>
          <w:szCs w:val="22"/>
        </w:rPr>
        <w:t xml:space="preserve">a </w:t>
      </w:r>
      <w:r w:rsidR="00F91634" w:rsidRPr="005B7011">
        <w:rPr>
          <w:rFonts w:cs="Baskerville"/>
          <w:sz w:val="22"/>
          <w:szCs w:val="22"/>
        </w:rPr>
        <w:t xml:space="preserve">further examination of </w:t>
      </w:r>
      <w:r w:rsidR="0070076D" w:rsidRPr="005B7011">
        <w:rPr>
          <w:rFonts w:cs="Baskerville"/>
          <w:sz w:val="22"/>
          <w:szCs w:val="22"/>
        </w:rPr>
        <w:t xml:space="preserve">those </w:t>
      </w:r>
      <w:r w:rsidR="00F63222" w:rsidRPr="005B7011">
        <w:rPr>
          <w:rFonts w:cs="Baskerville"/>
          <w:sz w:val="22"/>
          <w:szCs w:val="22"/>
        </w:rPr>
        <w:t>questions</w:t>
      </w:r>
      <w:r w:rsidR="005D6E3A" w:rsidRPr="005B7011">
        <w:rPr>
          <w:rFonts w:cs="Baskerville"/>
          <w:sz w:val="22"/>
          <w:szCs w:val="22"/>
        </w:rPr>
        <w:t>is unnecessary, because</w:t>
      </w:r>
      <w:r w:rsidR="007C643F" w:rsidRPr="005B7011">
        <w:rPr>
          <w:rFonts w:cs="Baskerville"/>
          <w:sz w:val="22"/>
          <w:szCs w:val="22"/>
        </w:rPr>
        <w:t xml:space="preserve"> they only apply </w:t>
      </w:r>
      <w:r w:rsidR="005D6E3A" w:rsidRPr="005B7011">
        <w:rPr>
          <w:rFonts w:cs="Baskerville"/>
          <w:sz w:val="22"/>
          <w:szCs w:val="22"/>
        </w:rPr>
        <w:t xml:space="preserve">where ‘a </w:t>
      </w:r>
      <w:r w:rsidR="005D6E3A" w:rsidRPr="005B7011">
        <w:rPr>
          <w:rFonts w:cs="Baskerville"/>
          <w:sz w:val="22"/>
          <w:szCs w:val="22"/>
        </w:rPr>
        <w:lastRenderedPageBreak/>
        <w:t>misrepresentation ha</w:t>
      </w:r>
      <w:r w:rsidR="009F0018" w:rsidRPr="005B7011">
        <w:rPr>
          <w:rFonts w:cs="Baskerville"/>
          <w:sz w:val="22"/>
          <w:szCs w:val="22"/>
        </w:rPr>
        <w:t>s been made…otherwise than fraudulently</w:t>
      </w:r>
      <w:r w:rsidR="007C643F" w:rsidRPr="005B7011">
        <w:rPr>
          <w:rFonts w:cs="Baskerville"/>
          <w:sz w:val="22"/>
          <w:szCs w:val="22"/>
        </w:rPr>
        <w:t>.</w:t>
      </w:r>
      <w:r w:rsidR="009F0018" w:rsidRPr="005B7011">
        <w:rPr>
          <w:rFonts w:cs="Baskerville"/>
          <w:sz w:val="22"/>
          <w:szCs w:val="22"/>
        </w:rPr>
        <w:t>’</w:t>
      </w:r>
      <w:r w:rsidR="00B90624" w:rsidRPr="005B7011">
        <w:rPr>
          <w:rFonts w:cs="Baskerville"/>
          <w:sz w:val="22"/>
          <w:szCs w:val="22"/>
        </w:rPr>
        <w:t>Once O</w:t>
      </w:r>
      <w:r w:rsidR="0036200B" w:rsidRPr="005B7011">
        <w:rPr>
          <w:rFonts w:cs="Baskerville"/>
          <w:sz w:val="22"/>
          <w:szCs w:val="22"/>
        </w:rPr>
        <w:t>xfield</w:t>
      </w:r>
      <w:r w:rsidR="00DB6705" w:rsidRPr="005B7011">
        <w:rPr>
          <w:rFonts w:cs="Baskerville"/>
          <w:sz w:val="22"/>
          <w:szCs w:val="22"/>
        </w:rPr>
        <w:t>can establish</w:t>
      </w:r>
      <w:r w:rsidR="0036200B" w:rsidRPr="005B7011">
        <w:rPr>
          <w:rFonts w:cs="Baskerville"/>
          <w:sz w:val="22"/>
          <w:szCs w:val="22"/>
        </w:rPr>
        <w:t xml:space="preserve"> that there wasa </w:t>
      </w:r>
      <w:r w:rsidR="008C0FFD" w:rsidRPr="005B7011">
        <w:rPr>
          <w:rFonts w:cs="Baskerville"/>
          <w:sz w:val="22"/>
          <w:szCs w:val="22"/>
        </w:rPr>
        <w:t>fraudulent misrepresentation</w:t>
      </w:r>
      <w:r w:rsidR="0036200B" w:rsidRPr="005B7011">
        <w:rPr>
          <w:rFonts w:cs="Baskerville"/>
          <w:sz w:val="22"/>
          <w:szCs w:val="22"/>
        </w:rPr>
        <w:t xml:space="preserve">, a </w:t>
      </w:r>
      <w:r w:rsidR="00EE062D" w:rsidRPr="005B7011">
        <w:rPr>
          <w:rFonts w:cs="Baskerville"/>
          <w:sz w:val="22"/>
          <w:szCs w:val="22"/>
        </w:rPr>
        <w:t>court cannot insist on gr</w:t>
      </w:r>
      <w:r w:rsidR="00174432" w:rsidRPr="005B7011">
        <w:rPr>
          <w:rFonts w:cs="Baskerville"/>
          <w:sz w:val="22"/>
          <w:szCs w:val="22"/>
        </w:rPr>
        <w:t>anting damages instead of rescission</w:t>
      </w:r>
      <w:r w:rsidR="001525C9" w:rsidRPr="005B7011">
        <w:rPr>
          <w:rFonts w:cs="Baskerville"/>
          <w:sz w:val="22"/>
          <w:szCs w:val="22"/>
        </w:rPr>
        <w:t xml:space="preserve"> on the basis of the other, innocent, </w:t>
      </w:r>
      <w:commentRangeStart w:id="13"/>
      <w:r w:rsidR="001525C9" w:rsidRPr="005B7011">
        <w:rPr>
          <w:rFonts w:cs="Baskerville"/>
          <w:sz w:val="22"/>
          <w:szCs w:val="22"/>
        </w:rPr>
        <w:t>misrepresentation</w:t>
      </w:r>
      <w:r w:rsidR="00174432" w:rsidRPr="005B7011">
        <w:rPr>
          <w:rFonts w:cs="Baskerville"/>
          <w:sz w:val="22"/>
          <w:szCs w:val="22"/>
        </w:rPr>
        <w:t>.</w:t>
      </w:r>
      <w:commentRangeEnd w:id="13"/>
      <w:r w:rsidR="00407803">
        <w:rPr>
          <w:rStyle w:val="CommentReference"/>
        </w:rPr>
        <w:commentReference w:id="13"/>
      </w:r>
      <w:r w:rsidR="00AE197F" w:rsidRPr="005B7011">
        <w:rPr>
          <w:rFonts w:cs="Baskerville"/>
          <w:sz w:val="22"/>
          <w:szCs w:val="22"/>
        </w:rPr>
        <w:t>Hence, there appears to be nothing that would preven</w:t>
      </w:r>
      <w:r w:rsidR="00014383" w:rsidRPr="005B7011">
        <w:rPr>
          <w:rFonts w:cs="Baskerville"/>
          <w:sz w:val="22"/>
          <w:szCs w:val="22"/>
        </w:rPr>
        <w:t>t O</w:t>
      </w:r>
      <w:r w:rsidR="00E17807" w:rsidRPr="005B7011">
        <w:rPr>
          <w:rFonts w:cs="Baskerville"/>
          <w:sz w:val="22"/>
          <w:szCs w:val="22"/>
        </w:rPr>
        <w:t>xfield from</w:t>
      </w:r>
      <w:r w:rsidR="00014383" w:rsidRPr="005B7011">
        <w:rPr>
          <w:rFonts w:cs="Baskerville"/>
          <w:sz w:val="22"/>
          <w:szCs w:val="22"/>
        </w:rPr>
        <w:t xml:space="preserve"> rescind</w:t>
      </w:r>
      <w:r w:rsidR="00E17807" w:rsidRPr="005B7011">
        <w:rPr>
          <w:rFonts w:cs="Baskerville"/>
          <w:sz w:val="22"/>
          <w:szCs w:val="22"/>
        </w:rPr>
        <w:t>ing</w:t>
      </w:r>
      <w:r w:rsidR="00014383" w:rsidRPr="005B7011">
        <w:rPr>
          <w:rFonts w:cs="Baskerville"/>
          <w:sz w:val="22"/>
          <w:szCs w:val="22"/>
        </w:rPr>
        <w:t xml:space="preserve"> the contract, and it</w:t>
      </w:r>
      <w:r w:rsidR="00D14BDB" w:rsidRPr="005B7011">
        <w:rPr>
          <w:rFonts w:cs="Baskerville"/>
          <w:sz w:val="22"/>
          <w:szCs w:val="22"/>
        </w:rPr>
        <w:t>should do so by simply communicating its decision to Easybuck.</w:t>
      </w:r>
    </w:p>
    <w:p w:rsidR="00174432" w:rsidRPr="005B7011" w:rsidRDefault="00174432" w:rsidP="00556965">
      <w:pPr>
        <w:jc w:val="both"/>
        <w:rPr>
          <w:rFonts w:cs="Baskerville"/>
          <w:sz w:val="22"/>
          <w:szCs w:val="22"/>
        </w:rPr>
      </w:pPr>
    </w:p>
    <w:p w:rsidR="00174432" w:rsidRPr="005B7011" w:rsidRDefault="00174432" w:rsidP="00F25B24">
      <w:pPr>
        <w:jc w:val="center"/>
        <w:rPr>
          <w:rFonts w:cs="Baskerville"/>
          <w:sz w:val="22"/>
          <w:szCs w:val="22"/>
          <w:u w:val="single"/>
        </w:rPr>
      </w:pPr>
      <w:r w:rsidRPr="005B7011">
        <w:rPr>
          <w:rFonts w:cs="Baskerville"/>
          <w:sz w:val="22"/>
          <w:szCs w:val="22"/>
          <w:u w:val="single"/>
        </w:rPr>
        <w:t>Damages</w:t>
      </w:r>
    </w:p>
    <w:p w:rsidR="00174432" w:rsidRPr="005B7011" w:rsidRDefault="00174432" w:rsidP="00556965">
      <w:pPr>
        <w:jc w:val="both"/>
        <w:rPr>
          <w:rFonts w:cs="Baskerville"/>
          <w:sz w:val="22"/>
          <w:szCs w:val="22"/>
        </w:rPr>
      </w:pPr>
    </w:p>
    <w:p w:rsidR="004731CB" w:rsidRPr="005B7011" w:rsidRDefault="00B55806" w:rsidP="004731CB">
      <w:pPr>
        <w:jc w:val="both"/>
        <w:rPr>
          <w:rFonts w:cs="Baskerville"/>
          <w:sz w:val="22"/>
          <w:szCs w:val="22"/>
        </w:rPr>
      </w:pPr>
      <w:r w:rsidRPr="005B7011">
        <w:rPr>
          <w:rFonts w:cs="Baskerville"/>
          <w:sz w:val="22"/>
          <w:szCs w:val="22"/>
        </w:rPr>
        <w:t>Historically, damages were only available to those who h</w:t>
      </w:r>
      <w:r w:rsidR="00C156F4" w:rsidRPr="005B7011">
        <w:rPr>
          <w:rFonts w:cs="Baskerville"/>
          <w:sz w:val="22"/>
          <w:szCs w:val="22"/>
        </w:rPr>
        <w:t>ad suffered from fraudulent misrepresentations</w:t>
      </w:r>
      <w:r w:rsidR="00172E77" w:rsidRPr="005B7011">
        <w:rPr>
          <w:rFonts w:cs="Baskerville"/>
          <w:sz w:val="22"/>
          <w:szCs w:val="22"/>
        </w:rPr>
        <w:t xml:space="preserve">. </w:t>
      </w:r>
      <w:r w:rsidR="00510885" w:rsidRPr="005B7011">
        <w:rPr>
          <w:rFonts w:cs="Baskerville"/>
          <w:sz w:val="22"/>
          <w:szCs w:val="22"/>
        </w:rPr>
        <w:t>If the maker of a false statement did know that it was untrue or had acted with a reckless disregard for the truth</w:t>
      </w:r>
      <w:r w:rsidR="00925004" w:rsidRPr="005B7011">
        <w:rPr>
          <w:rFonts w:cs="Baskerville"/>
          <w:sz w:val="22"/>
          <w:szCs w:val="22"/>
        </w:rPr>
        <w:t xml:space="preserve">, his misrepresentation </w:t>
      </w:r>
      <w:r w:rsidR="00CD24C8" w:rsidRPr="005B7011">
        <w:rPr>
          <w:rFonts w:cs="Baskerville"/>
          <w:sz w:val="22"/>
          <w:szCs w:val="22"/>
        </w:rPr>
        <w:t xml:space="preserve">is </w:t>
      </w:r>
      <w:r w:rsidR="00925004" w:rsidRPr="005B7011">
        <w:rPr>
          <w:rFonts w:cs="Baskerville"/>
          <w:sz w:val="22"/>
          <w:szCs w:val="22"/>
        </w:rPr>
        <w:t>fraudulent (</w:t>
      </w:r>
      <w:r w:rsidR="00925004" w:rsidRPr="005B7011">
        <w:rPr>
          <w:rFonts w:cs="Baskerville"/>
          <w:i/>
          <w:sz w:val="22"/>
          <w:szCs w:val="22"/>
        </w:rPr>
        <w:t>Derry v Peek [1889]</w:t>
      </w:r>
      <w:r w:rsidR="00925004" w:rsidRPr="005B7011">
        <w:rPr>
          <w:rFonts w:cs="Baskerville"/>
          <w:sz w:val="22"/>
          <w:szCs w:val="22"/>
        </w:rPr>
        <w:t>)</w:t>
      </w:r>
      <w:r w:rsidR="00202F8A" w:rsidRPr="005B7011">
        <w:rPr>
          <w:rFonts w:cs="Baskerville"/>
          <w:sz w:val="22"/>
          <w:szCs w:val="22"/>
        </w:rPr>
        <w:t xml:space="preserve"> and a </w:t>
      </w:r>
      <w:r w:rsidR="00CD24C8" w:rsidRPr="005B7011">
        <w:rPr>
          <w:rFonts w:cs="Baskerville"/>
          <w:sz w:val="22"/>
          <w:szCs w:val="22"/>
        </w:rPr>
        <w:t>mis</w:t>
      </w:r>
      <w:r w:rsidR="0080475F" w:rsidRPr="005B7011">
        <w:rPr>
          <w:rFonts w:cs="Baskerville"/>
          <w:sz w:val="22"/>
          <w:szCs w:val="22"/>
        </w:rPr>
        <w:t>representee who had rel</w:t>
      </w:r>
      <w:r w:rsidR="00CD24C8" w:rsidRPr="005B7011">
        <w:rPr>
          <w:rFonts w:cs="Baskerville"/>
          <w:sz w:val="22"/>
          <w:szCs w:val="22"/>
        </w:rPr>
        <w:t>ied on it to his de</w:t>
      </w:r>
      <w:r w:rsidR="00FA1931" w:rsidRPr="005B7011">
        <w:rPr>
          <w:rFonts w:cs="Baskerville"/>
          <w:sz w:val="22"/>
          <w:szCs w:val="22"/>
        </w:rPr>
        <w:t>triment can</w:t>
      </w:r>
      <w:r w:rsidR="0080475F" w:rsidRPr="005B7011">
        <w:rPr>
          <w:rFonts w:cs="Baskerville"/>
          <w:sz w:val="22"/>
          <w:szCs w:val="22"/>
        </w:rPr>
        <w:t xml:space="preserve"> sue him for the</w:t>
      </w:r>
      <w:r w:rsidR="00444C3E" w:rsidRPr="005B7011">
        <w:rPr>
          <w:rFonts w:cs="Baskerville"/>
          <w:sz w:val="22"/>
          <w:szCs w:val="22"/>
        </w:rPr>
        <w:t xml:space="preserve"> tort of deceit. Subsequently, </w:t>
      </w:r>
      <w:r w:rsidR="00453CCB" w:rsidRPr="005B7011">
        <w:rPr>
          <w:rFonts w:cs="Baskerville"/>
          <w:i/>
          <w:sz w:val="22"/>
          <w:szCs w:val="22"/>
        </w:rPr>
        <w:t>Hedley Byrne &amp; Co v Heller &amp; Partners [1964]</w:t>
      </w:r>
      <w:r w:rsidR="00453CCB" w:rsidRPr="005B7011">
        <w:rPr>
          <w:rFonts w:cs="Baskerville"/>
          <w:sz w:val="22"/>
          <w:szCs w:val="22"/>
        </w:rPr>
        <w:t xml:space="preserve"> opened up the possib</w:t>
      </w:r>
      <w:r w:rsidR="0070262D" w:rsidRPr="005B7011">
        <w:rPr>
          <w:rFonts w:cs="Baskerville"/>
          <w:sz w:val="22"/>
          <w:szCs w:val="22"/>
        </w:rPr>
        <w:t>ility of suing</w:t>
      </w:r>
      <w:r w:rsidR="00453CCB" w:rsidRPr="005B7011">
        <w:rPr>
          <w:rFonts w:cs="Baskerville"/>
          <w:sz w:val="22"/>
          <w:szCs w:val="22"/>
        </w:rPr>
        <w:t xml:space="preserve"> for </w:t>
      </w:r>
      <w:r w:rsidR="0070262D" w:rsidRPr="005B7011">
        <w:rPr>
          <w:rFonts w:cs="Baskerville"/>
          <w:sz w:val="22"/>
          <w:szCs w:val="22"/>
        </w:rPr>
        <w:t>negligence where there was a ‘special relationship’ between the parties</w:t>
      </w:r>
      <w:r w:rsidR="009404B5" w:rsidRPr="005B7011">
        <w:rPr>
          <w:rFonts w:cs="Baskerville"/>
          <w:sz w:val="22"/>
          <w:szCs w:val="22"/>
        </w:rPr>
        <w:t xml:space="preserve">. But </w:t>
      </w:r>
      <w:r w:rsidR="00FA1931" w:rsidRPr="005B7011">
        <w:rPr>
          <w:rFonts w:cs="Baskerville"/>
          <w:sz w:val="22"/>
          <w:szCs w:val="22"/>
        </w:rPr>
        <w:t xml:space="preserve">the common law route </w:t>
      </w:r>
      <w:r w:rsidR="004E204D" w:rsidRPr="005B7011">
        <w:rPr>
          <w:rFonts w:cs="Baskerville"/>
          <w:sz w:val="22"/>
          <w:szCs w:val="22"/>
        </w:rPr>
        <w:t xml:space="preserve">to damages </w:t>
      </w:r>
      <w:r w:rsidR="00FA1931" w:rsidRPr="005B7011">
        <w:rPr>
          <w:rFonts w:cs="Baskerville"/>
          <w:sz w:val="22"/>
          <w:szCs w:val="22"/>
        </w:rPr>
        <w:t xml:space="preserve">is not desirable </w:t>
      </w:r>
      <w:r w:rsidR="009404B5" w:rsidRPr="005B7011">
        <w:rPr>
          <w:rFonts w:cs="Baskerville"/>
          <w:sz w:val="22"/>
          <w:szCs w:val="22"/>
        </w:rPr>
        <w:t xml:space="preserve">in most cases, </w:t>
      </w:r>
      <w:r w:rsidR="004E204D" w:rsidRPr="005B7011">
        <w:rPr>
          <w:rFonts w:cs="Baskerville"/>
          <w:sz w:val="22"/>
          <w:szCs w:val="22"/>
        </w:rPr>
        <w:t>and Oxfield should be dissuaded from it too. For one, deceit is very difficult to prove, and for two, it will be equally</w:t>
      </w:r>
      <w:r w:rsidR="00A26D4F" w:rsidRPr="005B7011">
        <w:rPr>
          <w:rFonts w:cs="Baskerville"/>
          <w:sz w:val="22"/>
          <w:szCs w:val="22"/>
        </w:rPr>
        <w:t xml:space="preserve"> arduous to show that </w:t>
      </w:r>
      <w:r w:rsidR="004E204D" w:rsidRPr="005B7011">
        <w:rPr>
          <w:rFonts w:cs="Baskerville"/>
          <w:sz w:val="22"/>
          <w:szCs w:val="22"/>
        </w:rPr>
        <w:t xml:space="preserve">a </w:t>
      </w:r>
      <w:r w:rsidR="00674136" w:rsidRPr="005B7011">
        <w:rPr>
          <w:rFonts w:cs="Baskerville"/>
          <w:sz w:val="22"/>
          <w:szCs w:val="22"/>
        </w:rPr>
        <w:t xml:space="preserve">‘special relationship’ </w:t>
      </w:r>
      <w:r w:rsidR="00A26D4F" w:rsidRPr="005B7011">
        <w:rPr>
          <w:rFonts w:cs="Baskerville"/>
          <w:sz w:val="22"/>
          <w:szCs w:val="22"/>
        </w:rPr>
        <w:t xml:space="preserve">existed </w:t>
      </w:r>
      <w:r w:rsidR="00674136" w:rsidRPr="005B7011">
        <w:rPr>
          <w:rFonts w:cs="Baskerville"/>
          <w:sz w:val="22"/>
          <w:szCs w:val="22"/>
        </w:rPr>
        <w:t>as between Oxfield and Easybuck. Of course,</w:t>
      </w:r>
      <w:r w:rsidR="00A26D4F" w:rsidRPr="005B7011">
        <w:rPr>
          <w:rFonts w:cs="Baskerville"/>
          <w:sz w:val="22"/>
          <w:szCs w:val="22"/>
        </w:rPr>
        <w:t>Oxfield may wonder about</w:t>
      </w:r>
      <w:r w:rsidR="00F04486" w:rsidRPr="005B7011">
        <w:rPr>
          <w:rFonts w:cs="Baskerville"/>
          <w:sz w:val="22"/>
          <w:szCs w:val="22"/>
        </w:rPr>
        <w:t xml:space="preserve"> the feasibility of suing its own solicitors </w:t>
      </w:r>
      <w:r w:rsidR="004731CB" w:rsidRPr="005B7011">
        <w:rPr>
          <w:rFonts w:cs="Baskerville"/>
          <w:sz w:val="22"/>
          <w:szCs w:val="22"/>
        </w:rPr>
        <w:t xml:space="preserve">in </w:t>
      </w:r>
      <w:commentRangeStart w:id="14"/>
      <w:r w:rsidR="004731CB" w:rsidRPr="005B7011">
        <w:rPr>
          <w:rFonts w:cs="Baskerville"/>
          <w:sz w:val="22"/>
          <w:szCs w:val="22"/>
        </w:rPr>
        <w:t>negligence</w:t>
      </w:r>
      <w:commentRangeEnd w:id="14"/>
      <w:r w:rsidR="00407803">
        <w:rPr>
          <w:rStyle w:val="CommentReference"/>
        </w:rPr>
        <w:commentReference w:id="14"/>
      </w:r>
      <w:r w:rsidR="00F04486" w:rsidRPr="005B7011">
        <w:rPr>
          <w:rFonts w:cs="Baskerville"/>
          <w:sz w:val="22"/>
          <w:szCs w:val="22"/>
        </w:rPr>
        <w:t xml:space="preserve">for </w:t>
      </w:r>
      <w:r w:rsidR="004731CB" w:rsidRPr="005B7011">
        <w:rPr>
          <w:rFonts w:cs="Baskerville"/>
          <w:sz w:val="22"/>
          <w:szCs w:val="22"/>
        </w:rPr>
        <w:t xml:space="preserve">say, </w:t>
      </w:r>
      <w:r w:rsidR="00F04486" w:rsidRPr="005B7011">
        <w:rPr>
          <w:rFonts w:cs="Baskerville"/>
          <w:sz w:val="22"/>
          <w:szCs w:val="22"/>
        </w:rPr>
        <w:t>failing to investigate the la</w:t>
      </w:r>
      <w:r w:rsidR="00C25500" w:rsidRPr="005B7011">
        <w:rPr>
          <w:rFonts w:cs="Baskerville"/>
          <w:sz w:val="22"/>
          <w:szCs w:val="22"/>
        </w:rPr>
        <w:t xml:space="preserve">nd registry properly– it </w:t>
      </w:r>
      <w:r w:rsidR="004731CB" w:rsidRPr="005B7011">
        <w:rPr>
          <w:rFonts w:cs="Baskerville"/>
          <w:sz w:val="22"/>
          <w:szCs w:val="22"/>
        </w:rPr>
        <w:t xml:space="preserve">is trite that solicitor-client relationships are precisely of the kind envisioned by the </w:t>
      </w:r>
      <w:r w:rsidR="004731CB" w:rsidRPr="005B7011">
        <w:rPr>
          <w:rFonts w:cs="Baskerville"/>
          <w:i/>
          <w:sz w:val="22"/>
          <w:szCs w:val="22"/>
        </w:rPr>
        <w:t xml:space="preserve">Hedley Byrne </w:t>
      </w:r>
      <w:r w:rsidR="004731CB" w:rsidRPr="005B7011">
        <w:rPr>
          <w:rFonts w:cs="Baskerville"/>
          <w:sz w:val="22"/>
          <w:szCs w:val="22"/>
        </w:rPr>
        <w:t xml:space="preserve">doctrine. It should not do so, however: such an act would imply that Oxfield had relied on their solicitors’ advice instead of Easybuck’s misrepresentations in entering into the contract, and this has been held to negate liability on the part of the misrepresentor in </w:t>
      </w:r>
      <w:r w:rsidR="004731CB" w:rsidRPr="005B7011">
        <w:rPr>
          <w:rFonts w:cs="Baskerville"/>
          <w:i/>
          <w:sz w:val="22"/>
          <w:szCs w:val="22"/>
        </w:rPr>
        <w:t>Attwood v Small [1838]</w:t>
      </w:r>
      <w:r w:rsidR="004731CB" w:rsidRPr="005B7011">
        <w:rPr>
          <w:rFonts w:cs="Baskerville"/>
          <w:sz w:val="22"/>
          <w:szCs w:val="22"/>
        </w:rPr>
        <w:t xml:space="preserve">. Oxfield would then lose the right to </w:t>
      </w:r>
      <w:commentRangeStart w:id="15"/>
      <w:r w:rsidR="004731CB" w:rsidRPr="005B7011">
        <w:rPr>
          <w:rFonts w:cs="Baskerville"/>
          <w:sz w:val="22"/>
          <w:szCs w:val="22"/>
        </w:rPr>
        <w:t>rescission</w:t>
      </w:r>
      <w:commentRangeEnd w:id="15"/>
      <w:r w:rsidR="00407803">
        <w:rPr>
          <w:rStyle w:val="CommentReference"/>
        </w:rPr>
        <w:commentReference w:id="15"/>
      </w:r>
      <w:r w:rsidR="004731CB" w:rsidRPr="005B7011">
        <w:rPr>
          <w:rFonts w:cs="Baskerville"/>
          <w:sz w:val="22"/>
          <w:szCs w:val="22"/>
        </w:rPr>
        <w:t>.</w:t>
      </w:r>
    </w:p>
    <w:p w:rsidR="004731CB" w:rsidRPr="005B7011" w:rsidRDefault="004731CB" w:rsidP="004731CB">
      <w:pPr>
        <w:jc w:val="both"/>
        <w:rPr>
          <w:rFonts w:cs="Baskerville"/>
          <w:sz w:val="22"/>
          <w:szCs w:val="22"/>
        </w:rPr>
      </w:pPr>
    </w:p>
    <w:p w:rsidR="004731CB" w:rsidRPr="005B7011" w:rsidRDefault="004731CB" w:rsidP="004731CB">
      <w:pPr>
        <w:jc w:val="both"/>
        <w:rPr>
          <w:rFonts w:cs="Baskerville"/>
          <w:sz w:val="22"/>
          <w:szCs w:val="22"/>
        </w:rPr>
      </w:pPr>
      <w:r w:rsidRPr="005B7011">
        <w:rPr>
          <w:rFonts w:cs="Baskerville"/>
          <w:sz w:val="22"/>
          <w:szCs w:val="22"/>
        </w:rPr>
        <w:t xml:space="preserve">Choosing to make a claim under s. 2(1) of the MA 1967 is thus a better option: Oxfield only needs to prove that there had been a misrepresentation to be entitled to damages unless Easybuck can show that it had reasonable grounds to believe and did believe up to the time the contract was made that its representation was true. Clearly, the letter from the council informing the latter that gambling was not permitted on the site means it cannot satisfy this condition in respect of its fraudulent misrepresentation. Although it does seem reasonable for Easybuck to believe in Martha’s professional advice about the rights of way, and it must have held that belief to be true when the contract was made, the decision in </w:t>
      </w:r>
      <w:r w:rsidRPr="005B7011">
        <w:rPr>
          <w:rFonts w:cs="Baskerville"/>
          <w:i/>
          <w:sz w:val="22"/>
          <w:szCs w:val="22"/>
        </w:rPr>
        <w:t>Howard Marine &amp; Dredging Co Ltd v A Ogden &amp; Sons (Excavations) Ltd [1978]</w:t>
      </w:r>
      <w:r w:rsidRPr="005B7011">
        <w:rPr>
          <w:rFonts w:cs="Baskerville"/>
          <w:sz w:val="22"/>
          <w:szCs w:val="22"/>
        </w:rPr>
        <w:t xml:space="preserve"> illustrates that the bar for reasonableness is set very high, such that the misrepresentor’s burden of proof will not be easily discharged. If reference in good faith to something as authoritative as the ‘Bible’ of a particular industry is not enough to be ‘reasonable’, it is unfortunate but possible that reliance on one’s solicitor may not be enough </w:t>
      </w:r>
      <w:commentRangeStart w:id="16"/>
      <w:r w:rsidRPr="005B7011">
        <w:rPr>
          <w:rFonts w:cs="Baskerville"/>
          <w:sz w:val="22"/>
          <w:szCs w:val="22"/>
        </w:rPr>
        <w:t xml:space="preserve">either. </w:t>
      </w:r>
      <w:commentRangeEnd w:id="16"/>
      <w:r w:rsidR="00407803">
        <w:rPr>
          <w:rStyle w:val="CommentReference"/>
        </w:rPr>
        <w:commentReference w:id="16"/>
      </w:r>
    </w:p>
    <w:p w:rsidR="004731CB" w:rsidRPr="005B7011" w:rsidRDefault="004731CB" w:rsidP="004731CB">
      <w:pPr>
        <w:jc w:val="both"/>
        <w:rPr>
          <w:rFonts w:cs="Baskerville"/>
          <w:sz w:val="22"/>
          <w:szCs w:val="22"/>
        </w:rPr>
      </w:pPr>
    </w:p>
    <w:p w:rsidR="004731CB" w:rsidRPr="005B7011" w:rsidRDefault="004731CB" w:rsidP="004731CB">
      <w:pPr>
        <w:jc w:val="both"/>
        <w:rPr>
          <w:rFonts w:cs="Baskerville"/>
          <w:sz w:val="22"/>
          <w:szCs w:val="22"/>
        </w:rPr>
      </w:pPr>
      <w:r w:rsidRPr="005B7011">
        <w:rPr>
          <w:rFonts w:cs="Baskerville"/>
          <w:sz w:val="22"/>
          <w:szCs w:val="22"/>
        </w:rPr>
        <w:t xml:space="preserve">The last resort for Easybuck is to point to something which can exclude their liability for misrepresentation. S. 3 of the MA 1967 holds that any term that attempts to exclude liability for non-fraudulent misrepresentations will be effective unless the party seeking to rely on it cannot show that it is reasonable within the meaning of s. 11(1) of the Unfair Contract Terms Act 1977. Does the ‘entire agreement clause’ in their contract effectively restrict claims in misrepresentation? It was held in </w:t>
      </w:r>
      <w:r w:rsidRPr="005B7011">
        <w:rPr>
          <w:rFonts w:cs="Baskerville"/>
          <w:i/>
          <w:sz w:val="22"/>
          <w:szCs w:val="22"/>
        </w:rPr>
        <w:t>AXA Sun Life Services v Campbell Martin [2011]</w:t>
      </w:r>
      <w:r w:rsidRPr="005B7011">
        <w:rPr>
          <w:rFonts w:cs="Baskerville"/>
          <w:sz w:val="22"/>
          <w:szCs w:val="22"/>
        </w:rPr>
        <w:t xml:space="preserve"> that such clauses preclude the parties from asserting the existence of collateral contracts, but do not bring it within the </w:t>
      </w:r>
      <w:commentRangeStart w:id="17"/>
      <w:r w:rsidRPr="005B7011">
        <w:rPr>
          <w:rFonts w:cs="Baskerville"/>
          <w:sz w:val="22"/>
          <w:szCs w:val="22"/>
        </w:rPr>
        <w:t xml:space="preserve">ambit of s. 3. </w:t>
      </w:r>
      <w:commentRangeEnd w:id="17"/>
      <w:r w:rsidR="00407803">
        <w:rPr>
          <w:rStyle w:val="CommentReference"/>
        </w:rPr>
        <w:commentReference w:id="17"/>
      </w:r>
      <w:r w:rsidRPr="005B7011">
        <w:rPr>
          <w:rFonts w:cs="Baskerville"/>
          <w:sz w:val="22"/>
          <w:szCs w:val="22"/>
        </w:rPr>
        <w:t>Easybuck cannot therefore avoid liability, and in addition to having the contract rescinded, will probably be ordered to pay Oxfield damages in respect of all losses which flow directly from the established misrepresentations, regardless of whether or not those losses were reasonably foreseeable (</w:t>
      </w:r>
      <w:r w:rsidRPr="005B7011">
        <w:rPr>
          <w:rFonts w:cs="Baskerville"/>
          <w:i/>
          <w:sz w:val="22"/>
          <w:szCs w:val="22"/>
        </w:rPr>
        <w:t>Doyle v Olby [1969]</w:t>
      </w:r>
      <w:r w:rsidRPr="005B7011">
        <w:rPr>
          <w:rFonts w:cs="Baskerville"/>
          <w:sz w:val="22"/>
          <w:szCs w:val="22"/>
        </w:rPr>
        <w:t>).</w:t>
      </w:r>
    </w:p>
    <w:p w:rsidR="009B0821" w:rsidRPr="000C795B" w:rsidRDefault="009B0821" w:rsidP="00556965">
      <w:pPr>
        <w:jc w:val="both"/>
        <w:rPr>
          <w:rFonts w:cs="Baskerville"/>
          <w:sz w:val="22"/>
          <w:szCs w:val="22"/>
        </w:rPr>
      </w:pPr>
    </w:p>
    <w:p w:rsidR="007502CB" w:rsidRPr="000C795B" w:rsidRDefault="007502CB" w:rsidP="00556965">
      <w:pPr>
        <w:jc w:val="both"/>
        <w:rPr>
          <w:rFonts w:cs="Baskerville"/>
          <w:b/>
          <w:sz w:val="22"/>
          <w:szCs w:val="22"/>
        </w:rPr>
      </w:pPr>
    </w:p>
    <w:p w:rsidR="000C795B" w:rsidRPr="000C795B" w:rsidRDefault="000C795B" w:rsidP="000C795B">
      <w:pPr>
        <w:jc w:val="both"/>
        <w:rPr>
          <w:rFonts w:cs="Baskerville"/>
          <w:b/>
          <w:sz w:val="22"/>
          <w:szCs w:val="22"/>
        </w:rPr>
      </w:pPr>
      <w:r w:rsidRPr="000C795B">
        <w:rPr>
          <w:b/>
          <w:sz w:val="22"/>
          <w:szCs w:val="22"/>
        </w:rPr>
        <w:lastRenderedPageBreak/>
        <w:t xml:space="preserve">Overall essay feedback: </w:t>
      </w:r>
      <w:r w:rsidRPr="000C795B">
        <w:rPr>
          <w:rFonts w:cs="Baskerville"/>
          <w:b/>
          <w:sz w:val="22"/>
          <w:szCs w:val="22"/>
        </w:rPr>
        <w:t>This is generally very good – clear, detailed, and well-supported. But sometimes you dot around the issues a little bit, and I think this might be partly because the answer is too long. You could be much more concise and focussed, and I think this would help to avoid repetition and superfluous material, and make sure that this answer gains a First Class mark.</w:t>
      </w:r>
    </w:p>
    <w:p w:rsidR="007502CB" w:rsidRPr="005B7011" w:rsidRDefault="007502CB" w:rsidP="00556965">
      <w:pPr>
        <w:jc w:val="both"/>
        <w:rPr>
          <w:rFonts w:cs="Baskerville"/>
          <w:sz w:val="22"/>
          <w:szCs w:val="22"/>
        </w:rPr>
      </w:pPr>
    </w:p>
    <w:sectPr w:rsidR="007502CB" w:rsidRPr="005B7011" w:rsidSect="002147B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uthor" w:initials="A">
    <w:p w:rsidR="005B7011" w:rsidRDefault="005B7011">
      <w:pPr>
        <w:pStyle w:val="CommentText"/>
      </w:pPr>
      <w:r>
        <w:rPr>
          <w:rStyle w:val="CommentReference"/>
        </w:rPr>
        <w:annotationRef/>
      </w:r>
      <w:r w:rsidRPr="00CF6BE4">
        <w:rPr>
          <w:rFonts w:cs="Baskerville"/>
          <w:sz w:val="22"/>
          <w:szCs w:val="22"/>
        </w:rPr>
        <w:t>Or that there has been a breach of a term of the contract?</w:t>
      </w:r>
    </w:p>
  </w:comment>
  <w:comment w:id="2" w:author="Author" w:initials="A">
    <w:p w:rsidR="005B7011" w:rsidRDefault="005B7011">
      <w:pPr>
        <w:pStyle w:val="CommentText"/>
      </w:pPr>
      <w:r>
        <w:rPr>
          <w:rStyle w:val="CommentReference"/>
        </w:rPr>
        <w:annotationRef/>
      </w:r>
      <w:r w:rsidRPr="00CF6BE4">
        <w:t>Authority?</w:t>
      </w:r>
    </w:p>
  </w:comment>
  <w:comment w:id="3" w:author="Author" w:initials="A">
    <w:p w:rsidR="005B7011" w:rsidRDefault="005B7011">
      <w:pPr>
        <w:pStyle w:val="CommentText"/>
      </w:pPr>
      <w:r>
        <w:rPr>
          <w:rStyle w:val="CommentReference"/>
        </w:rPr>
        <w:annotationRef/>
      </w:r>
      <w:r w:rsidRPr="00CF6BE4">
        <w:t>See also Attwood v Small?</w:t>
      </w:r>
    </w:p>
  </w:comment>
  <w:comment w:id="4" w:author="Author" w:initials="A">
    <w:p w:rsidR="005B7011" w:rsidRDefault="005B7011">
      <w:pPr>
        <w:pStyle w:val="CommentText"/>
      </w:pPr>
      <w:r>
        <w:rPr>
          <w:rStyle w:val="CommentReference"/>
        </w:rPr>
        <w:annotationRef/>
      </w:r>
      <w:r w:rsidRPr="00CF6BE4">
        <w:t xml:space="preserve">Worth citing the </w:t>
      </w:r>
      <w:r w:rsidRPr="00CF6BE4">
        <w:rPr>
          <w:rFonts w:cs="Baskerville"/>
          <w:i/>
          <w:sz w:val="22"/>
          <w:szCs w:val="22"/>
          <w:lang w:val="en-US"/>
        </w:rPr>
        <w:t xml:space="preserve">Spice Girls </w:t>
      </w:r>
      <w:r w:rsidRPr="00CF6BE4">
        <w:rPr>
          <w:rFonts w:cs="Baskerville"/>
          <w:sz w:val="22"/>
          <w:szCs w:val="22"/>
          <w:lang w:val="en-US"/>
        </w:rPr>
        <w:t>case too here.</w:t>
      </w:r>
    </w:p>
  </w:comment>
  <w:comment w:id="5" w:author="Author" w:initials="A">
    <w:p w:rsidR="00CB4020" w:rsidRDefault="00CB4020">
      <w:pPr>
        <w:pStyle w:val="CommentText"/>
      </w:pPr>
      <w:r>
        <w:rPr>
          <w:rStyle w:val="CommentReference"/>
        </w:rPr>
        <w:annotationRef/>
      </w:r>
      <w:r w:rsidRPr="00CF6BE4">
        <w:rPr>
          <w:rFonts w:cs="Baskerville"/>
          <w:sz w:val="22"/>
          <w:szCs w:val="22"/>
          <w:lang w:val="en-US"/>
        </w:rPr>
        <w:t xml:space="preserve">This is just repeating </w:t>
      </w:r>
      <w:r w:rsidRPr="00CF6BE4">
        <w:rPr>
          <w:rFonts w:cs="Baskerville"/>
          <w:i/>
          <w:sz w:val="22"/>
          <w:szCs w:val="22"/>
          <w:lang w:val="en-US"/>
        </w:rPr>
        <w:t xml:space="preserve">With </w:t>
      </w:r>
      <w:r w:rsidRPr="00CF6BE4">
        <w:rPr>
          <w:rFonts w:cs="Baskerville"/>
          <w:sz w:val="22"/>
          <w:szCs w:val="22"/>
          <w:lang w:val="en-US"/>
        </w:rPr>
        <w:t>isn’t it?</w:t>
      </w:r>
    </w:p>
  </w:comment>
  <w:comment w:id="6" w:author="Author" w:initials="A">
    <w:p w:rsidR="00CB4020" w:rsidRDefault="00CB4020">
      <w:pPr>
        <w:pStyle w:val="CommentText"/>
      </w:pPr>
      <w:r>
        <w:rPr>
          <w:rStyle w:val="CommentReference"/>
        </w:rPr>
        <w:annotationRef/>
      </w:r>
      <w:r w:rsidRPr="00CF6BE4">
        <w:rPr>
          <w:rFonts w:cs="Baskerville"/>
          <w:sz w:val="22"/>
          <w:szCs w:val="22"/>
          <w:lang w:val="en-US"/>
        </w:rPr>
        <w:t xml:space="preserve">But </w:t>
      </w:r>
      <w:r w:rsidRPr="00CF6BE4">
        <w:rPr>
          <w:rFonts w:cs="Baskerville"/>
          <w:i/>
          <w:sz w:val="22"/>
          <w:szCs w:val="22"/>
          <w:lang w:val="en-US"/>
        </w:rPr>
        <w:t xml:space="preserve">Spice Girls </w:t>
      </w:r>
      <w:r w:rsidRPr="00CF6BE4">
        <w:rPr>
          <w:rFonts w:cs="Baskerville"/>
          <w:sz w:val="22"/>
          <w:szCs w:val="22"/>
          <w:lang w:val="en-US"/>
        </w:rPr>
        <w:t>slightly different because they knew that Geri had already decided to leave the group.</w:t>
      </w:r>
    </w:p>
  </w:comment>
  <w:comment w:id="7" w:author="Author" w:initials="A">
    <w:p w:rsidR="00CB4020" w:rsidRDefault="00CB4020">
      <w:pPr>
        <w:pStyle w:val="CommentText"/>
      </w:pPr>
      <w:r>
        <w:rPr>
          <w:rStyle w:val="CommentReference"/>
        </w:rPr>
        <w:annotationRef/>
      </w:r>
      <w:r w:rsidRPr="00CF6BE4">
        <w:rPr>
          <w:rFonts w:cs="Baskerville"/>
          <w:sz w:val="22"/>
          <w:szCs w:val="22"/>
          <w:lang w:val="en-US"/>
        </w:rPr>
        <w:t>But which do you prefer? Why does it matter?</w:t>
      </w:r>
    </w:p>
  </w:comment>
  <w:comment w:id="8" w:author="Author" w:initials="A">
    <w:p w:rsidR="00CB4020" w:rsidRDefault="00CB4020">
      <w:pPr>
        <w:pStyle w:val="CommentText"/>
      </w:pPr>
      <w:r>
        <w:rPr>
          <w:rStyle w:val="CommentReference"/>
        </w:rPr>
        <w:annotationRef/>
      </w:r>
      <w:r w:rsidRPr="00CF6BE4">
        <w:rPr>
          <w:rFonts w:cs="Baskerville"/>
          <w:sz w:val="22"/>
          <w:szCs w:val="22"/>
          <w:lang w:val="en-US"/>
        </w:rPr>
        <w:t>The start of this section is a bit abstract – keep the facts of the problem at the forefront of your answer.</w:t>
      </w:r>
    </w:p>
  </w:comment>
  <w:comment w:id="9" w:author="Author" w:initials="A">
    <w:p w:rsidR="00CB4020" w:rsidRDefault="00CB4020">
      <w:pPr>
        <w:pStyle w:val="CommentText"/>
      </w:pPr>
      <w:r>
        <w:rPr>
          <w:rStyle w:val="CommentReference"/>
        </w:rPr>
        <w:annotationRef/>
      </w:r>
      <w:r w:rsidRPr="00CF6BE4">
        <w:rPr>
          <w:rFonts w:cs="Baskerville"/>
          <w:sz w:val="22"/>
          <w:szCs w:val="22"/>
          <w:lang w:val="en-US"/>
        </w:rPr>
        <w:t xml:space="preserve">But see recently </w:t>
      </w:r>
      <w:r w:rsidRPr="00CF6BE4">
        <w:rPr>
          <w:rFonts w:cs="Baskerville"/>
          <w:i/>
          <w:sz w:val="22"/>
          <w:szCs w:val="22"/>
          <w:lang w:val="en-US"/>
        </w:rPr>
        <w:t>Salt v Stratstone.</w:t>
      </w:r>
    </w:p>
  </w:comment>
  <w:comment w:id="10" w:author="Author" w:initials="A">
    <w:p w:rsidR="00CB4020" w:rsidRDefault="00CB4020">
      <w:pPr>
        <w:pStyle w:val="CommentText"/>
      </w:pPr>
      <w:r>
        <w:rPr>
          <w:rStyle w:val="CommentReference"/>
        </w:rPr>
        <w:annotationRef/>
      </w:r>
      <w:r w:rsidRPr="00CF6BE4">
        <w:rPr>
          <w:rFonts w:cs="Baskerville"/>
          <w:sz w:val="22"/>
          <w:szCs w:val="22"/>
          <w:lang w:val="en-US"/>
        </w:rPr>
        <w:t>This is not obviously convincing – insurance contracts have always raised particular issues.</w:t>
      </w:r>
    </w:p>
  </w:comment>
  <w:comment w:id="11" w:author="Author" w:initials="A">
    <w:p w:rsidR="00CB4020" w:rsidRPr="00CB4020" w:rsidRDefault="00CB4020">
      <w:pPr>
        <w:pStyle w:val="CommentText"/>
      </w:pPr>
      <w:r>
        <w:rPr>
          <w:rStyle w:val="CommentReference"/>
        </w:rPr>
        <w:annotationRef/>
      </w:r>
      <w:r w:rsidRPr="00CF6BE4">
        <w:rPr>
          <w:rFonts w:cs="Baskerville"/>
          <w:sz w:val="22"/>
          <w:szCs w:val="22"/>
          <w:lang w:val="en-US"/>
        </w:rPr>
        <w:t>Which you have already raised!</w:t>
      </w:r>
    </w:p>
  </w:comment>
  <w:comment w:id="12" w:author="Author" w:initials="A">
    <w:p w:rsidR="00407803" w:rsidRDefault="00407803">
      <w:pPr>
        <w:pStyle w:val="CommentText"/>
      </w:pPr>
      <w:r>
        <w:rPr>
          <w:rStyle w:val="CommentReference"/>
        </w:rPr>
        <w:annotationRef/>
      </w:r>
      <w:r w:rsidRPr="00CF6BE4">
        <w:rPr>
          <w:rFonts w:cs="Baskerville"/>
          <w:sz w:val="22"/>
          <w:szCs w:val="22"/>
        </w:rPr>
        <w:t>The key question now is whether laches has been established.</w:t>
      </w:r>
    </w:p>
  </w:comment>
  <w:comment w:id="13" w:author="Author" w:initials="A">
    <w:p w:rsidR="00407803" w:rsidRDefault="00407803">
      <w:pPr>
        <w:pStyle w:val="CommentText"/>
      </w:pPr>
      <w:r>
        <w:rPr>
          <w:rStyle w:val="CommentReference"/>
        </w:rPr>
        <w:annotationRef/>
      </w:r>
      <w:r w:rsidRPr="00CF6BE4">
        <w:rPr>
          <w:rFonts w:cs="Baskerville"/>
          <w:sz w:val="22"/>
          <w:szCs w:val="22"/>
        </w:rPr>
        <w:t xml:space="preserve">But you haven’t established that the representation is fraudulent, and indeed fraud is very difficult to establish. I think you could do more with </w:t>
      </w:r>
      <w:r w:rsidRPr="00CF6BE4">
        <w:rPr>
          <w:rFonts w:cs="Baskerville"/>
          <w:i/>
          <w:sz w:val="22"/>
          <w:szCs w:val="22"/>
        </w:rPr>
        <w:t xml:space="preserve">Williams Sindall </w:t>
      </w:r>
      <w:r w:rsidRPr="00CF6BE4">
        <w:rPr>
          <w:rFonts w:cs="Baskerville"/>
          <w:sz w:val="22"/>
          <w:szCs w:val="22"/>
        </w:rPr>
        <w:t>here.</w:t>
      </w:r>
    </w:p>
  </w:comment>
  <w:comment w:id="14" w:author="Author" w:initials="A">
    <w:p w:rsidR="00407803" w:rsidRDefault="00407803">
      <w:pPr>
        <w:pStyle w:val="CommentText"/>
      </w:pPr>
      <w:r>
        <w:rPr>
          <w:rStyle w:val="CommentReference"/>
        </w:rPr>
        <w:annotationRef/>
      </w:r>
      <w:r w:rsidRPr="00CF6BE4">
        <w:rPr>
          <w:rFonts w:cs="Baskerville"/>
          <w:sz w:val="22"/>
          <w:szCs w:val="22"/>
        </w:rPr>
        <w:t>Surely for breach of contract?!</w:t>
      </w:r>
    </w:p>
  </w:comment>
  <w:comment w:id="15" w:author="Author" w:initials="A">
    <w:p w:rsidR="00407803" w:rsidRDefault="00407803">
      <w:pPr>
        <w:pStyle w:val="CommentText"/>
      </w:pPr>
      <w:r>
        <w:rPr>
          <w:rStyle w:val="CommentReference"/>
        </w:rPr>
        <w:annotationRef/>
      </w:r>
      <w:r w:rsidRPr="00CF6BE4">
        <w:rPr>
          <w:rFonts w:cs="Baskerville"/>
          <w:sz w:val="22"/>
          <w:szCs w:val="22"/>
        </w:rPr>
        <w:t>This should have come earlier. But can’t Oxfield be relying upon both?</w:t>
      </w:r>
    </w:p>
  </w:comment>
  <w:comment w:id="16" w:author="Author" w:initials="A">
    <w:p w:rsidR="00407803" w:rsidRDefault="00407803">
      <w:pPr>
        <w:pStyle w:val="CommentText"/>
      </w:pPr>
      <w:r>
        <w:rPr>
          <w:rStyle w:val="CommentReference"/>
        </w:rPr>
        <w:annotationRef/>
      </w:r>
      <w:r w:rsidRPr="00CF6BE4">
        <w:rPr>
          <w:rFonts w:cs="Baskerville"/>
          <w:sz w:val="22"/>
          <w:szCs w:val="22"/>
        </w:rPr>
        <w:t xml:space="preserve">But what arguments might be made for distinguishing </w:t>
      </w:r>
      <w:r w:rsidRPr="00CF6BE4">
        <w:rPr>
          <w:rFonts w:cs="Baskerville"/>
          <w:i/>
          <w:sz w:val="22"/>
          <w:szCs w:val="22"/>
        </w:rPr>
        <w:t xml:space="preserve">Howard Marine </w:t>
      </w:r>
      <w:r w:rsidRPr="00CF6BE4">
        <w:rPr>
          <w:rFonts w:cs="Baskerville"/>
          <w:sz w:val="22"/>
          <w:szCs w:val="22"/>
        </w:rPr>
        <w:t>here?</w:t>
      </w:r>
    </w:p>
  </w:comment>
  <w:comment w:id="17" w:author="Author" w:initials="A">
    <w:p w:rsidR="00407803" w:rsidRDefault="00407803">
      <w:pPr>
        <w:pStyle w:val="CommentText"/>
      </w:pPr>
      <w:r>
        <w:rPr>
          <w:rStyle w:val="CommentReference"/>
        </w:rPr>
        <w:annotationRef/>
      </w:r>
      <w:r w:rsidRPr="00CF6BE4">
        <w:rPr>
          <w:rFonts w:cs="Baskerville"/>
          <w:sz w:val="22"/>
          <w:szCs w:val="22"/>
        </w:rPr>
        <w:t>It might be worth exploring this more fully.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3E4" w:rsidRDefault="009A43E4" w:rsidP="00CF6BE4">
      <w:r>
        <w:separator/>
      </w:r>
    </w:p>
  </w:endnote>
  <w:endnote w:type="continuationSeparator" w:id="1">
    <w:p w:rsidR="009A43E4" w:rsidRDefault="009A43E4" w:rsidP="00CF6B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skerville">
    <w:altName w:val="Times New Roman"/>
    <w:charset w:val="00"/>
    <w:family w:val="auto"/>
    <w:pitch w:val="variable"/>
    <w:sig w:usb0="00000000"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OUP Swift">
    <w:altName w:val="Bodoni MT"/>
    <w:charset w:val="00"/>
    <w:family w:val="auto"/>
    <w:pitch w:val="variable"/>
    <w:sig w:usb0="0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36F" w:rsidRDefault="000943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E4" w:rsidRDefault="00CF6BE4" w:rsidP="00CF6BE4">
    <w:pPr>
      <w:pStyle w:val="Footer"/>
      <w:pBdr>
        <w:top w:val="single" w:sz="4" w:space="1" w:color="808080"/>
      </w:pBdr>
      <w:jc w:val="right"/>
      <w:rPr>
        <w:rFonts w:ascii="OUP Swift" w:hAnsi="OUP Swift"/>
        <w:color w:val="808080"/>
      </w:rPr>
    </w:pPr>
    <w:r>
      <w:rPr>
        <w:rFonts w:ascii="OUP Swift" w:hAnsi="OUP Swift"/>
        <w:noProof/>
        <w:color w:val="808080"/>
        <w:lang w:val="en-US"/>
      </w:rPr>
      <w:drawing>
        <wp:inline distT="0" distB="0" distL="0" distR="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457200"/>
                  </a:xfrm>
                  <a:prstGeom prst="rect">
                    <a:avLst/>
                  </a:prstGeom>
                  <a:noFill/>
                  <a:ln>
                    <a:noFill/>
                  </a:ln>
                </pic:spPr>
              </pic:pic>
            </a:graphicData>
          </a:graphic>
        </wp:inline>
      </w:drawing>
    </w:r>
  </w:p>
  <w:p w:rsidR="00CF6BE4" w:rsidRDefault="00CF6BE4">
    <w:pPr>
      <w:pStyle w:val="Footer"/>
    </w:pPr>
    <w:r>
      <w:rPr>
        <w:rFonts w:ascii="Arial" w:hAnsi="Arial"/>
        <w:color w:val="808080"/>
      </w:rPr>
      <w:t>© Oxford University Press, 20</w:t>
    </w:r>
    <w:r w:rsidR="00ED4F2F">
      <w:rPr>
        <w:rFonts w:ascii="Arial" w:hAnsi="Arial"/>
        <w:color w:val="808080"/>
      </w:rPr>
      <w:t>21</w:t>
    </w:r>
    <w:r>
      <w:rPr>
        <w:rFonts w:ascii="Arial" w:hAnsi="Arial"/>
        <w:color w:val="80808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36F" w:rsidRDefault="000943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3E4" w:rsidRDefault="009A43E4" w:rsidP="00CF6BE4">
      <w:r>
        <w:separator/>
      </w:r>
    </w:p>
  </w:footnote>
  <w:footnote w:type="continuationSeparator" w:id="1">
    <w:p w:rsidR="009A43E4" w:rsidRDefault="009A43E4" w:rsidP="00CF6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36F" w:rsidRDefault="000943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E4" w:rsidRPr="0033422C" w:rsidRDefault="00CF6BE4" w:rsidP="00CF6BE4">
    <w:pPr>
      <w:pStyle w:val="Header"/>
      <w:pBdr>
        <w:bottom w:val="single" w:sz="4" w:space="1" w:color="808080"/>
      </w:pBdr>
      <w:jc w:val="center"/>
      <w:rPr>
        <w:rFonts w:ascii="Arial" w:hAnsi="Arial"/>
        <w:bCs/>
        <w:color w:val="808080"/>
      </w:rPr>
    </w:pPr>
    <w:r w:rsidRPr="0033422C">
      <w:rPr>
        <w:rFonts w:ascii="Arial" w:hAnsi="Arial"/>
        <w:bCs/>
        <w:color w:val="808080"/>
      </w:rPr>
      <w:t>Davies: JC Smith's The Law of Contract</w:t>
    </w:r>
  </w:p>
  <w:p w:rsidR="00CF6BE4" w:rsidRPr="00225BD0" w:rsidRDefault="00CF6BE4" w:rsidP="00CF6BE4">
    <w:pPr>
      <w:pStyle w:val="Header"/>
      <w:pBdr>
        <w:bottom w:val="single" w:sz="4" w:space="1" w:color="808080"/>
      </w:pBdr>
      <w:jc w:val="center"/>
      <w:rPr>
        <w:rFonts w:ascii="Arial" w:hAnsi="Arial"/>
        <w:color w:val="808080"/>
      </w:rPr>
    </w:pPr>
  </w:p>
  <w:p w:rsidR="00CF6BE4" w:rsidRDefault="00CF6B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36F" w:rsidRDefault="000943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5122"/>
  </w:hdrShapeDefaults>
  <w:footnotePr>
    <w:footnote w:id="0"/>
    <w:footnote w:id="1"/>
  </w:footnotePr>
  <w:endnotePr>
    <w:endnote w:id="0"/>
    <w:endnote w:id="1"/>
  </w:endnotePr>
  <w:compat/>
  <w:rsids>
    <w:rsidRoot w:val="009F4995"/>
    <w:rsid w:val="000042F6"/>
    <w:rsid w:val="00005EA6"/>
    <w:rsid w:val="000072BF"/>
    <w:rsid w:val="000106B3"/>
    <w:rsid w:val="00014383"/>
    <w:rsid w:val="00016260"/>
    <w:rsid w:val="000177BD"/>
    <w:rsid w:val="0002602D"/>
    <w:rsid w:val="0002647D"/>
    <w:rsid w:val="000277E4"/>
    <w:rsid w:val="00027CC5"/>
    <w:rsid w:val="00035A86"/>
    <w:rsid w:val="000364F2"/>
    <w:rsid w:val="00045BF3"/>
    <w:rsid w:val="00051451"/>
    <w:rsid w:val="0005320B"/>
    <w:rsid w:val="0005644A"/>
    <w:rsid w:val="00064667"/>
    <w:rsid w:val="0006611B"/>
    <w:rsid w:val="000661D5"/>
    <w:rsid w:val="000714D4"/>
    <w:rsid w:val="0007154E"/>
    <w:rsid w:val="000724B1"/>
    <w:rsid w:val="0009436F"/>
    <w:rsid w:val="0009527C"/>
    <w:rsid w:val="000A428D"/>
    <w:rsid w:val="000A522A"/>
    <w:rsid w:val="000B7B1B"/>
    <w:rsid w:val="000C795B"/>
    <w:rsid w:val="000D3465"/>
    <w:rsid w:val="000D3A05"/>
    <w:rsid w:val="000D7E93"/>
    <w:rsid w:val="000E2F37"/>
    <w:rsid w:val="000E353C"/>
    <w:rsid w:val="000E4F9A"/>
    <w:rsid w:val="000E59B4"/>
    <w:rsid w:val="000F36CE"/>
    <w:rsid w:val="000F7E44"/>
    <w:rsid w:val="00102C04"/>
    <w:rsid w:val="00103D33"/>
    <w:rsid w:val="0010614D"/>
    <w:rsid w:val="001077A4"/>
    <w:rsid w:val="001132CE"/>
    <w:rsid w:val="00115C23"/>
    <w:rsid w:val="0011682D"/>
    <w:rsid w:val="00124993"/>
    <w:rsid w:val="00130DF6"/>
    <w:rsid w:val="001320B5"/>
    <w:rsid w:val="00132AC7"/>
    <w:rsid w:val="00135038"/>
    <w:rsid w:val="00136E33"/>
    <w:rsid w:val="0013766B"/>
    <w:rsid w:val="001525C9"/>
    <w:rsid w:val="0015736A"/>
    <w:rsid w:val="00157B18"/>
    <w:rsid w:val="00162C48"/>
    <w:rsid w:val="0016303F"/>
    <w:rsid w:val="00172E77"/>
    <w:rsid w:val="0017392D"/>
    <w:rsid w:val="00174432"/>
    <w:rsid w:val="00186EE0"/>
    <w:rsid w:val="001948E6"/>
    <w:rsid w:val="00194AA4"/>
    <w:rsid w:val="00196602"/>
    <w:rsid w:val="00196C54"/>
    <w:rsid w:val="00197A3B"/>
    <w:rsid w:val="001A2EAD"/>
    <w:rsid w:val="001A3B79"/>
    <w:rsid w:val="001A6002"/>
    <w:rsid w:val="001A6B8B"/>
    <w:rsid w:val="001A7641"/>
    <w:rsid w:val="001B38EC"/>
    <w:rsid w:val="001C4C5E"/>
    <w:rsid w:val="001C746D"/>
    <w:rsid w:val="001D169C"/>
    <w:rsid w:val="001D2B7A"/>
    <w:rsid w:val="001D4A10"/>
    <w:rsid w:val="001D51A6"/>
    <w:rsid w:val="001D55EC"/>
    <w:rsid w:val="001D7317"/>
    <w:rsid w:val="001E3F89"/>
    <w:rsid w:val="001F2D95"/>
    <w:rsid w:val="001F6072"/>
    <w:rsid w:val="00200A60"/>
    <w:rsid w:val="00202F8A"/>
    <w:rsid w:val="002049C3"/>
    <w:rsid w:val="00212183"/>
    <w:rsid w:val="002147B0"/>
    <w:rsid w:val="00215B44"/>
    <w:rsid w:val="002163FC"/>
    <w:rsid w:val="002210AA"/>
    <w:rsid w:val="00222148"/>
    <w:rsid w:val="002230F3"/>
    <w:rsid w:val="00224173"/>
    <w:rsid w:val="0022738F"/>
    <w:rsid w:val="00232F22"/>
    <w:rsid w:val="00236B6F"/>
    <w:rsid w:val="00237EE1"/>
    <w:rsid w:val="00246FFE"/>
    <w:rsid w:val="00250FA7"/>
    <w:rsid w:val="0025191F"/>
    <w:rsid w:val="0026257A"/>
    <w:rsid w:val="00262656"/>
    <w:rsid w:val="00266F98"/>
    <w:rsid w:val="00267CDA"/>
    <w:rsid w:val="0027441B"/>
    <w:rsid w:val="002744C8"/>
    <w:rsid w:val="00274690"/>
    <w:rsid w:val="00287B89"/>
    <w:rsid w:val="0029020A"/>
    <w:rsid w:val="00291388"/>
    <w:rsid w:val="0029145D"/>
    <w:rsid w:val="00292A6F"/>
    <w:rsid w:val="00293F69"/>
    <w:rsid w:val="00294347"/>
    <w:rsid w:val="002A085A"/>
    <w:rsid w:val="002A22AD"/>
    <w:rsid w:val="002A2556"/>
    <w:rsid w:val="002A2679"/>
    <w:rsid w:val="002A2E15"/>
    <w:rsid w:val="002A53E9"/>
    <w:rsid w:val="002A57DE"/>
    <w:rsid w:val="002B23C6"/>
    <w:rsid w:val="002B78F8"/>
    <w:rsid w:val="002C1AF1"/>
    <w:rsid w:val="002C3A8D"/>
    <w:rsid w:val="002C402E"/>
    <w:rsid w:val="002C61A5"/>
    <w:rsid w:val="002D16C7"/>
    <w:rsid w:val="002D32A5"/>
    <w:rsid w:val="002D458A"/>
    <w:rsid w:val="002D5ABE"/>
    <w:rsid w:val="002D5FB3"/>
    <w:rsid w:val="002D6B50"/>
    <w:rsid w:val="002E118F"/>
    <w:rsid w:val="002E4B76"/>
    <w:rsid w:val="002E69C7"/>
    <w:rsid w:val="002F2BD2"/>
    <w:rsid w:val="002F3066"/>
    <w:rsid w:val="0030134A"/>
    <w:rsid w:val="003027CB"/>
    <w:rsid w:val="00302BAE"/>
    <w:rsid w:val="00302F6E"/>
    <w:rsid w:val="00303274"/>
    <w:rsid w:val="003038C4"/>
    <w:rsid w:val="003048CD"/>
    <w:rsid w:val="00305636"/>
    <w:rsid w:val="003060E4"/>
    <w:rsid w:val="00310EE5"/>
    <w:rsid w:val="00313AB6"/>
    <w:rsid w:val="003142C2"/>
    <w:rsid w:val="003218E0"/>
    <w:rsid w:val="00322239"/>
    <w:rsid w:val="00327187"/>
    <w:rsid w:val="003274A5"/>
    <w:rsid w:val="00333979"/>
    <w:rsid w:val="00334C35"/>
    <w:rsid w:val="00334F90"/>
    <w:rsid w:val="00343651"/>
    <w:rsid w:val="00344D9F"/>
    <w:rsid w:val="00347E20"/>
    <w:rsid w:val="003527C8"/>
    <w:rsid w:val="0035598B"/>
    <w:rsid w:val="00357251"/>
    <w:rsid w:val="0035784E"/>
    <w:rsid w:val="0036200B"/>
    <w:rsid w:val="00373A67"/>
    <w:rsid w:val="00377137"/>
    <w:rsid w:val="00377859"/>
    <w:rsid w:val="003851B2"/>
    <w:rsid w:val="003860C0"/>
    <w:rsid w:val="00392F49"/>
    <w:rsid w:val="00395E35"/>
    <w:rsid w:val="00396C70"/>
    <w:rsid w:val="00397B7C"/>
    <w:rsid w:val="003A0246"/>
    <w:rsid w:val="003A177F"/>
    <w:rsid w:val="003A17D7"/>
    <w:rsid w:val="003B0C55"/>
    <w:rsid w:val="003B6372"/>
    <w:rsid w:val="003C124F"/>
    <w:rsid w:val="003C155F"/>
    <w:rsid w:val="003C3E11"/>
    <w:rsid w:val="003C4634"/>
    <w:rsid w:val="003C7660"/>
    <w:rsid w:val="003D24B7"/>
    <w:rsid w:val="003D5374"/>
    <w:rsid w:val="003D75B2"/>
    <w:rsid w:val="003E1591"/>
    <w:rsid w:val="003E2DAE"/>
    <w:rsid w:val="003E3DCF"/>
    <w:rsid w:val="003F4D20"/>
    <w:rsid w:val="003F4DE6"/>
    <w:rsid w:val="003F51E3"/>
    <w:rsid w:val="003F53AB"/>
    <w:rsid w:val="004001CD"/>
    <w:rsid w:val="00404775"/>
    <w:rsid w:val="00407803"/>
    <w:rsid w:val="00412E41"/>
    <w:rsid w:val="00414046"/>
    <w:rsid w:val="0041777D"/>
    <w:rsid w:val="00420864"/>
    <w:rsid w:val="00420C69"/>
    <w:rsid w:val="004230F6"/>
    <w:rsid w:val="00423114"/>
    <w:rsid w:val="00423635"/>
    <w:rsid w:val="00427032"/>
    <w:rsid w:val="00427632"/>
    <w:rsid w:val="00427981"/>
    <w:rsid w:val="00432852"/>
    <w:rsid w:val="00435616"/>
    <w:rsid w:val="0044198B"/>
    <w:rsid w:val="00443C6D"/>
    <w:rsid w:val="00444C3E"/>
    <w:rsid w:val="004463A5"/>
    <w:rsid w:val="00447033"/>
    <w:rsid w:val="00453CCB"/>
    <w:rsid w:val="004549B3"/>
    <w:rsid w:val="00454D18"/>
    <w:rsid w:val="00455581"/>
    <w:rsid w:val="004630BC"/>
    <w:rsid w:val="00463DA2"/>
    <w:rsid w:val="00464CD8"/>
    <w:rsid w:val="0047166A"/>
    <w:rsid w:val="004717C1"/>
    <w:rsid w:val="00471C28"/>
    <w:rsid w:val="004731CB"/>
    <w:rsid w:val="0047769C"/>
    <w:rsid w:val="004839F1"/>
    <w:rsid w:val="0048413C"/>
    <w:rsid w:val="004901D3"/>
    <w:rsid w:val="004931CC"/>
    <w:rsid w:val="00493880"/>
    <w:rsid w:val="004B0EDC"/>
    <w:rsid w:val="004B585B"/>
    <w:rsid w:val="004B5B15"/>
    <w:rsid w:val="004B76CD"/>
    <w:rsid w:val="004C0365"/>
    <w:rsid w:val="004C27C3"/>
    <w:rsid w:val="004C2F84"/>
    <w:rsid w:val="004C4665"/>
    <w:rsid w:val="004C76C9"/>
    <w:rsid w:val="004D4076"/>
    <w:rsid w:val="004D4AF2"/>
    <w:rsid w:val="004D6A14"/>
    <w:rsid w:val="004D7909"/>
    <w:rsid w:val="004E15EA"/>
    <w:rsid w:val="004E1FFF"/>
    <w:rsid w:val="004E204D"/>
    <w:rsid w:val="004E411F"/>
    <w:rsid w:val="004E495C"/>
    <w:rsid w:val="004E79C9"/>
    <w:rsid w:val="004F0BF3"/>
    <w:rsid w:val="004F1CCC"/>
    <w:rsid w:val="004F3392"/>
    <w:rsid w:val="004F743D"/>
    <w:rsid w:val="00501591"/>
    <w:rsid w:val="00501C1C"/>
    <w:rsid w:val="00501DA2"/>
    <w:rsid w:val="00501EF4"/>
    <w:rsid w:val="00503667"/>
    <w:rsid w:val="00503F0B"/>
    <w:rsid w:val="0050432F"/>
    <w:rsid w:val="00510885"/>
    <w:rsid w:val="00510F90"/>
    <w:rsid w:val="00515091"/>
    <w:rsid w:val="00516F19"/>
    <w:rsid w:val="00520842"/>
    <w:rsid w:val="00520D60"/>
    <w:rsid w:val="00521003"/>
    <w:rsid w:val="0052649D"/>
    <w:rsid w:val="005267E4"/>
    <w:rsid w:val="00530859"/>
    <w:rsid w:val="00530A2B"/>
    <w:rsid w:val="0053737F"/>
    <w:rsid w:val="00544278"/>
    <w:rsid w:val="00550D2B"/>
    <w:rsid w:val="00552518"/>
    <w:rsid w:val="00553782"/>
    <w:rsid w:val="00556965"/>
    <w:rsid w:val="0055773C"/>
    <w:rsid w:val="005613A4"/>
    <w:rsid w:val="00562A77"/>
    <w:rsid w:val="00570F95"/>
    <w:rsid w:val="00575EA0"/>
    <w:rsid w:val="00575FF3"/>
    <w:rsid w:val="00584A7D"/>
    <w:rsid w:val="00586340"/>
    <w:rsid w:val="00586580"/>
    <w:rsid w:val="005879D1"/>
    <w:rsid w:val="00591563"/>
    <w:rsid w:val="0059629E"/>
    <w:rsid w:val="005A03CB"/>
    <w:rsid w:val="005A3701"/>
    <w:rsid w:val="005A3E35"/>
    <w:rsid w:val="005B13F6"/>
    <w:rsid w:val="005B20D3"/>
    <w:rsid w:val="005B378A"/>
    <w:rsid w:val="005B4719"/>
    <w:rsid w:val="005B4AB4"/>
    <w:rsid w:val="005B4F68"/>
    <w:rsid w:val="005B7011"/>
    <w:rsid w:val="005C0C2E"/>
    <w:rsid w:val="005C19D5"/>
    <w:rsid w:val="005C4048"/>
    <w:rsid w:val="005C4D3E"/>
    <w:rsid w:val="005C7C0A"/>
    <w:rsid w:val="005D36D3"/>
    <w:rsid w:val="005D64DB"/>
    <w:rsid w:val="005D6E3A"/>
    <w:rsid w:val="005E1F9D"/>
    <w:rsid w:val="005E200A"/>
    <w:rsid w:val="005F613C"/>
    <w:rsid w:val="005F65F4"/>
    <w:rsid w:val="005F67A2"/>
    <w:rsid w:val="00602282"/>
    <w:rsid w:val="00605E6F"/>
    <w:rsid w:val="006073FA"/>
    <w:rsid w:val="00613EE1"/>
    <w:rsid w:val="00615622"/>
    <w:rsid w:val="00620ABA"/>
    <w:rsid w:val="00624FA6"/>
    <w:rsid w:val="00625562"/>
    <w:rsid w:val="00631175"/>
    <w:rsid w:val="006320A9"/>
    <w:rsid w:val="00643EA9"/>
    <w:rsid w:val="006468E6"/>
    <w:rsid w:val="00653CE5"/>
    <w:rsid w:val="00653F7D"/>
    <w:rsid w:val="00656A9B"/>
    <w:rsid w:val="00656FCF"/>
    <w:rsid w:val="00660624"/>
    <w:rsid w:val="00663F15"/>
    <w:rsid w:val="00673519"/>
    <w:rsid w:val="006740A9"/>
    <w:rsid w:val="00674136"/>
    <w:rsid w:val="00675E77"/>
    <w:rsid w:val="006773A5"/>
    <w:rsid w:val="00677EB1"/>
    <w:rsid w:val="006802B1"/>
    <w:rsid w:val="00681AEA"/>
    <w:rsid w:val="00682265"/>
    <w:rsid w:val="006835DB"/>
    <w:rsid w:val="006844D4"/>
    <w:rsid w:val="0069090B"/>
    <w:rsid w:val="00693D5B"/>
    <w:rsid w:val="006A03CB"/>
    <w:rsid w:val="006A1104"/>
    <w:rsid w:val="006A29E0"/>
    <w:rsid w:val="006A42BF"/>
    <w:rsid w:val="006A4E30"/>
    <w:rsid w:val="006A563C"/>
    <w:rsid w:val="006A6A6E"/>
    <w:rsid w:val="006A7F9E"/>
    <w:rsid w:val="006B2255"/>
    <w:rsid w:val="006B2725"/>
    <w:rsid w:val="006B32F0"/>
    <w:rsid w:val="006B4226"/>
    <w:rsid w:val="006C2EC6"/>
    <w:rsid w:val="006C4635"/>
    <w:rsid w:val="006C5BAE"/>
    <w:rsid w:val="006E0F78"/>
    <w:rsid w:val="006E2AAD"/>
    <w:rsid w:val="006E6AE0"/>
    <w:rsid w:val="006F19CF"/>
    <w:rsid w:val="006F22EA"/>
    <w:rsid w:val="006F35BA"/>
    <w:rsid w:val="006F55AA"/>
    <w:rsid w:val="006F69B0"/>
    <w:rsid w:val="0070076D"/>
    <w:rsid w:val="00701557"/>
    <w:rsid w:val="007018CE"/>
    <w:rsid w:val="0070262D"/>
    <w:rsid w:val="00703C4A"/>
    <w:rsid w:val="00704415"/>
    <w:rsid w:val="007119FD"/>
    <w:rsid w:val="0071230E"/>
    <w:rsid w:val="007124FF"/>
    <w:rsid w:val="00715E9F"/>
    <w:rsid w:val="00721727"/>
    <w:rsid w:val="007220A6"/>
    <w:rsid w:val="00724B67"/>
    <w:rsid w:val="007267BD"/>
    <w:rsid w:val="007319CD"/>
    <w:rsid w:val="0074775C"/>
    <w:rsid w:val="007502CB"/>
    <w:rsid w:val="00751167"/>
    <w:rsid w:val="007512F4"/>
    <w:rsid w:val="007525A8"/>
    <w:rsid w:val="007542FF"/>
    <w:rsid w:val="007607F2"/>
    <w:rsid w:val="00766C16"/>
    <w:rsid w:val="007674AA"/>
    <w:rsid w:val="00767B2B"/>
    <w:rsid w:val="00767C94"/>
    <w:rsid w:val="0077114F"/>
    <w:rsid w:val="00774F77"/>
    <w:rsid w:val="00774FA3"/>
    <w:rsid w:val="00777197"/>
    <w:rsid w:val="00780680"/>
    <w:rsid w:val="00781BE3"/>
    <w:rsid w:val="00783D19"/>
    <w:rsid w:val="007879DF"/>
    <w:rsid w:val="0079427F"/>
    <w:rsid w:val="00795531"/>
    <w:rsid w:val="00796FFA"/>
    <w:rsid w:val="007A01D8"/>
    <w:rsid w:val="007A2DCB"/>
    <w:rsid w:val="007A6EC4"/>
    <w:rsid w:val="007A76AE"/>
    <w:rsid w:val="007B0D46"/>
    <w:rsid w:val="007B1396"/>
    <w:rsid w:val="007B1E0D"/>
    <w:rsid w:val="007B3E4E"/>
    <w:rsid w:val="007B62F3"/>
    <w:rsid w:val="007B7F1D"/>
    <w:rsid w:val="007C32E7"/>
    <w:rsid w:val="007C5EB5"/>
    <w:rsid w:val="007C643F"/>
    <w:rsid w:val="007D58A5"/>
    <w:rsid w:val="007E005F"/>
    <w:rsid w:val="007E0F0E"/>
    <w:rsid w:val="007F0A79"/>
    <w:rsid w:val="007F0AD0"/>
    <w:rsid w:val="007F2AC0"/>
    <w:rsid w:val="007F36B7"/>
    <w:rsid w:val="007F3996"/>
    <w:rsid w:val="007F4178"/>
    <w:rsid w:val="007F7EAE"/>
    <w:rsid w:val="0080475F"/>
    <w:rsid w:val="008116BA"/>
    <w:rsid w:val="00813AC5"/>
    <w:rsid w:val="00816141"/>
    <w:rsid w:val="00817864"/>
    <w:rsid w:val="008225D9"/>
    <w:rsid w:val="00823515"/>
    <w:rsid w:val="008238DE"/>
    <w:rsid w:val="00823F98"/>
    <w:rsid w:val="008311D8"/>
    <w:rsid w:val="00833210"/>
    <w:rsid w:val="00834D6A"/>
    <w:rsid w:val="00841892"/>
    <w:rsid w:val="008443CF"/>
    <w:rsid w:val="0084787D"/>
    <w:rsid w:val="00850F73"/>
    <w:rsid w:val="0085136B"/>
    <w:rsid w:val="008546FF"/>
    <w:rsid w:val="00856325"/>
    <w:rsid w:val="00861166"/>
    <w:rsid w:val="008638B4"/>
    <w:rsid w:val="00863B31"/>
    <w:rsid w:val="008749DF"/>
    <w:rsid w:val="00875D2E"/>
    <w:rsid w:val="0088005F"/>
    <w:rsid w:val="00882BC4"/>
    <w:rsid w:val="00882F29"/>
    <w:rsid w:val="00885F38"/>
    <w:rsid w:val="00886973"/>
    <w:rsid w:val="008878C0"/>
    <w:rsid w:val="00892494"/>
    <w:rsid w:val="0089331A"/>
    <w:rsid w:val="00897ADF"/>
    <w:rsid w:val="008A1C9B"/>
    <w:rsid w:val="008A4099"/>
    <w:rsid w:val="008A4E01"/>
    <w:rsid w:val="008A63A5"/>
    <w:rsid w:val="008A7426"/>
    <w:rsid w:val="008A745C"/>
    <w:rsid w:val="008B1466"/>
    <w:rsid w:val="008B42E0"/>
    <w:rsid w:val="008B464E"/>
    <w:rsid w:val="008B47ED"/>
    <w:rsid w:val="008B542A"/>
    <w:rsid w:val="008B5AA5"/>
    <w:rsid w:val="008C0FFD"/>
    <w:rsid w:val="008C48CF"/>
    <w:rsid w:val="008D02C7"/>
    <w:rsid w:val="008D0B1A"/>
    <w:rsid w:val="008D1387"/>
    <w:rsid w:val="008D2C5B"/>
    <w:rsid w:val="008D2DA4"/>
    <w:rsid w:val="008D339C"/>
    <w:rsid w:val="008D4508"/>
    <w:rsid w:val="008D5001"/>
    <w:rsid w:val="008E123A"/>
    <w:rsid w:val="008E3A5D"/>
    <w:rsid w:val="008E5DC9"/>
    <w:rsid w:val="008E6B39"/>
    <w:rsid w:val="008F2AC0"/>
    <w:rsid w:val="008F328F"/>
    <w:rsid w:val="008F43C0"/>
    <w:rsid w:val="008F50AD"/>
    <w:rsid w:val="008F632F"/>
    <w:rsid w:val="00901821"/>
    <w:rsid w:val="009048B3"/>
    <w:rsid w:val="009126AF"/>
    <w:rsid w:val="00924C4F"/>
    <w:rsid w:val="00925004"/>
    <w:rsid w:val="00925136"/>
    <w:rsid w:val="00935D6D"/>
    <w:rsid w:val="00936438"/>
    <w:rsid w:val="00936B5E"/>
    <w:rsid w:val="00940398"/>
    <w:rsid w:val="009404B5"/>
    <w:rsid w:val="009404B8"/>
    <w:rsid w:val="00943506"/>
    <w:rsid w:val="00943CC2"/>
    <w:rsid w:val="00953D95"/>
    <w:rsid w:val="0096251B"/>
    <w:rsid w:val="009634F2"/>
    <w:rsid w:val="0096480E"/>
    <w:rsid w:val="00966814"/>
    <w:rsid w:val="00966AAA"/>
    <w:rsid w:val="00972751"/>
    <w:rsid w:val="00973ECF"/>
    <w:rsid w:val="009825B6"/>
    <w:rsid w:val="00983B9F"/>
    <w:rsid w:val="00987B9E"/>
    <w:rsid w:val="00990065"/>
    <w:rsid w:val="009921D2"/>
    <w:rsid w:val="00995D56"/>
    <w:rsid w:val="00997F8D"/>
    <w:rsid w:val="009A43E4"/>
    <w:rsid w:val="009A495D"/>
    <w:rsid w:val="009B0821"/>
    <w:rsid w:val="009B0DC7"/>
    <w:rsid w:val="009B5BDC"/>
    <w:rsid w:val="009C0D6F"/>
    <w:rsid w:val="009C3131"/>
    <w:rsid w:val="009D636B"/>
    <w:rsid w:val="009D7238"/>
    <w:rsid w:val="009D7291"/>
    <w:rsid w:val="009E50DA"/>
    <w:rsid w:val="009E5229"/>
    <w:rsid w:val="009F0018"/>
    <w:rsid w:val="009F1936"/>
    <w:rsid w:val="009F3A7E"/>
    <w:rsid w:val="009F4995"/>
    <w:rsid w:val="009F5F32"/>
    <w:rsid w:val="00A01A54"/>
    <w:rsid w:val="00A030C0"/>
    <w:rsid w:val="00A03973"/>
    <w:rsid w:val="00A05C91"/>
    <w:rsid w:val="00A06124"/>
    <w:rsid w:val="00A0634F"/>
    <w:rsid w:val="00A105AA"/>
    <w:rsid w:val="00A1491C"/>
    <w:rsid w:val="00A15841"/>
    <w:rsid w:val="00A16A3F"/>
    <w:rsid w:val="00A20812"/>
    <w:rsid w:val="00A22225"/>
    <w:rsid w:val="00A224EB"/>
    <w:rsid w:val="00A2320C"/>
    <w:rsid w:val="00A26D4F"/>
    <w:rsid w:val="00A329E1"/>
    <w:rsid w:val="00A34963"/>
    <w:rsid w:val="00A43737"/>
    <w:rsid w:val="00A45E2E"/>
    <w:rsid w:val="00A513EE"/>
    <w:rsid w:val="00A51BB9"/>
    <w:rsid w:val="00A54CC1"/>
    <w:rsid w:val="00A55B08"/>
    <w:rsid w:val="00A65BA9"/>
    <w:rsid w:val="00A704C3"/>
    <w:rsid w:val="00A70A7B"/>
    <w:rsid w:val="00A715F9"/>
    <w:rsid w:val="00A722D5"/>
    <w:rsid w:val="00A7557F"/>
    <w:rsid w:val="00A75B3C"/>
    <w:rsid w:val="00A80813"/>
    <w:rsid w:val="00A84AD3"/>
    <w:rsid w:val="00A84E4B"/>
    <w:rsid w:val="00A86B54"/>
    <w:rsid w:val="00A91038"/>
    <w:rsid w:val="00A9296B"/>
    <w:rsid w:val="00A9314C"/>
    <w:rsid w:val="00A9453F"/>
    <w:rsid w:val="00AA09B7"/>
    <w:rsid w:val="00AA2584"/>
    <w:rsid w:val="00AA2FB2"/>
    <w:rsid w:val="00AA5002"/>
    <w:rsid w:val="00AA7F49"/>
    <w:rsid w:val="00AB04CF"/>
    <w:rsid w:val="00AB1945"/>
    <w:rsid w:val="00AB1C80"/>
    <w:rsid w:val="00AB67DE"/>
    <w:rsid w:val="00AC396A"/>
    <w:rsid w:val="00AC4D7D"/>
    <w:rsid w:val="00AC66B6"/>
    <w:rsid w:val="00AC6717"/>
    <w:rsid w:val="00AD2DA6"/>
    <w:rsid w:val="00AD44F7"/>
    <w:rsid w:val="00AD78FF"/>
    <w:rsid w:val="00AE197F"/>
    <w:rsid w:val="00AE374E"/>
    <w:rsid w:val="00AE63C2"/>
    <w:rsid w:val="00AF0028"/>
    <w:rsid w:val="00AF1325"/>
    <w:rsid w:val="00AF2FB1"/>
    <w:rsid w:val="00AF5E80"/>
    <w:rsid w:val="00AF673E"/>
    <w:rsid w:val="00B01579"/>
    <w:rsid w:val="00B026C5"/>
    <w:rsid w:val="00B04740"/>
    <w:rsid w:val="00B25F4A"/>
    <w:rsid w:val="00B26573"/>
    <w:rsid w:val="00B26EE0"/>
    <w:rsid w:val="00B3150E"/>
    <w:rsid w:val="00B359CF"/>
    <w:rsid w:val="00B364B0"/>
    <w:rsid w:val="00B43B01"/>
    <w:rsid w:val="00B46713"/>
    <w:rsid w:val="00B47F97"/>
    <w:rsid w:val="00B50C71"/>
    <w:rsid w:val="00B54D9A"/>
    <w:rsid w:val="00B55806"/>
    <w:rsid w:val="00B62079"/>
    <w:rsid w:val="00B62C0C"/>
    <w:rsid w:val="00B76004"/>
    <w:rsid w:val="00B77386"/>
    <w:rsid w:val="00B7757F"/>
    <w:rsid w:val="00B84FED"/>
    <w:rsid w:val="00B86B1A"/>
    <w:rsid w:val="00B90624"/>
    <w:rsid w:val="00B94089"/>
    <w:rsid w:val="00B943CA"/>
    <w:rsid w:val="00B96725"/>
    <w:rsid w:val="00BA34F1"/>
    <w:rsid w:val="00BA532C"/>
    <w:rsid w:val="00BA70DF"/>
    <w:rsid w:val="00BB23EF"/>
    <w:rsid w:val="00BB2781"/>
    <w:rsid w:val="00BC0CE7"/>
    <w:rsid w:val="00BC7D6F"/>
    <w:rsid w:val="00BE5E13"/>
    <w:rsid w:val="00BF1E60"/>
    <w:rsid w:val="00C00F31"/>
    <w:rsid w:val="00C01A4D"/>
    <w:rsid w:val="00C156F4"/>
    <w:rsid w:val="00C1584B"/>
    <w:rsid w:val="00C15A67"/>
    <w:rsid w:val="00C17A5A"/>
    <w:rsid w:val="00C251BA"/>
    <w:rsid w:val="00C25500"/>
    <w:rsid w:val="00C25537"/>
    <w:rsid w:val="00C34DA9"/>
    <w:rsid w:val="00C4441B"/>
    <w:rsid w:val="00C46D23"/>
    <w:rsid w:val="00C531A0"/>
    <w:rsid w:val="00C538BF"/>
    <w:rsid w:val="00C53BE0"/>
    <w:rsid w:val="00C57017"/>
    <w:rsid w:val="00C635C6"/>
    <w:rsid w:val="00C64C98"/>
    <w:rsid w:val="00C651BE"/>
    <w:rsid w:val="00C7773C"/>
    <w:rsid w:val="00C77821"/>
    <w:rsid w:val="00C77CB5"/>
    <w:rsid w:val="00C87418"/>
    <w:rsid w:val="00C915E3"/>
    <w:rsid w:val="00C91FDF"/>
    <w:rsid w:val="00C934E1"/>
    <w:rsid w:val="00CA0B46"/>
    <w:rsid w:val="00CA1529"/>
    <w:rsid w:val="00CA3657"/>
    <w:rsid w:val="00CA4C05"/>
    <w:rsid w:val="00CA6195"/>
    <w:rsid w:val="00CA65A1"/>
    <w:rsid w:val="00CB0AE1"/>
    <w:rsid w:val="00CB4020"/>
    <w:rsid w:val="00CB41E6"/>
    <w:rsid w:val="00CB6DBE"/>
    <w:rsid w:val="00CC113E"/>
    <w:rsid w:val="00CC50DD"/>
    <w:rsid w:val="00CC7F0A"/>
    <w:rsid w:val="00CD0BCA"/>
    <w:rsid w:val="00CD1AD8"/>
    <w:rsid w:val="00CD23B2"/>
    <w:rsid w:val="00CD24C8"/>
    <w:rsid w:val="00CD69C8"/>
    <w:rsid w:val="00CD7E6D"/>
    <w:rsid w:val="00CE0724"/>
    <w:rsid w:val="00CE0F64"/>
    <w:rsid w:val="00CE2982"/>
    <w:rsid w:val="00CE6C42"/>
    <w:rsid w:val="00CF388A"/>
    <w:rsid w:val="00CF448C"/>
    <w:rsid w:val="00CF4A0D"/>
    <w:rsid w:val="00CF4B89"/>
    <w:rsid w:val="00CF6BE4"/>
    <w:rsid w:val="00D02975"/>
    <w:rsid w:val="00D06827"/>
    <w:rsid w:val="00D0715A"/>
    <w:rsid w:val="00D14BDB"/>
    <w:rsid w:val="00D200A7"/>
    <w:rsid w:val="00D2398E"/>
    <w:rsid w:val="00D24B14"/>
    <w:rsid w:val="00D27D49"/>
    <w:rsid w:val="00D316F8"/>
    <w:rsid w:val="00D31E22"/>
    <w:rsid w:val="00D352B8"/>
    <w:rsid w:val="00D37174"/>
    <w:rsid w:val="00D41A8A"/>
    <w:rsid w:val="00D52087"/>
    <w:rsid w:val="00D60272"/>
    <w:rsid w:val="00D609A3"/>
    <w:rsid w:val="00D62BE9"/>
    <w:rsid w:val="00D71629"/>
    <w:rsid w:val="00D71978"/>
    <w:rsid w:val="00D748DC"/>
    <w:rsid w:val="00D74C7A"/>
    <w:rsid w:val="00D80150"/>
    <w:rsid w:val="00D80D86"/>
    <w:rsid w:val="00D819CF"/>
    <w:rsid w:val="00D83EEB"/>
    <w:rsid w:val="00D90B14"/>
    <w:rsid w:val="00D932BA"/>
    <w:rsid w:val="00DA3C48"/>
    <w:rsid w:val="00DA770E"/>
    <w:rsid w:val="00DB0DB1"/>
    <w:rsid w:val="00DB2331"/>
    <w:rsid w:val="00DB5710"/>
    <w:rsid w:val="00DB6705"/>
    <w:rsid w:val="00DC07B8"/>
    <w:rsid w:val="00DC2275"/>
    <w:rsid w:val="00DC7056"/>
    <w:rsid w:val="00DC7501"/>
    <w:rsid w:val="00DD443A"/>
    <w:rsid w:val="00DD6959"/>
    <w:rsid w:val="00DE2361"/>
    <w:rsid w:val="00DF0426"/>
    <w:rsid w:val="00DF5EE2"/>
    <w:rsid w:val="00DF60F2"/>
    <w:rsid w:val="00DF6A83"/>
    <w:rsid w:val="00E026ED"/>
    <w:rsid w:val="00E129D4"/>
    <w:rsid w:val="00E12CFF"/>
    <w:rsid w:val="00E142F8"/>
    <w:rsid w:val="00E1437B"/>
    <w:rsid w:val="00E17807"/>
    <w:rsid w:val="00E20A5C"/>
    <w:rsid w:val="00E21BED"/>
    <w:rsid w:val="00E2315F"/>
    <w:rsid w:val="00E30576"/>
    <w:rsid w:val="00E314C1"/>
    <w:rsid w:val="00E3306D"/>
    <w:rsid w:val="00E33803"/>
    <w:rsid w:val="00E33C22"/>
    <w:rsid w:val="00E341A7"/>
    <w:rsid w:val="00E34835"/>
    <w:rsid w:val="00E36744"/>
    <w:rsid w:val="00E40E6E"/>
    <w:rsid w:val="00E50777"/>
    <w:rsid w:val="00E54488"/>
    <w:rsid w:val="00E54E60"/>
    <w:rsid w:val="00E57A18"/>
    <w:rsid w:val="00E62817"/>
    <w:rsid w:val="00E63FAB"/>
    <w:rsid w:val="00E64582"/>
    <w:rsid w:val="00E719D1"/>
    <w:rsid w:val="00E74FB3"/>
    <w:rsid w:val="00E77847"/>
    <w:rsid w:val="00E84C4D"/>
    <w:rsid w:val="00E85CFA"/>
    <w:rsid w:val="00E9030F"/>
    <w:rsid w:val="00E90C78"/>
    <w:rsid w:val="00E91961"/>
    <w:rsid w:val="00E959AA"/>
    <w:rsid w:val="00E96BA4"/>
    <w:rsid w:val="00E96E05"/>
    <w:rsid w:val="00EA6D75"/>
    <w:rsid w:val="00EB096D"/>
    <w:rsid w:val="00EB37E4"/>
    <w:rsid w:val="00EB7E82"/>
    <w:rsid w:val="00EC5CC7"/>
    <w:rsid w:val="00EC67DA"/>
    <w:rsid w:val="00EC6BEA"/>
    <w:rsid w:val="00ED0EF7"/>
    <w:rsid w:val="00ED4F2F"/>
    <w:rsid w:val="00ED7ADB"/>
    <w:rsid w:val="00EE062D"/>
    <w:rsid w:val="00EF2C56"/>
    <w:rsid w:val="00EF3BAE"/>
    <w:rsid w:val="00EF5FDA"/>
    <w:rsid w:val="00EF7330"/>
    <w:rsid w:val="00F01711"/>
    <w:rsid w:val="00F04486"/>
    <w:rsid w:val="00F0455C"/>
    <w:rsid w:val="00F10FD7"/>
    <w:rsid w:val="00F1388F"/>
    <w:rsid w:val="00F156A4"/>
    <w:rsid w:val="00F16B63"/>
    <w:rsid w:val="00F17F51"/>
    <w:rsid w:val="00F228B2"/>
    <w:rsid w:val="00F25558"/>
    <w:rsid w:val="00F25B24"/>
    <w:rsid w:val="00F263A8"/>
    <w:rsid w:val="00F378B1"/>
    <w:rsid w:val="00F50A45"/>
    <w:rsid w:val="00F53ACA"/>
    <w:rsid w:val="00F567C9"/>
    <w:rsid w:val="00F568D1"/>
    <w:rsid w:val="00F56C14"/>
    <w:rsid w:val="00F60BE3"/>
    <w:rsid w:val="00F62B3C"/>
    <w:rsid w:val="00F63222"/>
    <w:rsid w:val="00F74318"/>
    <w:rsid w:val="00F7737D"/>
    <w:rsid w:val="00F843BC"/>
    <w:rsid w:val="00F8601E"/>
    <w:rsid w:val="00F86C89"/>
    <w:rsid w:val="00F87004"/>
    <w:rsid w:val="00F879DD"/>
    <w:rsid w:val="00F91634"/>
    <w:rsid w:val="00F91790"/>
    <w:rsid w:val="00F96168"/>
    <w:rsid w:val="00F9673F"/>
    <w:rsid w:val="00FA0401"/>
    <w:rsid w:val="00FA1931"/>
    <w:rsid w:val="00FA3EE3"/>
    <w:rsid w:val="00FA5FBB"/>
    <w:rsid w:val="00FB03C8"/>
    <w:rsid w:val="00FB0588"/>
    <w:rsid w:val="00FB07F0"/>
    <w:rsid w:val="00FB24C3"/>
    <w:rsid w:val="00FB32FB"/>
    <w:rsid w:val="00FB662F"/>
    <w:rsid w:val="00FD15CF"/>
    <w:rsid w:val="00FD1DEF"/>
    <w:rsid w:val="00FD20F0"/>
    <w:rsid w:val="00FD58EA"/>
    <w:rsid w:val="00FE250E"/>
    <w:rsid w:val="00FE3940"/>
    <w:rsid w:val="00FE3E98"/>
    <w:rsid w:val="00FE4EA0"/>
    <w:rsid w:val="00FE5270"/>
    <w:rsid w:val="00FF18A0"/>
    <w:rsid w:val="00FF1C18"/>
    <w:rsid w:val="00FF37CB"/>
    <w:rsid w:val="00FF4FCF"/>
    <w:rsid w:val="00FF7B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7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F90"/>
    <w:rPr>
      <w:rFonts w:ascii="Tahoma" w:hAnsi="Tahoma" w:cs="Tahoma"/>
      <w:sz w:val="16"/>
      <w:szCs w:val="16"/>
    </w:rPr>
  </w:style>
  <w:style w:type="character" w:customStyle="1" w:styleId="BalloonTextChar">
    <w:name w:val="Balloon Text Char"/>
    <w:basedOn w:val="DefaultParagraphFont"/>
    <w:link w:val="BalloonText"/>
    <w:uiPriority w:val="99"/>
    <w:semiHidden/>
    <w:rsid w:val="00510F90"/>
    <w:rPr>
      <w:rFonts w:ascii="Tahoma" w:hAnsi="Tahoma" w:cs="Tahoma"/>
      <w:sz w:val="16"/>
      <w:szCs w:val="16"/>
    </w:rPr>
  </w:style>
  <w:style w:type="character" w:styleId="CommentReference">
    <w:name w:val="annotation reference"/>
    <w:basedOn w:val="DefaultParagraphFont"/>
    <w:uiPriority w:val="99"/>
    <w:semiHidden/>
    <w:unhideWhenUsed/>
    <w:rsid w:val="005B7011"/>
    <w:rPr>
      <w:sz w:val="16"/>
      <w:szCs w:val="16"/>
    </w:rPr>
  </w:style>
  <w:style w:type="paragraph" w:styleId="CommentText">
    <w:name w:val="annotation text"/>
    <w:basedOn w:val="Normal"/>
    <w:link w:val="CommentTextChar"/>
    <w:uiPriority w:val="99"/>
    <w:semiHidden/>
    <w:unhideWhenUsed/>
    <w:rsid w:val="005B7011"/>
    <w:rPr>
      <w:sz w:val="20"/>
      <w:szCs w:val="20"/>
    </w:rPr>
  </w:style>
  <w:style w:type="character" w:customStyle="1" w:styleId="CommentTextChar">
    <w:name w:val="Comment Text Char"/>
    <w:basedOn w:val="DefaultParagraphFont"/>
    <w:link w:val="CommentText"/>
    <w:uiPriority w:val="99"/>
    <w:semiHidden/>
    <w:rsid w:val="005B7011"/>
    <w:rPr>
      <w:sz w:val="20"/>
      <w:szCs w:val="20"/>
    </w:rPr>
  </w:style>
  <w:style w:type="paragraph" w:styleId="CommentSubject">
    <w:name w:val="annotation subject"/>
    <w:basedOn w:val="CommentText"/>
    <w:next w:val="CommentText"/>
    <w:link w:val="CommentSubjectChar"/>
    <w:uiPriority w:val="99"/>
    <w:semiHidden/>
    <w:unhideWhenUsed/>
    <w:rsid w:val="005B7011"/>
    <w:rPr>
      <w:b/>
      <w:bCs/>
    </w:rPr>
  </w:style>
  <w:style w:type="character" w:customStyle="1" w:styleId="CommentSubjectChar">
    <w:name w:val="Comment Subject Char"/>
    <w:basedOn w:val="CommentTextChar"/>
    <w:link w:val="CommentSubject"/>
    <w:uiPriority w:val="99"/>
    <w:semiHidden/>
    <w:rsid w:val="005B7011"/>
    <w:rPr>
      <w:b/>
      <w:bCs/>
      <w:sz w:val="20"/>
      <w:szCs w:val="20"/>
    </w:rPr>
  </w:style>
  <w:style w:type="paragraph" w:styleId="Header">
    <w:name w:val="header"/>
    <w:basedOn w:val="Normal"/>
    <w:link w:val="HeaderChar"/>
    <w:unhideWhenUsed/>
    <w:rsid w:val="00CF6BE4"/>
    <w:pPr>
      <w:tabs>
        <w:tab w:val="center" w:pos="4513"/>
        <w:tab w:val="right" w:pos="9026"/>
      </w:tabs>
    </w:pPr>
  </w:style>
  <w:style w:type="character" w:customStyle="1" w:styleId="HeaderChar">
    <w:name w:val="Header Char"/>
    <w:basedOn w:val="DefaultParagraphFont"/>
    <w:link w:val="Header"/>
    <w:uiPriority w:val="99"/>
    <w:rsid w:val="00CF6BE4"/>
  </w:style>
  <w:style w:type="paragraph" w:styleId="Footer">
    <w:name w:val="footer"/>
    <w:basedOn w:val="Normal"/>
    <w:link w:val="FooterChar"/>
    <w:unhideWhenUsed/>
    <w:rsid w:val="00CF6BE4"/>
    <w:pPr>
      <w:tabs>
        <w:tab w:val="center" w:pos="4513"/>
        <w:tab w:val="right" w:pos="9026"/>
      </w:tabs>
    </w:pPr>
  </w:style>
  <w:style w:type="character" w:customStyle="1" w:styleId="FooterChar">
    <w:name w:val="Footer Char"/>
    <w:basedOn w:val="DefaultParagraphFont"/>
    <w:link w:val="Footer"/>
    <w:uiPriority w:val="99"/>
    <w:rsid w:val="00CF6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F90"/>
    <w:rPr>
      <w:rFonts w:ascii="Tahoma" w:hAnsi="Tahoma" w:cs="Tahoma"/>
      <w:sz w:val="16"/>
      <w:szCs w:val="16"/>
    </w:rPr>
  </w:style>
  <w:style w:type="character" w:customStyle="1" w:styleId="BalloonTextChar">
    <w:name w:val="Balloon Text Char"/>
    <w:basedOn w:val="DefaultParagraphFont"/>
    <w:link w:val="BalloonText"/>
    <w:uiPriority w:val="99"/>
    <w:semiHidden/>
    <w:rsid w:val="00510F90"/>
    <w:rPr>
      <w:rFonts w:ascii="Tahoma" w:hAnsi="Tahoma" w:cs="Tahoma"/>
      <w:sz w:val="16"/>
      <w:szCs w:val="16"/>
    </w:rPr>
  </w:style>
  <w:style w:type="character" w:styleId="CommentReference">
    <w:name w:val="annotation reference"/>
    <w:basedOn w:val="DefaultParagraphFont"/>
    <w:uiPriority w:val="99"/>
    <w:semiHidden/>
    <w:unhideWhenUsed/>
    <w:rsid w:val="005B7011"/>
    <w:rPr>
      <w:sz w:val="16"/>
      <w:szCs w:val="16"/>
    </w:rPr>
  </w:style>
  <w:style w:type="paragraph" w:styleId="CommentText">
    <w:name w:val="annotation text"/>
    <w:basedOn w:val="Normal"/>
    <w:link w:val="CommentTextChar"/>
    <w:uiPriority w:val="99"/>
    <w:semiHidden/>
    <w:unhideWhenUsed/>
    <w:rsid w:val="005B7011"/>
    <w:rPr>
      <w:sz w:val="20"/>
      <w:szCs w:val="20"/>
    </w:rPr>
  </w:style>
  <w:style w:type="character" w:customStyle="1" w:styleId="CommentTextChar">
    <w:name w:val="Comment Text Char"/>
    <w:basedOn w:val="DefaultParagraphFont"/>
    <w:link w:val="CommentText"/>
    <w:uiPriority w:val="99"/>
    <w:semiHidden/>
    <w:rsid w:val="005B7011"/>
    <w:rPr>
      <w:sz w:val="20"/>
      <w:szCs w:val="20"/>
    </w:rPr>
  </w:style>
  <w:style w:type="paragraph" w:styleId="CommentSubject">
    <w:name w:val="annotation subject"/>
    <w:basedOn w:val="CommentText"/>
    <w:next w:val="CommentText"/>
    <w:link w:val="CommentSubjectChar"/>
    <w:uiPriority w:val="99"/>
    <w:semiHidden/>
    <w:unhideWhenUsed/>
    <w:rsid w:val="005B7011"/>
    <w:rPr>
      <w:b/>
      <w:bCs/>
    </w:rPr>
  </w:style>
  <w:style w:type="character" w:customStyle="1" w:styleId="CommentSubjectChar">
    <w:name w:val="Comment Subject Char"/>
    <w:basedOn w:val="CommentTextChar"/>
    <w:link w:val="CommentSubject"/>
    <w:uiPriority w:val="99"/>
    <w:semiHidden/>
    <w:rsid w:val="005B7011"/>
    <w:rPr>
      <w:b/>
      <w:bCs/>
      <w:sz w:val="20"/>
      <w:szCs w:val="20"/>
    </w:rPr>
  </w:style>
  <w:style w:type="paragraph" w:styleId="Header">
    <w:name w:val="header"/>
    <w:basedOn w:val="Normal"/>
    <w:link w:val="HeaderChar"/>
    <w:unhideWhenUsed/>
    <w:rsid w:val="00CF6BE4"/>
    <w:pPr>
      <w:tabs>
        <w:tab w:val="center" w:pos="4513"/>
        <w:tab w:val="right" w:pos="9026"/>
      </w:tabs>
    </w:pPr>
  </w:style>
  <w:style w:type="character" w:customStyle="1" w:styleId="HeaderChar">
    <w:name w:val="Header Char"/>
    <w:basedOn w:val="DefaultParagraphFont"/>
    <w:link w:val="Header"/>
    <w:uiPriority w:val="99"/>
    <w:rsid w:val="00CF6BE4"/>
  </w:style>
  <w:style w:type="paragraph" w:styleId="Footer">
    <w:name w:val="footer"/>
    <w:basedOn w:val="Normal"/>
    <w:link w:val="FooterChar"/>
    <w:unhideWhenUsed/>
    <w:rsid w:val="00CF6BE4"/>
    <w:pPr>
      <w:tabs>
        <w:tab w:val="center" w:pos="4513"/>
        <w:tab w:val="right" w:pos="9026"/>
      </w:tabs>
    </w:pPr>
  </w:style>
  <w:style w:type="character" w:customStyle="1" w:styleId="FooterChar">
    <w:name w:val="Footer Char"/>
    <w:basedOn w:val="DefaultParagraphFont"/>
    <w:link w:val="Footer"/>
    <w:uiPriority w:val="99"/>
    <w:rsid w:val="00CF6BE4"/>
  </w:style>
</w:styles>
</file>

<file path=word/webSettings.xml><?xml version="1.0" encoding="utf-8"?>
<w:webSettings xmlns:r="http://schemas.openxmlformats.org/officeDocument/2006/relationships" xmlns:w="http://schemas.openxmlformats.org/wordprocessingml/2006/main">
  <w:divs>
    <w:div w:id="1285381261">
      <w:bodyDiv w:val="1"/>
      <w:marLeft w:val="0"/>
      <w:marRight w:val="0"/>
      <w:marTop w:val="0"/>
      <w:marBottom w:val="0"/>
      <w:divBdr>
        <w:top w:val="none" w:sz="0" w:space="0" w:color="auto"/>
        <w:left w:val="none" w:sz="0" w:space="0" w:color="auto"/>
        <w:bottom w:val="none" w:sz="0" w:space="0" w:color="auto"/>
        <w:right w:val="none" w:sz="0" w:space="0" w:color="auto"/>
      </w:divBdr>
    </w:div>
    <w:div w:id="18235474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7D87-8641-408A-B046-BE05F36D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2352</Words>
  <Characters>13409</Characters>
  <Application>Microsoft Office Word</Application>
  <DocSecurity>0</DocSecurity>
  <Lines>111</Lines>
  <Paragraphs>31</Paragraphs>
  <ScaleCrop>false</ScaleCrop>
  <Company/>
  <LinksUpToDate>false</LinksUpToDate>
  <CharactersWithSpaces>15730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2016-04-28T14:34:00Z</dcterms:created>
  <dcterms:modified xsi:type="dcterms:W3CDTF">2021-02-27T16:11:00Z</dcterms:modified>
</cp:coreProperties>
</file>