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1427" w14:textId="746D7856" w:rsidR="001A46B0" w:rsidRPr="00256B60" w:rsidRDefault="001A46B0" w:rsidP="001A46B0">
      <w:pPr>
        <w:jc w:val="center"/>
        <w:rPr>
          <w:rFonts w:cs="Times New Roman"/>
          <w:b/>
          <w:szCs w:val="24"/>
        </w:rPr>
      </w:pPr>
      <w:r w:rsidRPr="00256B60">
        <w:rPr>
          <w:rFonts w:cs="Times New Roman"/>
          <w:b/>
          <w:szCs w:val="24"/>
        </w:rPr>
        <w:t>Chapter 7 Study Questions</w:t>
      </w:r>
    </w:p>
    <w:p w14:paraId="6ACDE452" w14:textId="77777777" w:rsidR="001A46B0" w:rsidRPr="00256B60" w:rsidRDefault="001A46B0" w:rsidP="001A46B0">
      <w:pPr>
        <w:jc w:val="center"/>
        <w:rPr>
          <w:rFonts w:cs="Times New Roman"/>
          <w:i/>
          <w:szCs w:val="24"/>
        </w:rPr>
      </w:pPr>
      <w:r w:rsidRPr="00256B60">
        <w:rPr>
          <w:rFonts w:cs="Times New Roman"/>
          <w:i/>
          <w:szCs w:val="24"/>
        </w:rPr>
        <w:t>Genetic Analysis:  Genes, Genomes, and Networks in Eukaryotes</w:t>
      </w:r>
    </w:p>
    <w:p w14:paraId="4680F288" w14:textId="41E9EF3F" w:rsidR="00FE1544" w:rsidRPr="00256B60" w:rsidRDefault="00FE1544">
      <w:pPr>
        <w:rPr>
          <w:rFonts w:cs="Times New Roman"/>
          <w:szCs w:val="24"/>
        </w:rPr>
      </w:pPr>
    </w:p>
    <w:p w14:paraId="468C1BA1" w14:textId="0153B539" w:rsidR="001A46B0" w:rsidRPr="00256B60" w:rsidRDefault="001A46B0" w:rsidP="001A46B0">
      <w:pPr>
        <w:pStyle w:val="ListParagraph"/>
        <w:numPr>
          <w:ilvl w:val="0"/>
          <w:numId w:val="1"/>
        </w:numPr>
        <w:rPr>
          <w:rFonts w:cs="Times New Roman"/>
          <w:szCs w:val="24"/>
        </w:rPr>
      </w:pPr>
      <w:r w:rsidRPr="00256B60">
        <w:rPr>
          <w:rFonts w:cs="Times New Roman"/>
          <w:szCs w:val="24"/>
        </w:rPr>
        <w:t xml:space="preserve">The experimental approaches described in this chapter for yeast and mice have been termed “reverse genetics”.  </w:t>
      </w:r>
    </w:p>
    <w:p w14:paraId="13FA24B1" w14:textId="311F3AA8" w:rsidR="001A46B0" w:rsidRPr="00256B60" w:rsidRDefault="001A46B0" w:rsidP="001A46B0">
      <w:pPr>
        <w:pStyle w:val="ListParagraph"/>
        <w:numPr>
          <w:ilvl w:val="1"/>
          <w:numId w:val="1"/>
        </w:numPr>
        <w:rPr>
          <w:rFonts w:cs="Times New Roman"/>
          <w:szCs w:val="24"/>
        </w:rPr>
      </w:pPr>
      <w:r w:rsidRPr="00256B60">
        <w:rPr>
          <w:rFonts w:cs="Times New Roman"/>
          <w:szCs w:val="24"/>
        </w:rPr>
        <w:t>What is meant by this term, and how does it compare to the genetic approaches discussed in Chapter 4?</w:t>
      </w:r>
    </w:p>
    <w:p w14:paraId="70DE7EAE" w14:textId="77777777" w:rsidR="009870AF" w:rsidRPr="00256B60" w:rsidRDefault="001A46B0" w:rsidP="001A46B0">
      <w:pPr>
        <w:pStyle w:val="ListParagraph"/>
        <w:numPr>
          <w:ilvl w:val="1"/>
          <w:numId w:val="1"/>
        </w:numPr>
        <w:rPr>
          <w:rFonts w:cs="Times New Roman"/>
          <w:szCs w:val="24"/>
        </w:rPr>
      </w:pPr>
      <w:r w:rsidRPr="00256B60">
        <w:rPr>
          <w:rFonts w:cs="Times New Roman"/>
          <w:szCs w:val="24"/>
        </w:rPr>
        <w:t>Is this distinction still useful for experimental analysis?  Why or why not?</w:t>
      </w:r>
    </w:p>
    <w:p w14:paraId="499866E3" w14:textId="3C8ED6FA" w:rsidR="001A46B0" w:rsidRPr="00256B60" w:rsidRDefault="009870AF" w:rsidP="009870AF">
      <w:pPr>
        <w:pStyle w:val="ListParagraph"/>
        <w:ind w:left="1440"/>
        <w:rPr>
          <w:rFonts w:cs="Times New Roman"/>
          <w:szCs w:val="24"/>
        </w:rPr>
      </w:pPr>
      <w:r w:rsidRPr="00256B60">
        <w:rPr>
          <w:rFonts w:cs="Times New Roman"/>
          <w:szCs w:val="24"/>
        </w:rPr>
        <w:t xml:space="preserve">  </w:t>
      </w:r>
    </w:p>
    <w:p w14:paraId="4893F49B" w14:textId="77777777" w:rsidR="009870AF" w:rsidRPr="00256B60" w:rsidRDefault="009870AF" w:rsidP="001A46B0">
      <w:pPr>
        <w:rPr>
          <w:rFonts w:cs="Times New Roman"/>
          <w:szCs w:val="24"/>
        </w:rPr>
      </w:pPr>
    </w:p>
    <w:p w14:paraId="0848FD83" w14:textId="035C08C7" w:rsidR="00F154EB" w:rsidRPr="00256B60" w:rsidRDefault="001A46B0" w:rsidP="001A46B0">
      <w:pPr>
        <w:pStyle w:val="ListParagraph"/>
        <w:numPr>
          <w:ilvl w:val="0"/>
          <w:numId w:val="1"/>
        </w:numPr>
        <w:rPr>
          <w:rFonts w:cs="Times New Roman"/>
          <w:szCs w:val="24"/>
        </w:rPr>
      </w:pPr>
      <w:r w:rsidRPr="00256B60">
        <w:rPr>
          <w:rFonts w:cs="Times New Roman"/>
          <w:szCs w:val="24"/>
        </w:rPr>
        <w:t xml:space="preserve">Experimental methods that yield gene replacements and to carry out genome editing in yeast </w:t>
      </w:r>
      <w:r w:rsidR="00F154EB" w:rsidRPr="00256B60">
        <w:rPr>
          <w:rFonts w:cs="Times New Roman"/>
          <w:szCs w:val="24"/>
        </w:rPr>
        <w:t xml:space="preserve">have been done successfully for more than 30 years.  Initial attempts to carry out gene replacements in Drosophila and </w:t>
      </w:r>
      <w:r w:rsidR="00F154EB" w:rsidRPr="00256B60">
        <w:rPr>
          <w:rFonts w:cs="Times New Roman"/>
          <w:i/>
          <w:iCs/>
          <w:szCs w:val="24"/>
        </w:rPr>
        <w:t>C. elegans</w:t>
      </w:r>
      <w:r w:rsidR="00F154EB" w:rsidRPr="00256B60">
        <w:rPr>
          <w:rFonts w:cs="Times New Roman"/>
          <w:szCs w:val="24"/>
        </w:rPr>
        <w:t>, and to some extent, Arabidopsis, were often based on the methods used in yeast; however, these were not very successful.  What were some aspects of the biology of these organisms, unappreciated at the time, that allowed these methods to succeed in yeast but not in other organisms?</w:t>
      </w:r>
    </w:p>
    <w:p w14:paraId="216A567B" w14:textId="1D93FC08" w:rsidR="009870AF" w:rsidRPr="00256B60" w:rsidRDefault="009870AF" w:rsidP="009870AF">
      <w:pPr>
        <w:pStyle w:val="ListParagraph"/>
        <w:rPr>
          <w:rFonts w:cs="Times New Roman"/>
          <w:szCs w:val="24"/>
        </w:rPr>
      </w:pPr>
      <w:r w:rsidRPr="00256B60">
        <w:rPr>
          <w:rFonts w:cs="Times New Roman"/>
          <w:szCs w:val="24"/>
        </w:rPr>
        <w:t xml:space="preserve">  </w:t>
      </w:r>
    </w:p>
    <w:p w14:paraId="2D44DB29" w14:textId="77777777" w:rsidR="009870AF" w:rsidRPr="00256B60" w:rsidRDefault="009870AF" w:rsidP="009870AF">
      <w:pPr>
        <w:ind w:left="360"/>
        <w:rPr>
          <w:rFonts w:cs="Times New Roman"/>
          <w:szCs w:val="24"/>
        </w:rPr>
      </w:pPr>
    </w:p>
    <w:p w14:paraId="07C94853" w14:textId="77777777" w:rsidR="00F154EB" w:rsidRPr="00256B60" w:rsidRDefault="00F154EB" w:rsidP="00F154EB">
      <w:pPr>
        <w:rPr>
          <w:rFonts w:cs="Times New Roman"/>
          <w:szCs w:val="24"/>
        </w:rPr>
      </w:pPr>
    </w:p>
    <w:p w14:paraId="0C55FF7B" w14:textId="7CC96F31" w:rsidR="001A46B0" w:rsidRPr="00256B60" w:rsidRDefault="00F154EB" w:rsidP="00F154EB">
      <w:pPr>
        <w:pStyle w:val="ListParagraph"/>
        <w:numPr>
          <w:ilvl w:val="0"/>
          <w:numId w:val="1"/>
        </w:numPr>
        <w:rPr>
          <w:rFonts w:cs="Times New Roman"/>
          <w:szCs w:val="24"/>
        </w:rPr>
      </w:pPr>
      <w:r w:rsidRPr="00256B60">
        <w:rPr>
          <w:rFonts w:cs="Times New Roman"/>
          <w:szCs w:val="24"/>
        </w:rPr>
        <w:t xml:space="preserve">The </w:t>
      </w:r>
      <w:r w:rsidRPr="00256B60">
        <w:rPr>
          <w:rFonts w:cs="Times New Roman"/>
          <w:i/>
          <w:iCs/>
          <w:szCs w:val="24"/>
        </w:rPr>
        <w:t>TUB2</w:t>
      </w:r>
      <w:r w:rsidRPr="00256B60">
        <w:rPr>
          <w:rFonts w:cs="Times New Roman"/>
          <w:szCs w:val="24"/>
        </w:rPr>
        <w:t xml:space="preserve"> gene and its genetic interactions will be extensively discussed in Chapter 10.  The procedure used to make a </w:t>
      </w:r>
      <w:r w:rsidRPr="00256B60">
        <w:rPr>
          <w:rFonts w:cs="Times New Roman"/>
          <w:i/>
          <w:iCs/>
          <w:szCs w:val="24"/>
        </w:rPr>
        <w:t>tub2</w:t>
      </w:r>
      <w:r w:rsidRPr="00256B60">
        <w:rPr>
          <w:rFonts w:cs="Times New Roman"/>
          <w:szCs w:val="24"/>
        </w:rPr>
        <w:t xml:space="preserve"> mutant is depicted in Figure 7.7, Panel B; this </w:t>
      </w:r>
      <w:r w:rsidR="00381A7F" w:rsidRPr="00256B60">
        <w:rPr>
          <w:rFonts w:cs="Times New Roman"/>
          <w:szCs w:val="24"/>
        </w:rPr>
        <w:t>overall strategy</w:t>
      </w:r>
      <w:r w:rsidRPr="00256B60">
        <w:rPr>
          <w:rFonts w:cs="Times New Roman"/>
          <w:szCs w:val="24"/>
        </w:rPr>
        <w:t xml:space="preserve"> is typical of </w:t>
      </w:r>
      <w:r w:rsidR="00381A7F" w:rsidRPr="00256B60">
        <w:rPr>
          <w:rFonts w:cs="Times New Roman"/>
          <w:szCs w:val="24"/>
        </w:rPr>
        <w:t xml:space="preserve">what has been used for </w:t>
      </w:r>
      <w:r w:rsidRPr="00256B60">
        <w:rPr>
          <w:rFonts w:cs="Times New Roman"/>
          <w:szCs w:val="24"/>
        </w:rPr>
        <w:t xml:space="preserve">many targeted gene replacements in yeast.  </w:t>
      </w:r>
    </w:p>
    <w:p w14:paraId="58FE72BD" w14:textId="18D6F68F" w:rsidR="00381A7F" w:rsidRPr="00256B60" w:rsidRDefault="00381A7F" w:rsidP="00381A7F">
      <w:pPr>
        <w:pStyle w:val="ListParagraph"/>
        <w:numPr>
          <w:ilvl w:val="1"/>
          <w:numId w:val="1"/>
        </w:numPr>
        <w:rPr>
          <w:rFonts w:cs="Times New Roman"/>
          <w:szCs w:val="24"/>
        </w:rPr>
      </w:pPr>
      <w:r w:rsidRPr="00256B60">
        <w:rPr>
          <w:rFonts w:cs="Times New Roman"/>
          <w:szCs w:val="24"/>
        </w:rPr>
        <w:t xml:space="preserve">Discuss the methods used in this strategy in detail.  </w:t>
      </w:r>
    </w:p>
    <w:p w14:paraId="1AB4C0AA" w14:textId="77777777" w:rsidR="0014398E" w:rsidRPr="00256B60" w:rsidRDefault="00381A7F" w:rsidP="0014398E">
      <w:pPr>
        <w:pStyle w:val="ListParagraph"/>
        <w:numPr>
          <w:ilvl w:val="1"/>
          <w:numId w:val="1"/>
        </w:numPr>
        <w:rPr>
          <w:rFonts w:cs="Times New Roman"/>
          <w:szCs w:val="24"/>
        </w:rPr>
      </w:pPr>
      <w:r w:rsidRPr="00256B60">
        <w:rPr>
          <w:rFonts w:cs="Times New Roman"/>
          <w:szCs w:val="24"/>
        </w:rPr>
        <w:t xml:space="preserve">While a similar strategy was used for making targeted </w:t>
      </w:r>
      <w:r w:rsidRPr="00256B60">
        <w:rPr>
          <w:rFonts w:cs="Times New Roman"/>
          <w:i/>
          <w:iCs/>
          <w:szCs w:val="24"/>
        </w:rPr>
        <w:t>tub1</w:t>
      </w:r>
      <w:r w:rsidRPr="00256B60">
        <w:rPr>
          <w:rFonts w:cs="Times New Roman"/>
          <w:szCs w:val="24"/>
        </w:rPr>
        <w:t xml:space="preserve"> and </w:t>
      </w:r>
      <w:r w:rsidRPr="00256B60">
        <w:rPr>
          <w:rFonts w:cs="Times New Roman"/>
          <w:i/>
          <w:iCs/>
          <w:szCs w:val="24"/>
        </w:rPr>
        <w:t>tub3</w:t>
      </w:r>
      <w:r w:rsidRPr="00256B60">
        <w:rPr>
          <w:rFonts w:cs="Times New Roman"/>
          <w:szCs w:val="24"/>
        </w:rPr>
        <w:t xml:space="preserve"> mutations, what additional complication had to be considered, based on the information in this chapter?</w:t>
      </w:r>
      <w:r w:rsidR="0011100B" w:rsidRPr="00256B60">
        <w:rPr>
          <w:rFonts w:cs="Times New Roman"/>
          <w:szCs w:val="24"/>
        </w:rPr>
        <w:t xml:space="preserve"> </w:t>
      </w:r>
    </w:p>
    <w:p w14:paraId="6E03257C" w14:textId="31E62C48" w:rsidR="00706AD7" w:rsidRPr="00256B60" w:rsidRDefault="00E6125E" w:rsidP="00E6125E">
      <w:pPr>
        <w:pStyle w:val="ListParagraph"/>
        <w:numPr>
          <w:ilvl w:val="1"/>
          <w:numId w:val="1"/>
        </w:numPr>
        <w:rPr>
          <w:rFonts w:cs="Times New Roman"/>
          <w:szCs w:val="24"/>
        </w:rPr>
      </w:pPr>
      <w:r w:rsidRPr="00256B60">
        <w:rPr>
          <w:rFonts w:cs="Times New Roman"/>
          <w:szCs w:val="24"/>
        </w:rPr>
        <w:t xml:space="preserve"> </w:t>
      </w:r>
      <w:r w:rsidR="00381A7F" w:rsidRPr="00256B60">
        <w:rPr>
          <w:rFonts w:cs="Times New Roman"/>
          <w:szCs w:val="24"/>
        </w:rPr>
        <w:t xml:space="preserve">The </w:t>
      </w:r>
      <w:r w:rsidR="00381A7F" w:rsidRPr="00256B60">
        <w:rPr>
          <w:rFonts w:cs="Times New Roman"/>
          <w:i/>
          <w:iCs/>
          <w:szCs w:val="24"/>
        </w:rPr>
        <w:t>tub2</w:t>
      </w:r>
      <w:r w:rsidR="00381A7F" w:rsidRPr="00256B60">
        <w:rPr>
          <w:rFonts w:cs="Times New Roman"/>
          <w:szCs w:val="24"/>
        </w:rPr>
        <w:t xml:space="preserve"> mutation depicted in Figure 7.7 B is a null allele.  How might a </w:t>
      </w:r>
      <w:proofErr w:type="spellStart"/>
      <w:r w:rsidR="00381A7F" w:rsidRPr="00256B60">
        <w:rPr>
          <w:rFonts w:cs="Times New Roman"/>
          <w:szCs w:val="24"/>
        </w:rPr>
        <w:t>hypomorphic</w:t>
      </w:r>
      <w:proofErr w:type="spellEnd"/>
      <w:r w:rsidR="00381A7F" w:rsidRPr="00256B60">
        <w:rPr>
          <w:rFonts w:cs="Times New Roman"/>
          <w:szCs w:val="24"/>
        </w:rPr>
        <w:t xml:space="preserve"> allele of a gene be made by targeted gene replacement?</w:t>
      </w:r>
      <w:r w:rsidR="00706AD7" w:rsidRPr="00256B60">
        <w:rPr>
          <w:rFonts w:cs="Times New Roman"/>
          <w:szCs w:val="24"/>
        </w:rPr>
        <w:t xml:space="preserve">  </w:t>
      </w:r>
    </w:p>
    <w:p w14:paraId="43ED4693" w14:textId="4154C3E9" w:rsidR="00381A7F" w:rsidRPr="00256B60" w:rsidRDefault="00381A7F" w:rsidP="00381A7F">
      <w:pPr>
        <w:rPr>
          <w:rFonts w:cs="Times New Roman"/>
          <w:szCs w:val="24"/>
        </w:rPr>
      </w:pPr>
    </w:p>
    <w:p w14:paraId="6BEC85FA" w14:textId="56BB9947" w:rsidR="00381A7F" w:rsidRPr="00256B60" w:rsidRDefault="00381A7F" w:rsidP="00381A7F">
      <w:pPr>
        <w:pStyle w:val="ListParagraph"/>
        <w:numPr>
          <w:ilvl w:val="0"/>
          <w:numId w:val="1"/>
        </w:numPr>
        <w:rPr>
          <w:rFonts w:cs="Times New Roman"/>
          <w:szCs w:val="24"/>
        </w:rPr>
      </w:pPr>
      <w:r w:rsidRPr="00256B60">
        <w:rPr>
          <w:rFonts w:cs="Times New Roman"/>
          <w:szCs w:val="24"/>
        </w:rPr>
        <w:t>Most investigators who want to produce a “knockout” mouse rely on a local specialized facility that carries out the procedure rather than doing this in their own labs.  Thus, although most mouse geneticists might not knock out a gene themselves, it is important to follow the steps of how this is done.  Using Figures 7-10, 7-11, and 7-12</w:t>
      </w:r>
      <w:r w:rsidR="00083CD3" w:rsidRPr="00256B60">
        <w:rPr>
          <w:rFonts w:cs="Times New Roman"/>
          <w:szCs w:val="24"/>
        </w:rPr>
        <w:t xml:space="preserve">, describe in detail the procedure to make a knockout mutant mouse. Be sure to explain each part of Figure 7.11 and its role.  </w:t>
      </w:r>
    </w:p>
    <w:p w14:paraId="60546300" w14:textId="2E47155C" w:rsidR="00083CD3" w:rsidRPr="00256B60" w:rsidRDefault="00083CD3" w:rsidP="00083CD3">
      <w:pPr>
        <w:rPr>
          <w:rFonts w:cs="Times New Roman"/>
          <w:szCs w:val="24"/>
        </w:rPr>
      </w:pPr>
    </w:p>
    <w:p w14:paraId="780B3246" w14:textId="75F417B9" w:rsidR="00083CD3" w:rsidRPr="00256B60" w:rsidRDefault="00083CD3" w:rsidP="00083CD3">
      <w:pPr>
        <w:pStyle w:val="ListParagraph"/>
        <w:numPr>
          <w:ilvl w:val="0"/>
          <w:numId w:val="1"/>
        </w:numPr>
        <w:rPr>
          <w:rFonts w:cs="Times New Roman"/>
          <w:szCs w:val="24"/>
        </w:rPr>
      </w:pPr>
      <w:r w:rsidRPr="00256B60">
        <w:rPr>
          <w:rFonts w:cs="Times New Roman"/>
          <w:szCs w:val="24"/>
        </w:rPr>
        <w:t xml:space="preserve">Using Figure 7.11 as your template, draw other vectors that have the </w:t>
      </w:r>
      <w:proofErr w:type="spellStart"/>
      <w:r w:rsidRPr="00256B60">
        <w:rPr>
          <w:rFonts w:cs="Times New Roman"/>
          <w:szCs w:val="24"/>
        </w:rPr>
        <w:t>neoR</w:t>
      </w:r>
      <w:proofErr w:type="spellEnd"/>
      <w:r w:rsidRPr="00256B60">
        <w:rPr>
          <w:rFonts w:cs="Times New Roman"/>
          <w:szCs w:val="24"/>
        </w:rPr>
        <w:t xml:space="preserve"> and the HSV-</w:t>
      </w:r>
      <w:proofErr w:type="spellStart"/>
      <w:r w:rsidRPr="00256B60">
        <w:rPr>
          <w:rFonts w:cs="Times New Roman"/>
          <w:szCs w:val="24"/>
        </w:rPr>
        <w:t>tk</w:t>
      </w:r>
      <w:proofErr w:type="spellEnd"/>
      <w:r w:rsidRPr="00256B60">
        <w:rPr>
          <w:rFonts w:cs="Times New Roman"/>
          <w:szCs w:val="24"/>
        </w:rPr>
        <w:t xml:space="preserve"> genes in other locations with respect to the coding region of the gene and each other.  In each case, diagram the expected outcome in ES cells with these other vectors. </w:t>
      </w:r>
    </w:p>
    <w:p w14:paraId="0BCE0C79" w14:textId="77777777" w:rsidR="00083CD3" w:rsidRPr="00256B60" w:rsidRDefault="00083CD3" w:rsidP="00083CD3">
      <w:pPr>
        <w:pStyle w:val="ListParagraph"/>
        <w:rPr>
          <w:rFonts w:cs="Times New Roman"/>
          <w:szCs w:val="24"/>
        </w:rPr>
      </w:pPr>
    </w:p>
    <w:p w14:paraId="7DC585CB" w14:textId="3B504228" w:rsidR="00E47BF6" w:rsidRPr="00256B60" w:rsidRDefault="00E47BF6" w:rsidP="00E47BF6">
      <w:pPr>
        <w:pStyle w:val="ListParagraph"/>
        <w:numPr>
          <w:ilvl w:val="0"/>
          <w:numId w:val="1"/>
        </w:numPr>
        <w:rPr>
          <w:rFonts w:cs="Times New Roman"/>
          <w:szCs w:val="24"/>
        </w:rPr>
      </w:pPr>
      <w:r w:rsidRPr="00256B60">
        <w:rPr>
          <w:rFonts w:cs="Times New Roman"/>
          <w:szCs w:val="24"/>
        </w:rPr>
        <w:t xml:space="preserve">Most knockout mutant mice are now made using the </w:t>
      </w:r>
      <w:proofErr w:type="spellStart"/>
      <w:r w:rsidRPr="00256B60">
        <w:rPr>
          <w:rFonts w:cs="Times New Roman"/>
          <w:szCs w:val="24"/>
        </w:rPr>
        <w:t>Cre</w:t>
      </w:r>
      <w:proofErr w:type="spellEnd"/>
      <w:r w:rsidRPr="00256B60">
        <w:rPr>
          <w:rFonts w:cs="Times New Roman"/>
          <w:szCs w:val="24"/>
        </w:rPr>
        <w:t>-</w:t>
      </w:r>
      <w:r w:rsidRPr="00256B60">
        <w:rPr>
          <w:rFonts w:cs="Times New Roman"/>
          <w:i/>
          <w:iCs/>
          <w:szCs w:val="24"/>
        </w:rPr>
        <w:t>lox</w:t>
      </w:r>
      <w:r w:rsidRPr="00256B60">
        <w:rPr>
          <w:rFonts w:cs="Times New Roman"/>
          <w:szCs w:val="24"/>
        </w:rPr>
        <w:t xml:space="preserve"> recombination system rather than the vector shown in Figure 7.11.</w:t>
      </w:r>
    </w:p>
    <w:p w14:paraId="0AF105DE" w14:textId="7E345F0C" w:rsidR="00E47BF6" w:rsidRPr="00256B60" w:rsidRDefault="00E47BF6" w:rsidP="00E47BF6">
      <w:pPr>
        <w:pStyle w:val="ListParagraph"/>
        <w:numPr>
          <w:ilvl w:val="1"/>
          <w:numId w:val="1"/>
        </w:numPr>
        <w:rPr>
          <w:rFonts w:cs="Times New Roman"/>
          <w:szCs w:val="24"/>
        </w:rPr>
      </w:pPr>
      <w:r w:rsidRPr="00256B60">
        <w:rPr>
          <w:rFonts w:cs="Times New Roman"/>
          <w:szCs w:val="24"/>
        </w:rPr>
        <w:t xml:space="preserve">What are some of the advantages of using </w:t>
      </w:r>
      <w:proofErr w:type="spellStart"/>
      <w:r w:rsidRPr="00256B60">
        <w:rPr>
          <w:rFonts w:cs="Times New Roman"/>
          <w:szCs w:val="24"/>
        </w:rPr>
        <w:t>Cre</w:t>
      </w:r>
      <w:proofErr w:type="spellEnd"/>
      <w:r w:rsidRPr="00256B60">
        <w:rPr>
          <w:rFonts w:cs="Times New Roman"/>
          <w:szCs w:val="24"/>
        </w:rPr>
        <w:t>-</w:t>
      </w:r>
      <w:r w:rsidRPr="00256B60">
        <w:rPr>
          <w:rFonts w:cs="Times New Roman"/>
          <w:i/>
          <w:iCs/>
          <w:szCs w:val="24"/>
        </w:rPr>
        <w:t xml:space="preserve">lox </w:t>
      </w:r>
      <w:r w:rsidRPr="00256B60">
        <w:rPr>
          <w:rFonts w:cs="Times New Roman"/>
          <w:szCs w:val="24"/>
        </w:rPr>
        <w:t>to make targeted mutations?</w:t>
      </w:r>
    </w:p>
    <w:p w14:paraId="763D814B" w14:textId="4A445A7D" w:rsidR="00E47BF6" w:rsidRPr="00256B60" w:rsidRDefault="00E47BF6" w:rsidP="00E47BF6">
      <w:pPr>
        <w:pStyle w:val="ListParagraph"/>
        <w:numPr>
          <w:ilvl w:val="1"/>
          <w:numId w:val="1"/>
        </w:numPr>
        <w:rPr>
          <w:rFonts w:cs="Times New Roman"/>
          <w:szCs w:val="24"/>
        </w:rPr>
      </w:pPr>
      <w:r w:rsidRPr="00256B60">
        <w:rPr>
          <w:rFonts w:cs="Times New Roman"/>
          <w:szCs w:val="24"/>
        </w:rPr>
        <w:t>What are some of the limitations, and how can these be overcome?</w:t>
      </w:r>
    </w:p>
    <w:p w14:paraId="37703EAE" w14:textId="1B61993B" w:rsidR="00E47BF6" w:rsidRPr="00256B60" w:rsidRDefault="00E47BF6" w:rsidP="00E47BF6">
      <w:pPr>
        <w:pStyle w:val="ListParagraph"/>
        <w:numPr>
          <w:ilvl w:val="1"/>
          <w:numId w:val="1"/>
        </w:numPr>
        <w:rPr>
          <w:rFonts w:cs="Times New Roman"/>
          <w:szCs w:val="24"/>
        </w:rPr>
      </w:pPr>
      <w:r w:rsidRPr="00256B60">
        <w:rPr>
          <w:rFonts w:cs="Times New Roman"/>
          <w:szCs w:val="24"/>
        </w:rPr>
        <w:t xml:space="preserve">The diagram in Figure 7.15 shows the </w:t>
      </w:r>
      <w:r w:rsidRPr="00256B60">
        <w:rPr>
          <w:rFonts w:cs="Times New Roman"/>
          <w:i/>
          <w:iCs/>
          <w:szCs w:val="24"/>
        </w:rPr>
        <w:t>lox</w:t>
      </w:r>
      <w:r w:rsidRPr="00256B60">
        <w:rPr>
          <w:rFonts w:cs="Times New Roman"/>
          <w:szCs w:val="24"/>
        </w:rPr>
        <w:t xml:space="preserve"> sites in direct orientation, which deletes a region of the gene.</w:t>
      </w:r>
      <w:r w:rsidR="00455414">
        <w:rPr>
          <w:rFonts w:cs="Times New Roman"/>
          <w:szCs w:val="24"/>
        </w:rPr>
        <w:t xml:space="preserve"> </w:t>
      </w:r>
      <w:r w:rsidRPr="00256B60">
        <w:rPr>
          <w:rFonts w:cs="Times New Roman"/>
          <w:szCs w:val="24"/>
        </w:rPr>
        <w:t xml:space="preserve">Invert one of the lox sites so that they are now in reverse </w:t>
      </w:r>
      <w:r w:rsidRPr="00256B60">
        <w:rPr>
          <w:rFonts w:cs="Times New Roman"/>
          <w:szCs w:val="24"/>
        </w:rPr>
        <w:lastRenderedPageBreak/>
        <w:t>orientation with respect to each other (in other words, so the arrows are pointing towards each other.)  What type of change will this make to the gene?  What are some experimental questions in which this reverse orientation might be useful?</w:t>
      </w:r>
    </w:p>
    <w:p w14:paraId="6F888442" w14:textId="619DB46F" w:rsidR="00706AD7" w:rsidRPr="00256B60" w:rsidRDefault="00815D4A" w:rsidP="00706AD7">
      <w:pPr>
        <w:pStyle w:val="ListParagraph"/>
        <w:ind w:left="1440"/>
        <w:rPr>
          <w:rFonts w:cs="Times New Roman"/>
          <w:szCs w:val="24"/>
        </w:rPr>
      </w:pPr>
      <w:r w:rsidRPr="00256B60">
        <w:rPr>
          <w:rFonts w:cs="Times New Roman"/>
          <w:szCs w:val="24"/>
        </w:rPr>
        <w:t xml:space="preserve">  </w:t>
      </w:r>
    </w:p>
    <w:p w14:paraId="48DE4A35" w14:textId="77777777" w:rsidR="00A8517A" w:rsidRPr="00256B60" w:rsidRDefault="00A8517A" w:rsidP="00A8517A">
      <w:pPr>
        <w:pStyle w:val="ListParagraph"/>
        <w:ind w:left="1440"/>
        <w:rPr>
          <w:rFonts w:cs="Times New Roman"/>
          <w:szCs w:val="24"/>
        </w:rPr>
      </w:pPr>
    </w:p>
    <w:p w14:paraId="50E0FCF8" w14:textId="4BEFD432" w:rsidR="00A8517A" w:rsidRPr="00256B60" w:rsidRDefault="00C2420B" w:rsidP="00A8517A">
      <w:pPr>
        <w:pStyle w:val="ListParagraph"/>
        <w:numPr>
          <w:ilvl w:val="0"/>
          <w:numId w:val="1"/>
        </w:numPr>
        <w:rPr>
          <w:rFonts w:cs="Times New Roman"/>
          <w:szCs w:val="24"/>
        </w:rPr>
      </w:pPr>
      <w:r w:rsidRPr="00256B60">
        <w:rPr>
          <w:rFonts w:cs="Times New Roman"/>
          <w:szCs w:val="24"/>
        </w:rPr>
        <w:t xml:space="preserve">These questions are based on a study by Guenther et al 2014 Nature Genetics 46: 748-752, which </w:t>
      </w:r>
      <w:r w:rsidR="00D63252" w:rsidRPr="00256B60">
        <w:rPr>
          <w:rFonts w:cs="Times New Roman"/>
          <w:szCs w:val="24"/>
        </w:rPr>
        <w:t xml:space="preserve">can </w:t>
      </w:r>
      <w:r w:rsidRPr="00256B60">
        <w:rPr>
          <w:rFonts w:cs="Times New Roman"/>
          <w:szCs w:val="24"/>
        </w:rPr>
        <w:t xml:space="preserve">be consulted for more information.  However, the questions do not require any information directly from that paper. </w:t>
      </w:r>
      <w:r w:rsidR="00A8517A" w:rsidRPr="00256B60">
        <w:rPr>
          <w:rFonts w:cs="Times New Roman"/>
          <w:szCs w:val="24"/>
        </w:rPr>
        <w:t xml:space="preserve">A genome-wide association study in humans found that variants in the regulatory region of the </w:t>
      </w:r>
      <w:r w:rsidR="00A8517A" w:rsidRPr="00256B60">
        <w:rPr>
          <w:rFonts w:cs="Times New Roman"/>
          <w:i/>
          <w:iCs/>
          <w:szCs w:val="24"/>
        </w:rPr>
        <w:t>Kit Ligand (KITLG)</w:t>
      </w:r>
      <w:r w:rsidR="00A8517A" w:rsidRPr="00256B60">
        <w:rPr>
          <w:rFonts w:cs="Times New Roman"/>
          <w:szCs w:val="24"/>
        </w:rPr>
        <w:t xml:space="preserve"> gene are associated with blond hair in some Northern Europeans. </w:t>
      </w:r>
      <w:proofErr w:type="gramStart"/>
      <w:r w:rsidR="00A8517A" w:rsidRPr="00256B60">
        <w:rPr>
          <w:rFonts w:cs="Times New Roman"/>
          <w:szCs w:val="24"/>
        </w:rPr>
        <w:t>In order to</w:t>
      </w:r>
      <w:proofErr w:type="gramEnd"/>
      <w:r w:rsidR="00A8517A" w:rsidRPr="00256B60">
        <w:rPr>
          <w:rFonts w:cs="Times New Roman"/>
          <w:szCs w:val="24"/>
        </w:rPr>
        <w:t xml:space="preserve"> investigate if variants in this region are directly causative for blond hair, the investigators </w:t>
      </w:r>
      <w:r w:rsidRPr="00256B60">
        <w:rPr>
          <w:rFonts w:cs="Times New Roman"/>
          <w:szCs w:val="24"/>
        </w:rPr>
        <w:t xml:space="preserve">made transgenic mice and compared their fur color to those littermates without the mutation.  </w:t>
      </w:r>
      <w:r w:rsidRPr="00256B60">
        <w:rPr>
          <w:rFonts w:cs="Times New Roman"/>
          <w:i/>
          <w:iCs/>
          <w:szCs w:val="24"/>
        </w:rPr>
        <w:t>KITLG</w:t>
      </w:r>
      <w:r w:rsidRPr="00256B60">
        <w:rPr>
          <w:rFonts w:cs="Times New Roman"/>
          <w:szCs w:val="24"/>
        </w:rPr>
        <w:t xml:space="preserve"> is an essential gene, so simply knocking out the gene in all cells is lethal</w:t>
      </w:r>
      <w:r w:rsidR="00D63252" w:rsidRPr="00256B60">
        <w:rPr>
          <w:rFonts w:cs="Times New Roman"/>
          <w:szCs w:val="24"/>
        </w:rPr>
        <w:t xml:space="preserve"> and the effects on hair color would not be able to be determined</w:t>
      </w:r>
      <w:r w:rsidRPr="00256B60">
        <w:rPr>
          <w:rFonts w:cs="Times New Roman"/>
          <w:szCs w:val="24"/>
        </w:rPr>
        <w:t xml:space="preserve">.  </w:t>
      </w:r>
      <w:proofErr w:type="gramStart"/>
      <w:r w:rsidRPr="00256B60">
        <w:rPr>
          <w:rFonts w:cs="Times New Roman"/>
          <w:szCs w:val="24"/>
        </w:rPr>
        <w:t>For the purpose of</w:t>
      </w:r>
      <w:proofErr w:type="gramEnd"/>
      <w:r w:rsidRPr="00256B60">
        <w:rPr>
          <w:rFonts w:cs="Times New Roman"/>
          <w:szCs w:val="24"/>
        </w:rPr>
        <w:t xml:space="preserve"> these questions, two experimental questions needed to be addressed.</w:t>
      </w:r>
    </w:p>
    <w:p w14:paraId="7085D901" w14:textId="148CA9DE" w:rsidR="00C2420B" w:rsidRPr="00256B60" w:rsidRDefault="00C2420B" w:rsidP="00C2420B">
      <w:pPr>
        <w:pStyle w:val="ListParagraph"/>
        <w:numPr>
          <w:ilvl w:val="1"/>
          <w:numId w:val="1"/>
        </w:numPr>
        <w:rPr>
          <w:rFonts w:cs="Times New Roman"/>
          <w:szCs w:val="24"/>
        </w:rPr>
      </w:pPr>
      <w:r w:rsidRPr="00256B60">
        <w:rPr>
          <w:rFonts w:cs="Times New Roman"/>
          <w:szCs w:val="24"/>
        </w:rPr>
        <w:t xml:space="preserve">Is the KITLG gene expressed in developing hair follicles?  Based on some known mouse mutations and the blond hair studies in humans, the regulatory region thought to be responsible for expression in hair follicles is confined to </w:t>
      </w:r>
      <w:r w:rsidR="00455414">
        <w:rPr>
          <w:rFonts w:cs="Times New Roman"/>
          <w:szCs w:val="24"/>
        </w:rPr>
        <w:t xml:space="preserve">be </w:t>
      </w:r>
      <w:r w:rsidRPr="00256B60">
        <w:rPr>
          <w:rFonts w:cs="Times New Roman"/>
          <w:szCs w:val="24"/>
        </w:rPr>
        <w:t xml:space="preserve">a 17 kb region upstream of the gene.  Outline an experimental strategy using a reporter gene such as lacZ </w:t>
      </w:r>
      <w:r w:rsidR="006E023D" w:rsidRPr="00256B60">
        <w:rPr>
          <w:rFonts w:cs="Times New Roman"/>
          <w:szCs w:val="24"/>
        </w:rPr>
        <w:t xml:space="preserve">in transgenic mice </w:t>
      </w:r>
      <w:r w:rsidRPr="00256B60">
        <w:rPr>
          <w:rFonts w:cs="Times New Roman"/>
          <w:szCs w:val="24"/>
        </w:rPr>
        <w:t>to define a portion of this 17 kb region needed for hair follicle expression</w:t>
      </w:r>
      <w:r w:rsidR="006E023D" w:rsidRPr="00256B60">
        <w:rPr>
          <w:rFonts w:cs="Times New Roman"/>
          <w:szCs w:val="24"/>
        </w:rPr>
        <w:t>.</w:t>
      </w:r>
      <w:r w:rsidR="00455414">
        <w:rPr>
          <w:rFonts w:cs="Times New Roman"/>
          <w:szCs w:val="24"/>
        </w:rPr>
        <w:t xml:space="preserve"> </w:t>
      </w:r>
    </w:p>
    <w:p w14:paraId="6F882D58" w14:textId="3C0B707F" w:rsidR="006E023D" w:rsidRPr="00256B60" w:rsidRDefault="00D63252" w:rsidP="00C2420B">
      <w:pPr>
        <w:pStyle w:val="ListParagraph"/>
        <w:numPr>
          <w:ilvl w:val="1"/>
          <w:numId w:val="1"/>
        </w:numPr>
        <w:rPr>
          <w:rFonts w:cs="Times New Roman"/>
          <w:szCs w:val="24"/>
        </w:rPr>
      </w:pPr>
      <w:r w:rsidRPr="00256B60">
        <w:rPr>
          <w:rFonts w:cs="Times New Roman"/>
          <w:szCs w:val="24"/>
        </w:rPr>
        <w:t xml:space="preserve">Is a sequence change in the regulatory region directly responsible for the color variation? </w:t>
      </w:r>
      <w:r w:rsidR="006E023D" w:rsidRPr="00256B60">
        <w:rPr>
          <w:rFonts w:cs="Times New Roman"/>
          <w:szCs w:val="24"/>
        </w:rPr>
        <w:t xml:space="preserve">This strategy </w:t>
      </w:r>
      <w:r w:rsidRPr="00256B60">
        <w:rPr>
          <w:rFonts w:cs="Times New Roman"/>
          <w:szCs w:val="24"/>
        </w:rPr>
        <w:t xml:space="preserve">from Part A first </w:t>
      </w:r>
      <w:r w:rsidR="006E023D" w:rsidRPr="00256B60">
        <w:rPr>
          <w:rFonts w:cs="Times New Roman"/>
          <w:szCs w:val="24"/>
        </w:rPr>
        <w:t xml:space="preserve">defined a </w:t>
      </w:r>
      <w:r w:rsidRPr="00256B60">
        <w:rPr>
          <w:rFonts w:cs="Times New Roman"/>
          <w:szCs w:val="24"/>
        </w:rPr>
        <w:t xml:space="preserve">region of 6.7 kb and then a smaller region of </w:t>
      </w:r>
      <w:r w:rsidR="006E023D" w:rsidRPr="00256B60">
        <w:rPr>
          <w:rFonts w:cs="Times New Roman"/>
          <w:szCs w:val="24"/>
        </w:rPr>
        <w:t>1.5</w:t>
      </w:r>
      <w:r w:rsidR="00455414">
        <w:rPr>
          <w:rFonts w:cs="Times New Roman"/>
          <w:szCs w:val="24"/>
        </w:rPr>
        <w:t xml:space="preserve"> </w:t>
      </w:r>
      <w:r w:rsidR="006E023D" w:rsidRPr="00256B60">
        <w:rPr>
          <w:rFonts w:cs="Times New Roman"/>
          <w:szCs w:val="24"/>
        </w:rPr>
        <w:t xml:space="preserve">kb </w:t>
      </w:r>
      <w:r w:rsidRPr="00256B60">
        <w:rPr>
          <w:rFonts w:cs="Times New Roman"/>
          <w:szCs w:val="24"/>
        </w:rPr>
        <w:t xml:space="preserve">within that </w:t>
      </w:r>
      <w:r w:rsidR="00815D4A" w:rsidRPr="00256B60">
        <w:rPr>
          <w:rFonts w:cs="Times New Roman"/>
          <w:szCs w:val="24"/>
        </w:rPr>
        <w:t>which</w:t>
      </w:r>
      <w:r w:rsidR="006E023D" w:rsidRPr="00256B60">
        <w:rPr>
          <w:rFonts w:cs="Times New Roman"/>
          <w:szCs w:val="24"/>
        </w:rPr>
        <w:t xml:space="preserve"> is responsible for hair follicle expression</w:t>
      </w:r>
      <w:r w:rsidRPr="00256B60">
        <w:rPr>
          <w:rFonts w:cs="Times New Roman"/>
          <w:szCs w:val="24"/>
        </w:rPr>
        <w:t>.  Single</w:t>
      </w:r>
      <w:r w:rsidR="006E023D" w:rsidRPr="00256B60">
        <w:rPr>
          <w:rFonts w:cs="Times New Roman"/>
          <w:szCs w:val="24"/>
        </w:rPr>
        <w:t xml:space="preserve"> base changes </w:t>
      </w:r>
      <w:r w:rsidRPr="00256B60">
        <w:rPr>
          <w:rFonts w:cs="Times New Roman"/>
          <w:szCs w:val="24"/>
        </w:rPr>
        <w:t xml:space="preserve">between the dark-haired and light-haired mouse </w:t>
      </w:r>
      <w:r w:rsidR="006E023D" w:rsidRPr="00256B60">
        <w:rPr>
          <w:rFonts w:cs="Times New Roman"/>
          <w:szCs w:val="24"/>
        </w:rPr>
        <w:t>within this</w:t>
      </w:r>
      <w:r w:rsidRPr="00256B60">
        <w:rPr>
          <w:rFonts w:cs="Times New Roman"/>
          <w:szCs w:val="24"/>
        </w:rPr>
        <w:t xml:space="preserve"> 1.5 kb</w:t>
      </w:r>
      <w:r w:rsidR="006E023D" w:rsidRPr="00256B60">
        <w:rPr>
          <w:rFonts w:cs="Times New Roman"/>
          <w:szCs w:val="24"/>
        </w:rPr>
        <w:t xml:space="preserve"> region </w:t>
      </w:r>
      <w:r w:rsidRPr="00256B60">
        <w:rPr>
          <w:rFonts w:cs="Times New Roman"/>
          <w:szCs w:val="24"/>
        </w:rPr>
        <w:t xml:space="preserve">were identified, and these changes to the </w:t>
      </w:r>
      <w:r w:rsidR="006E023D" w:rsidRPr="00256B60">
        <w:rPr>
          <w:rFonts w:cs="Times New Roman"/>
          <w:szCs w:val="24"/>
        </w:rPr>
        <w:t>1.5</w:t>
      </w:r>
      <w:r w:rsidR="00455414">
        <w:rPr>
          <w:rFonts w:cs="Times New Roman"/>
          <w:szCs w:val="24"/>
        </w:rPr>
        <w:t xml:space="preserve"> </w:t>
      </w:r>
      <w:r w:rsidR="006E023D" w:rsidRPr="00256B60">
        <w:rPr>
          <w:rFonts w:cs="Times New Roman"/>
          <w:szCs w:val="24"/>
        </w:rPr>
        <w:t xml:space="preserve">kb region can be </w:t>
      </w:r>
      <w:r w:rsidRPr="00256B60">
        <w:rPr>
          <w:rFonts w:cs="Times New Roman"/>
          <w:szCs w:val="24"/>
        </w:rPr>
        <w:t xml:space="preserve">made </w:t>
      </w:r>
      <w:r w:rsidR="006E023D" w:rsidRPr="00256B60">
        <w:rPr>
          <w:rFonts w:cs="Times New Roman"/>
          <w:szCs w:val="24"/>
        </w:rPr>
        <w:t>in vitro.  Outline a strategy to replace this 1.5 kb region from a dark-haired mouse line with the corresponding sequence engineered in vitro to be the putative blond-hair sequence.</w:t>
      </w:r>
      <w:r w:rsidR="00455414">
        <w:rPr>
          <w:rFonts w:cs="Times New Roman"/>
          <w:szCs w:val="24"/>
        </w:rPr>
        <w:t xml:space="preserve"> </w:t>
      </w:r>
    </w:p>
    <w:p w14:paraId="31C4E655" w14:textId="5DDAA85A" w:rsidR="006E023D" w:rsidRPr="00256B60" w:rsidRDefault="006E023D" w:rsidP="00C2420B">
      <w:pPr>
        <w:pStyle w:val="ListParagraph"/>
        <w:numPr>
          <w:ilvl w:val="1"/>
          <w:numId w:val="1"/>
        </w:numPr>
        <w:rPr>
          <w:rFonts w:cs="Times New Roman"/>
          <w:szCs w:val="24"/>
        </w:rPr>
      </w:pPr>
      <w:r w:rsidRPr="00256B60">
        <w:rPr>
          <w:rFonts w:cs="Times New Roman"/>
          <w:szCs w:val="24"/>
        </w:rPr>
        <w:t xml:space="preserve">KITLG is expressed widely in developing mice.  </w:t>
      </w:r>
      <w:r w:rsidR="00D63252" w:rsidRPr="00256B60">
        <w:rPr>
          <w:rFonts w:cs="Times New Roman"/>
          <w:szCs w:val="24"/>
        </w:rPr>
        <w:t>Imagine that you want to knock out the expression of the gene only in hair follicles and not in other tissues.</w:t>
      </w:r>
      <w:r w:rsidR="00455414">
        <w:rPr>
          <w:rFonts w:cs="Times New Roman"/>
          <w:szCs w:val="24"/>
        </w:rPr>
        <w:t xml:space="preserve"> </w:t>
      </w:r>
      <w:r w:rsidR="00D63252" w:rsidRPr="00256B60">
        <w:rPr>
          <w:rFonts w:cs="Times New Roman"/>
          <w:szCs w:val="24"/>
        </w:rPr>
        <w:t xml:space="preserve">Outline a strategy that might allow you to carry out that experiment.  Assume that any mouse strain or experimental reagent that you might need is available to you. </w:t>
      </w:r>
    </w:p>
    <w:sectPr w:rsidR="006E023D" w:rsidRPr="00256B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2FE75" w14:textId="77777777" w:rsidR="00D00E09" w:rsidRDefault="00D00E09" w:rsidP="001A46B0">
      <w:r>
        <w:separator/>
      </w:r>
    </w:p>
  </w:endnote>
  <w:endnote w:type="continuationSeparator" w:id="0">
    <w:p w14:paraId="021EC954" w14:textId="77777777" w:rsidR="00D00E09" w:rsidRDefault="00D00E09" w:rsidP="001A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9A55" w14:textId="77777777" w:rsidR="00EF5766" w:rsidRDefault="00EF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39254"/>
      <w:docPartObj>
        <w:docPartGallery w:val="Page Numbers (Bottom of Page)"/>
        <w:docPartUnique/>
      </w:docPartObj>
    </w:sdtPr>
    <w:sdtEndPr>
      <w:rPr>
        <w:noProof/>
      </w:rPr>
    </w:sdtEndPr>
    <w:sdtContent>
      <w:p w14:paraId="1A62C793" w14:textId="3E12F527" w:rsidR="001A46B0" w:rsidRDefault="001A4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25C2A" w14:textId="77777777" w:rsidR="001A46B0" w:rsidRDefault="001A4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9D75" w14:textId="77777777" w:rsidR="00EF5766" w:rsidRDefault="00EF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3A29F" w14:textId="77777777" w:rsidR="00D00E09" w:rsidRDefault="00D00E09" w:rsidP="001A46B0">
      <w:r>
        <w:separator/>
      </w:r>
    </w:p>
  </w:footnote>
  <w:footnote w:type="continuationSeparator" w:id="0">
    <w:p w14:paraId="4C1B4FDB" w14:textId="77777777" w:rsidR="00D00E09" w:rsidRDefault="00D00E09" w:rsidP="001A4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58B8" w14:textId="77777777" w:rsidR="00EF5766" w:rsidRDefault="00EF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D585" w14:textId="327699A4" w:rsidR="001A46B0" w:rsidRDefault="001A46B0">
    <w:pPr>
      <w:pStyle w:val="Header"/>
    </w:pPr>
    <w:bookmarkStart w:id="0" w:name="_GoBack"/>
    <w:bookmarkEnd w:id="0"/>
    <w:r>
      <w:t xml:space="preserve">Chapter 7 </w:t>
    </w:r>
    <w:r w:rsidR="0078328B">
      <w:tab/>
    </w:r>
    <w:r w:rsidR="0078328B">
      <w:tab/>
    </w:r>
    <w:r>
      <w:t>Study Questions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D2BA" w14:textId="77777777" w:rsidR="00EF5766" w:rsidRDefault="00EF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1B05"/>
    <w:multiLevelType w:val="hybridMultilevel"/>
    <w:tmpl w:val="C5443E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B0"/>
    <w:rsid w:val="00083CD3"/>
    <w:rsid w:val="0011100B"/>
    <w:rsid w:val="00111F9C"/>
    <w:rsid w:val="0014398E"/>
    <w:rsid w:val="001A46B0"/>
    <w:rsid w:val="00256B60"/>
    <w:rsid w:val="00381A7F"/>
    <w:rsid w:val="00455414"/>
    <w:rsid w:val="006A4067"/>
    <w:rsid w:val="006C4649"/>
    <w:rsid w:val="006E023D"/>
    <w:rsid w:val="00706AD7"/>
    <w:rsid w:val="00755778"/>
    <w:rsid w:val="0078328B"/>
    <w:rsid w:val="00815D4A"/>
    <w:rsid w:val="009870AF"/>
    <w:rsid w:val="009D5558"/>
    <w:rsid w:val="00A8517A"/>
    <w:rsid w:val="00A85A31"/>
    <w:rsid w:val="00C2420B"/>
    <w:rsid w:val="00D00E09"/>
    <w:rsid w:val="00D63252"/>
    <w:rsid w:val="00DA13F6"/>
    <w:rsid w:val="00E47BF6"/>
    <w:rsid w:val="00E6125E"/>
    <w:rsid w:val="00E86801"/>
    <w:rsid w:val="00EF5766"/>
    <w:rsid w:val="00F154EB"/>
    <w:rsid w:val="00F87374"/>
    <w:rsid w:val="00FE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C4186"/>
  <w15:chartTrackingRefBased/>
  <w15:docId w15:val="{B760C0F9-0713-431A-A04C-179E1FF3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6B0"/>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6B0"/>
    <w:pPr>
      <w:tabs>
        <w:tab w:val="center" w:pos="4680"/>
        <w:tab w:val="right" w:pos="9360"/>
      </w:tabs>
    </w:pPr>
  </w:style>
  <w:style w:type="character" w:customStyle="1" w:styleId="HeaderChar">
    <w:name w:val="Header Char"/>
    <w:basedOn w:val="DefaultParagraphFont"/>
    <w:link w:val="Header"/>
    <w:uiPriority w:val="99"/>
    <w:rsid w:val="001A46B0"/>
    <w:rPr>
      <w:rFonts w:cstheme="minorBidi"/>
      <w:szCs w:val="22"/>
    </w:rPr>
  </w:style>
  <w:style w:type="paragraph" w:styleId="Footer">
    <w:name w:val="footer"/>
    <w:basedOn w:val="Normal"/>
    <w:link w:val="FooterChar"/>
    <w:uiPriority w:val="99"/>
    <w:unhideWhenUsed/>
    <w:rsid w:val="001A46B0"/>
    <w:pPr>
      <w:tabs>
        <w:tab w:val="center" w:pos="4680"/>
        <w:tab w:val="right" w:pos="9360"/>
      </w:tabs>
    </w:pPr>
  </w:style>
  <w:style w:type="character" w:customStyle="1" w:styleId="FooterChar">
    <w:name w:val="Footer Char"/>
    <w:basedOn w:val="DefaultParagraphFont"/>
    <w:link w:val="Footer"/>
    <w:uiPriority w:val="99"/>
    <w:rsid w:val="001A46B0"/>
    <w:rPr>
      <w:rFonts w:cstheme="minorBidi"/>
      <w:szCs w:val="22"/>
    </w:rPr>
  </w:style>
  <w:style w:type="paragraph" w:styleId="ListParagraph">
    <w:name w:val="List Paragraph"/>
    <w:basedOn w:val="Normal"/>
    <w:uiPriority w:val="34"/>
    <w:qFormat/>
    <w:rsid w:val="001A4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Meneely</dc:creator>
  <cp:keywords/>
  <dc:description/>
  <cp:lastModifiedBy>LIPPARINI, Giulia</cp:lastModifiedBy>
  <cp:revision>4</cp:revision>
  <dcterms:created xsi:type="dcterms:W3CDTF">2020-07-22T22:32:00Z</dcterms:created>
  <dcterms:modified xsi:type="dcterms:W3CDTF">2020-09-28T10:07:00Z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2020-09-25T10:30:23Z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f4fa952a-aa60-43a8-9ef8-7e1bc7303948</vt:lpwstr>
  </property>
  <property fmtid="{D5CDD505-2E9C-101B-9397-08002B2CF9AE}" pid="8" name="MSIP_Label_89f61502-7731-4690-a118-333634878cc9_ContentBits">
    <vt:lpwstr>0</vt:lpwstr>
  </property>
</Properties>
</file>