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725D" w14:textId="59157CA5" w:rsidR="00327DDD" w:rsidRPr="00327DDD" w:rsidRDefault="00327DDD" w:rsidP="000F502B">
      <w:pPr>
        <w:spacing w:after="0" w:line="480" w:lineRule="auto"/>
        <w:rPr>
          <w:rFonts w:ascii="Times New Roman" w:hAnsi="Times New Roman" w:cs="Times New Roman"/>
          <w:b/>
          <w:bCs/>
          <w:sz w:val="28"/>
          <w:szCs w:val="28"/>
        </w:rPr>
      </w:pPr>
      <w:r w:rsidRPr="00327DDD">
        <w:rPr>
          <w:rFonts w:ascii="Times New Roman" w:hAnsi="Times New Roman" w:cs="Times New Roman"/>
          <w:b/>
          <w:bCs/>
          <w:sz w:val="28"/>
          <w:szCs w:val="28"/>
        </w:rPr>
        <w:t>Hanna</w:t>
      </w:r>
      <w:r w:rsidR="000F502B">
        <w:rPr>
          <w:rFonts w:ascii="Times New Roman" w:hAnsi="Times New Roman" w:cs="Times New Roman"/>
          <w:b/>
          <w:bCs/>
          <w:sz w:val="28"/>
          <w:szCs w:val="28"/>
        </w:rPr>
        <w:t xml:space="preserve"> and Dodd</w:t>
      </w:r>
      <w:r w:rsidR="004E2D27" w:rsidRPr="00327DDD">
        <w:rPr>
          <w:rFonts w:ascii="Times New Roman" w:hAnsi="Times New Roman" w:cs="Times New Roman"/>
          <w:b/>
          <w:bCs/>
          <w:sz w:val="28"/>
          <w:szCs w:val="28"/>
        </w:rPr>
        <w:t xml:space="preserve">: McNae's Essential Law for Journalists </w:t>
      </w:r>
      <w:r w:rsidRPr="00327DDD">
        <w:rPr>
          <w:rFonts w:ascii="Times New Roman" w:hAnsi="Times New Roman" w:cs="Times New Roman"/>
          <w:b/>
          <w:bCs/>
          <w:sz w:val="28"/>
          <w:szCs w:val="28"/>
        </w:rPr>
        <w:t>2</w:t>
      </w:r>
      <w:r w:rsidR="000F502B">
        <w:rPr>
          <w:rFonts w:ascii="Times New Roman" w:hAnsi="Times New Roman" w:cs="Times New Roman"/>
          <w:b/>
          <w:bCs/>
          <w:sz w:val="28"/>
          <w:szCs w:val="28"/>
        </w:rPr>
        <w:t>5</w:t>
      </w:r>
      <w:r w:rsidRPr="00327DDD">
        <w:rPr>
          <w:rFonts w:ascii="Times New Roman" w:hAnsi="Times New Roman" w:cs="Times New Roman"/>
          <w:b/>
          <w:bCs/>
          <w:sz w:val="28"/>
          <w:szCs w:val="28"/>
          <w:vertAlign w:val="superscript"/>
        </w:rPr>
        <w:t>th</w:t>
      </w:r>
      <w:r w:rsidRPr="00327DDD">
        <w:rPr>
          <w:rFonts w:ascii="Times New Roman" w:hAnsi="Times New Roman" w:cs="Times New Roman"/>
          <w:b/>
          <w:bCs/>
          <w:sz w:val="28"/>
          <w:szCs w:val="28"/>
        </w:rPr>
        <w:t xml:space="preserve"> edition</w:t>
      </w:r>
    </w:p>
    <w:p w14:paraId="2D2D5259" w14:textId="77777777" w:rsidR="004E2D27" w:rsidRPr="00327DDD" w:rsidRDefault="004E2D27" w:rsidP="000F502B">
      <w:pPr>
        <w:spacing w:after="0" w:line="480" w:lineRule="auto"/>
        <w:rPr>
          <w:rFonts w:ascii="Times New Roman" w:hAnsi="Times New Roman" w:cs="Times New Roman"/>
          <w:b/>
          <w:color w:val="000000"/>
          <w:sz w:val="28"/>
          <w:szCs w:val="28"/>
        </w:rPr>
      </w:pPr>
      <w:r w:rsidRPr="00327DDD">
        <w:rPr>
          <w:rFonts w:ascii="Times New Roman" w:hAnsi="Times New Roman" w:cs="Times New Roman"/>
          <w:b/>
          <w:bCs/>
          <w:sz w:val="28"/>
          <w:szCs w:val="28"/>
        </w:rPr>
        <w:t xml:space="preserve">Additional material for chapter </w:t>
      </w:r>
      <w:r w:rsidR="00327DDD" w:rsidRPr="00327DDD">
        <w:rPr>
          <w:rFonts w:ascii="Times New Roman" w:hAnsi="Times New Roman" w:cs="Times New Roman"/>
          <w:b/>
          <w:bCs/>
          <w:sz w:val="28"/>
          <w:szCs w:val="28"/>
        </w:rPr>
        <w:t xml:space="preserve">10: </w:t>
      </w:r>
      <w:r w:rsidRPr="00327DDD">
        <w:rPr>
          <w:rFonts w:ascii="Times New Roman" w:hAnsi="Times New Roman" w:cs="Times New Roman"/>
          <w:b/>
          <w:color w:val="000000"/>
          <w:sz w:val="28"/>
          <w:szCs w:val="28"/>
        </w:rPr>
        <w:t>Juveniles in court proceedings</w:t>
      </w:r>
    </w:p>
    <w:p w14:paraId="3EBCDDC6" w14:textId="6DA97AEB" w:rsidR="00B53DF3" w:rsidRDefault="00B53DF3" w:rsidP="000F502B">
      <w:pPr>
        <w:spacing w:after="0" w:line="480" w:lineRule="auto"/>
        <w:rPr>
          <w:rFonts w:ascii="Times New Roman" w:hAnsi="Times New Roman" w:cs="Times New Roman"/>
          <w:bCs/>
          <w:i/>
        </w:rPr>
      </w:pPr>
      <w:r w:rsidRPr="00750D65">
        <w:rPr>
          <w:rFonts w:ascii="Times New Roman" w:hAnsi="Times New Roman" w:cs="Times New Roman"/>
          <w:bCs/>
          <w:i/>
        </w:rPr>
        <w:t>Section numbers from the book are used</w:t>
      </w:r>
      <w:r>
        <w:rPr>
          <w:rFonts w:ascii="Times New Roman" w:hAnsi="Times New Roman" w:cs="Times New Roman"/>
          <w:bCs/>
          <w:i/>
        </w:rPr>
        <w:t xml:space="preserve"> when relevant</w:t>
      </w:r>
      <w:r w:rsidRPr="00750D65">
        <w:rPr>
          <w:rFonts w:ascii="Times New Roman" w:hAnsi="Times New Roman" w:cs="Times New Roman"/>
          <w:bCs/>
          <w:i/>
        </w:rPr>
        <w:t>.</w:t>
      </w:r>
      <w:bookmarkStart w:id="0" w:name="_Hlk42337319"/>
      <w:r w:rsidR="00154516" w:rsidRPr="00154516">
        <w:rPr>
          <w:rFonts w:ascii="Times New Roman" w:hAnsi="Times New Roman" w:cs="Times New Roman"/>
          <w:bCs/>
          <w:i/>
        </w:rPr>
        <w:t xml:space="preserve"> </w:t>
      </w:r>
      <w:r w:rsidR="00154516">
        <w:rPr>
          <w:rFonts w:ascii="Times New Roman" w:hAnsi="Times New Roman" w:cs="Times New Roman"/>
          <w:bCs/>
          <w:i/>
        </w:rPr>
        <w:t>The book should be read too.</w:t>
      </w:r>
      <w:bookmarkEnd w:id="0"/>
      <w:r w:rsidRPr="00750D65">
        <w:rPr>
          <w:rFonts w:ascii="Times New Roman" w:hAnsi="Times New Roman" w:cs="Times New Roman"/>
          <w:bCs/>
          <w:i/>
        </w:rPr>
        <w:t xml:space="preserve"> Its content provides fuller explanations and context.</w:t>
      </w:r>
    </w:p>
    <w:p w14:paraId="6E94CCAB" w14:textId="77777777" w:rsidR="00BC4A24" w:rsidRDefault="00BC4A24" w:rsidP="000F502B">
      <w:pPr>
        <w:spacing w:after="0" w:line="480" w:lineRule="auto"/>
        <w:rPr>
          <w:rFonts w:ascii="Times New Roman" w:hAnsi="Times New Roman" w:cs="Times New Roman"/>
          <w:bCs/>
          <w:i/>
        </w:rPr>
      </w:pPr>
    </w:p>
    <w:p w14:paraId="5D7CB0DC" w14:textId="7E43DBF5" w:rsidR="00BC4A24" w:rsidRPr="000F502B" w:rsidRDefault="00BC4A24" w:rsidP="000F502B">
      <w:pPr>
        <w:pStyle w:val="1hd"/>
        <w:spacing w:before="0" w:after="0"/>
        <w:rPr>
          <w:sz w:val="26"/>
          <w:szCs w:val="26"/>
          <w:lang w:val="en-US"/>
        </w:rPr>
      </w:pPr>
      <w:r w:rsidRPr="000F502B">
        <w:rPr>
          <w:bCs/>
          <w:sz w:val="26"/>
          <w:szCs w:val="26"/>
          <w:lang w:val="en-US"/>
        </w:rPr>
        <w:t>10.</w:t>
      </w:r>
      <w:r w:rsidR="000F502B" w:rsidRPr="000F502B">
        <w:rPr>
          <w:bCs/>
          <w:sz w:val="26"/>
          <w:szCs w:val="26"/>
          <w:lang w:val="en-US"/>
        </w:rPr>
        <w:t>2.6</w:t>
      </w:r>
      <w:r w:rsidRPr="000F502B">
        <w:rPr>
          <w:rFonts w:ascii="MS Mincho" w:eastAsia="MS Mincho" w:hAnsi="MS Mincho" w:cs="MS Mincho" w:hint="eastAsia"/>
          <w:bCs/>
          <w:sz w:val="26"/>
          <w:szCs w:val="26"/>
          <w:lang w:val="en-US"/>
        </w:rPr>
        <w:t> </w:t>
      </w:r>
      <w:r w:rsidRPr="000F502B">
        <w:rPr>
          <w:sz w:val="26"/>
          <w:szCs w:val="26"/>
          <w:lang w:val="en-US"/>
        </w:rPr>
        <w:t>Admission to youth courts</w:t>
      </w:r>
    </w:p>
    <w:p w14:paraId="1399C1C4" w14:textId="77777777" w:rsidR="00BC4A24" w:rsidRPr="000F502B" w:rsidRDefault="00BC4A24" w:rsidP="000F502B">
      <w:pPr>
        <w:spacing w:after="0" w:line="480" w:lineRule="auto"/>
        <w:rPr>
          <w:rFonts w:ascii="Times New Roman" w:hAnsi="Times New Roman" w:cs="Times New Roman"/>
          <w:bCs/>
          <w:i/>
        </w:rPr>
      </w:pPr>
    </w:p>
    <w:p w14:paraId="1D17A5FB" w14:textId="19B22F9F" w:rsidR="00BC4A24" w:rsidRPr="000F502B" w:rsidRDefault="000F502B" w:rsidP="000F502B">
      <w:pPr>
        <w:pStyle w:val="Casep1"/>
        <w:pBdr>
          <w:bottom w:val="single" w:sz="4" w:space="1" w:color="auto"/>
        </w:pBdr>
        <w:spacing w:before="0" w:after="0" w:line="480" w:lineRule="auto"/>
        <w:jc w:val="left"/>
        <w:rPr>
          <w:sz w:val="22"/>
          <w:szCs w:val="22"/>
        </w:rPr>
      </w:pPr>
      <w:r w:rsidRPr="000F502B">
        <w:rPr>
          <w:b/>
          <w:bCs/>
          <w:sz w:val="22"/>
          <w:szCs w:val="22"/>
        </w:rPr>
        <w:t>Case study</w:t>
      </w:r>
      <w:r w:rsidRPr="000F502B">
        <w:rPr>
          <w:sz w:val="22"/>
          <w:szCs w:val="22"/>
        </w:rPr>
        <w:t xml:space="preserve">: </w:t>
      </w:r>
      <w:r w:rsidR="00BC4A24" w:rsidRPr="000F502B">
        <w:rPr>
          <w:sz w:val="22"/>
          <w:szCs w:val="22"/>
        </w:rPr>
        <w:t>In February 2017 District Judge Julia Newton banned a Press Association (PA) reporter from a hearing at Highbury Corner youth court, after the defence said the reporter’s presence would be detrimental to the welfare of the defendant, a teenager accused of assault and possessing an offensive weapon. After PA protested that its reporter was excluded, a Judicial Communications spokesman said of the judge: ‘In hindsight she realises this was an error and that she had no legal authority to exclude the press and they should have been allowed to attend under section 47 the Children and Young Persons Act 1933.’ The prosecutor did not challenge the defence application for the reporter to be kept out. A Crown Prosecution Service spokesman said, of that lack of a challenge, that the CPS did not believe that its general guidance to prosecutors was correctly applied (</w:t>
      </w:r>
      <w:r w:rsidR="00BC4A24" w:rsidRPr="000F502B">
        <w:rPr>
          <w:i/>
          <w:sz w:val="22"/>
          <w:szCs w:val="22"/>
        </w:rPr>
        <w:t>Media Lawyer</w:t>
      </w:r>
      <w:r w:rsidR="00BC4A24" w:rsidRPr="000F502B">
        <w:rPr>
          <w:sz w:val="22"/>
          <w:szCs w:val="22"/>
        </w:rPr>
        <w:t>, 28 March 2017).</w:t>
      </w:r>
    </w:p>
    <w:p w14:paraId="2F475C69" w14:textId="77777777" w:rsidR="00B53DF3" w:rsidRDefault="00B53DF3" w:rsidP="000F502B">
      <w:pPr>
        <w:spacing w:after="0" w:line="480" w:lineRule="auto"/>
        <w:rPr>
          <w:rFonts w:ascii="Times New Roman" w:hAnsi="Times New Roman" w:cs="Times New Roman"/>
          <w:b/>
          <w:color w:val="000000"/>
          <w:sz w:val="28"/>
          <w:szCs w:val="24"/>
        </w:rPr>
      </w:pPr>
    </w:p>
    <w:p w14:paraId="5FB0F3E5" w14:textId="25244893" w:rsidR="00327DDD" w:rsidRPr="00B53DF3" w:rsidRDefault="00327DDD" w:rsidP="000F502B">
      <w:pPr>
        <w:spacing w:after="0" w:line="480" w:lineRule="auto"/>
        <w:rPr>
          <w:rFonts w:ascii="Times New Roman" w:hAnsi="Times New Roman" w:cs="Times New Roman"/>
          <w:b/>
          <w:color w:val="000000"/>
          <w:sz w:val="26"/>
          <w:szCs w:val="24"/>
        </w:rPr>
      </w:pPr>
      <w:r w:rsidRPr="00B53DF3">
        <w:rPr>
          <w:rFonts w:ascii="Times New Roman" w:hAnsi="Times New Roman" w:cs="Times New Roman"/>
          <w:b/>
          <w:color w:val="000000"/>
          <w:sz w:val="26"/>
          <w:szCs w:val="24"/>
        </w:rPr>
        <w:t>10.</w:t>
      </w:r>
      <w:r w:rsidR="000F502B">
        <w:rPr>
          <w:rFonts w:ascii="Times New Roman" w:hAnsi="Times New Roman" w:cs="Times New Roman"/>
          <w:b/>
          <w:color w:val="000000"/>
          <w:sz w:val="26"/>
          <w:szCs w:val="24"/>
        </w:rPr>
        <w:t>3</w:t>
      </w:r>
      <w:r w:rsidRPr="00B53DF3">
        <w:rPr>
          <w:rFonts w:ascii="Times New Roman" w:hAnsi="Times New Roman" w:cs="Times New Roman"/>
          <w:b/>
          <w:color w:val="000000"/>
          <w:sz w:val="26"/>
          <w:szCs w:val="24"/>
        </w:rPr>
        <w:t>.1 No identifying detail should be published</w:t>
      </w:r>
    </w:p>
    <w:p w14:paraId="22898A89" w14:textId="77777777" w:rsidR="004E2D27" w:rsidRPr="000F502B" w:rsidRDefault="004E2D27" w:rsidP="000F502B">
      <w:pPr>
        <w:spacing w:after="0" w:line="480" w:lineRule="auto"/>
        <w:rPr>
          <w:rFonts w:ascii="Times New Roman" w:hAnsi="Times New Roman" w:cs="Times New Roman"/>
        </w:rPr>
      </w:pPr>
      <w:r w:rsidRPr="000F502B">
        <w:rPr>
          <w:rFonts w:ascii="Times New Roman" w:hAnsi="Times New Roman" w:cs="Times New Roman"/>
          <w:b/>
          <w:bCs/>
        </w:rPr>
        <w:t>Example of section 49 anonymity</w:t>
      </w:r>
    </w:p>
    <w:p w14:paraId="1194644B" w14:textId="6686DF71" w:rsidR="004E2D27" w:rsidRPr="00B53DF3" w:rsidRDefault="004E2D27" w:rsidP="000F502B">
      <w:pPr>
        <w:spacing w:after="0" w:line="480" w:lineRule="auto"/>
        <w:rPr>
          <w:rFonts w:ascii="Times New Roman" w:hAnsi="Times New Roman" w:cs="Times New Roman"/>
          <w:i/>
        </w:rPr>
      </w:pPr>
      <w:r w:rsidRPr="000F502B">
        <w:rPr>
          <w:rFonts w:ascii="Times New Roman" w:hAnsi="Times New Roman" w:cs="Times New Roman"/>
        </w:rPr>
        <w:t>Suppose that an inexperience</w:t>
      </w:r>
      <w:r w:rsidR="00B53DF3" w:rsidRPr="000F502B">
        <w:rPr>
          <w:rFonts w:ascii="Times New Roman" w:hAnsi="Times New Roman" w:cs="Times New Roman"/>
        </w:rPr>
        <w:t>d</w:t>
      </w:r>
      <w:r w:rsidRPr="000F502B">
        <w:rPr>
          <w:rFonts w:ascii="Times New Roman" w:hAnsi="Times New Roman" w:cs="Times New Roman"/>
        </w:rPr>
        <w:t xml:space="preserve"> reporter files the following copy from a youth court hearing. It is accurate, but the reporter has forgotten that, because of the automatic anonymity provision in section 49 of the Children and Young Persons Act </w:t>
      </w:r>
      <w:bookmarkStart w:id="1" w:name="_GoBack"/>
      <w:bookmarkEnd w:id="1"/>
      <w:r w:rsidRPr="000F502B">
        <w:rPr>
          <w:rFonts w:ascii="Times New Roman" w:hAnsi="Times New Roman" w:cs="Times New Roman"/>
        </w:rPr>
        <w:t xml:space="preserve">1949, juveniles concerned in the proceedings should not be identified in what is published. This law is explained </w:t>
      </w:r>
      <w:r w:rsidR="00B53DF3" w:rsidRPr="000F502B">
        <w:rPr>
          <w:rFonts w:ascii="Times New Roman" w:hAnsi="Times New Roman" w:cs="Times New Roman"/>
        </w:rPr>
        <w:t>10.</w:t>
      </w:r>
      <w:r w:rsidR="000F502B" w:rsidRPr="000F502B">
        <w:rPr>
          <w:rFonts w:ascii="Times New Roman" w:hAnsi="Times New Roman" w:cs="Times New Roman"/>
        </w:rPr>
        <w:t>3</w:t>
      </w:r>
      <w:r w:rsidR="00B53DF3" w:rsidRPr="000F502B">
        <w:rPr>
          <w:rFonts w:ascii="Times New Roman" w:hAnsi="Times New Roman" w:cs="Times New Roman"/>
        </w:rPr>
        <w:t xml:space="preserve"> </w:t>
      </w:r>
      <w:r w:rsidRPr="000F502B">
        <w:rPr>
          <w:rFonts w:ascii="Times New Roman" w:hAnsi="Times New Roman" w:cs="Times New Roman"/>
        </w:rPr>
        <w:t xml:space="preserve">in </w:t>
      </w:r>
      <w:r w:rsidRPr="000F502B">
        <w:rPr>
          <w:rFonts w:ascii="Times New Roman" w:hAnsi="Times New Roman" w:cs="Times New Roman"/>
          <w:i/>
          <w:iCs/>
        </w:rPr>
        <w:t>McNae’s.</w:t>
      </w:r>
      <w:r w:rsidRPr="000F502B">
        <w:rPr>
          <w:rFonts w:ascii="Times New Roman" w:hAnsi="Times New Roman" w:cs="Times New Roman"/>
        </w:rPr>
        <w:br/>
      </w:r>
      <w:r w:rsidRPr="00EF59F5">
        <w:rPr>
          <w:rFonts w:ascii="Times New Roman" w:hAnsi="Times New Roman" w:cs="Times New Roman"/>
          <w:sz w:val="24"/>
          <w:szCs w:val="24"/>
        </w:rPr>
        <w:br/>
      </w:r>
      <w:r w:rsidRPr="00B53DF3">
        <w:rPr>
          <w:rFonts w:ascii="Times New Roman" w:hAnsi="Times New Roman" w:cs="Times New Roman"/>
          <w:i/>
        </w:rPr>
        <w:t>A 15-year-old youth stole an aquarium of piranha fish from his neighbour, and dared a girl to put her hand in the tank.</w:t>
      </w:r>
    </w:p>
    <w:p w14:paraId="04D83F68"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lastRenderedPageBreak/>
        <w:t>Robert Hedde, of Dodd Close, Probetown, denied burglary, but was convicted by the town’s youth court.</w:t>
      </w:r>
    </w:p>
    <w:p w14:paraId="7705280F"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He smashed a window to steal the fishtank, carried it a mile to his father’s allotment in Old Park, and hid it in a shed there.</w:t>
      </w:r>
    </w:p>
    <w:p w14:paraId="1BDEB8E5"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The neighbour Alan Udrington, a prosecution witness, told the court that Hedde had often visited him to see the four fish.</w:t>
      </w:r>
    </w:p>
    <w:p w14:paraId="4A67DCF7"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 xml:space="preserve">‘Robert seemed fascinated by them. When police told me they were sure he was the thief I was shocked, because his family have been great neighbours, and his dad is a lay preacher at the Baptist church. </w:t>
      </w:r>
    </w:p>
    <w:p w14:paraId="0D94DD47"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‘I have kept piranhas for years. They have a fearsome reputation as flesh-eaters when in shoals in South American rivers. But a few in a tank are cute,’ Mr Udrington said.</w:t>
      </w:r>
    </w:p>
    <w:p w14:paraId="22F9B5B3"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Police sergeant Jean Greenwood told the magistrates: ‘A local parent rang us in great concern because his daughter had told him that a youth known locally as ‘Headcase’ had charged her money to see the piranhas in the allotment shed, and dared her to put hand in the tank. But by the time we located the shed the fish were all dead.’</w:t>
      </w:r>
    </w:p>
    <w:p w14:paraId="60BC63C0"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Sgt.Greenwood said that Hedde’s fingerprints had been found on the aquarium’s glass, and a dead piranha had been found in his bedroom.</w:t>
      </w:r>
    </w:p>
    <w:p w14:paraId="364BA0C8"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 xml:space="preserve">Hedde told police his fingerprints were found because he too had paid to see the fish. </w:t>
      </w:r>
    </w:p>
    <w:p w14:paraId="0E63DEF1"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But fourteen-year-old Helen Evans, of Else Lane, a prosecution witness, told the court he had charged her £1 to enter the shed, and challenged her to put her hand in the tank, telling her it would be safe if she did so for only 10 seconds. She had refused. The court saw footage from her mobile phone of Hedde putting fish food in the tank.</w:t>
      </w:r>
    </w:p>
    <w:p w14:paraId="286C8590"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The court made Hedde subject to a ‘referral order’, which means he must do unpaid work in the community.</w:t>
      </w:r>
    </w:p>
    <w:p w14:paraId="664CC020" w14:textId="77777777" w:rsidR="00B53DF3" w:rsidRDefault="00B53DF3" w:rsidP="000F502B">
      <w:pPr>
        <w:spacing w:after="0" w:line="480" w:lineRule="auto"/>
        <w:rPr>
          <w:rFonts w:ascii="Times New Roman" w:hAnsi="Times New Roman" w:cs="Times New Roman"/>
        </w:rPr>
      </w:pPr>
    </w:p>
    <w:p w14:paraId="29736B29" w14:textId="77777777" w:rsidR="004E2D27" w:rsidRPr="00B53DF3" w:rsidRDefault="004E2D27" w:rsidP="000F502B">
      <w:pPr>
        <w:spacing w:after="0" w:line="480" w:lineRule="auto"/>
        <w:rPr>
          <w:rFonts w:ascii="Times New Roman" w:hAnsi="Times New Roman" w:cs="Times New Roman"/>
        </w:rPr>
      </w:pPr>
      <w:r w:rsidRPr="00B53DF3">
        <w:rPr>
          <w:rFonts w:ascii="Times New Roman" w:hAnsi="Times New Roman" w:cs="Times New Roman"/>
        </w:rPr>
        <w:t>The copy will need to be re-written as follows, to give Hedde and Evans anonymity. Assume that Probetown has about 30,000 residents (and therefore a good number of 15-year-old males and 14-year-old females).</w:t>
      </w:r>
    </w:p>
    <w:p w14:paraId="4BE2CE13" w14:textId="77777777" w:rsidR="00B53DF3" w:rsidRDefault="00B53DF3" w:rsidP="000F502B">
      <w:pPr>
        <w:spacing w:after="0" w:line="480" w:lineRule="auto"/>
        <w:rPr>
          <w:rFonts w:ascii="Times New Roman" w:hAnsi="Times New Roman" w:cs="Times New Roman"/>
          <w:i/>
        </w:rPr>
      </w:pPr>
    </w:p>
    <w:p w14:paraId="570881FF"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A 15-year-old youth stole an aquarium of piranha fish from a Probetown house, and dared a teenage girl to put her hand in the tank.</w:t>
      </w:r>
    </w:p>
    <w:p w14:paraId="7C6FFE55"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The youth denied burglary, but was convicted by the town’s youth court.</w:t>
      </w:r>
    </w:p>
    <w:p w14:paraId="6F7CF5E4"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He smashed a window to steal the fishtank, and carried it a mile to a shed.</w:t>
      </w:r>
    </w:p>
    <w:p w14:paraId="27F22524"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The owner of the fish Alan Udrington, a prosecution witness, said: ‘I have kept piranhas for years. They have a fearsome reputation as flesh-eaters when in shoals in South American rivers. But a few in a tank are cute.’</w:t>
      </w:r>
    </w:p>
    <w:p w14:paraId="0F878C8E"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Police sergeant Jean Greenwood told the magistrates that a parent had rung the police in great concern after his daughter told him the youth had charged her to see the piranhas in the shed, and had dared her to put her hands in the tank. ‘But by the time we located the shed the fish were all dead’, Sgt. Greenwood added.</w:t>
      </w:r>
    </w:p>
    <w:p w14:paraId="5E27D915"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She said that the youth’s fingerprints had been found on the aquarium’s glass, and a dead piranha had been found in his bedroom.</w:t>
      </w:r>
    </w:p>
    <w:p w14:paraId="39BFEEFE"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 xml:space="preserve">The youth told police his fingerprints were on the aquarium because he too had paid to see the fish. </w:t>
      </w:r>
    </w:p>
    <w:p w14:paraId="1340637D"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But a 14-year-old girl told the court he had charged her £1 to enter the shed, and challenged her to put her hand in the tank, telling her it would be safe if she did so for only 10 seconds. She had refused. The court saw footage from her mobile phone of him putting fish food in the tank.</w:t>
      </w:r>
    </w:p>
    <w:p w14:paraId="28356464" w14:textId="77777777" w:rsidR="004E2D27" w:rsidRPr="00B53DF3" w:rsidRDefault="004E2D27" w:rsidP="000F502B">
      <w:pPr>
        <w:spacing w:after="0" w:line="480" w:lineRule="auto"/>
        <w:rPr>
          <w:rFonts w:ascii="Times New Roman" w:hAnsi="Times New Roman" w:cs="Times New Roman"/>
          <w:i/>
        </w:rPr>
      </w:pPr>
      <w:r w:rsidRPr="00B53DF3">
        <w:rPr>
          <w:rFonts w:ascii="Times New Roman" w:hAnsi="Times New Roman" w:cs="Times New Roman"/>
          <w:i/>
        </w:rPr>
        <w:t>The court made the youth subject to a ‘referral order’, which means he must do unpaid work in the community.</w:t>
      </w:r>
    </w:p>
    <w:p w14:paraId="746B76F0" w14:textId="77777777" w:rsidR="000F502B" w:rsidRDefault="000F502B" w:rsidP="000F502B">
      <w:pPr>
        <w:spacing w:after="0" w:line="480" w:lineRule="auto"/>
        <w:rPr>
          <w:rFonts w:ascii="Times New Roman" w:hAnsi="Times New Roman" w:cs="Times New Roman"/>
          <w:b/>
          <w:sz w:val="28"/>
          <w:szCs w:val="28"/>
        </w:rPr>
      </w:pPr>
    </w:p>
    <w:p w14:paraId="235909BA" w14:textId="0B8B2733" w:rsidR="00327DDD" w:rsidRPr="000F502B" w:rsidRDefault="000F502B" w:rsidP="000F502B">
      <w:pPr>
        <w:spacing w:after="0" w:line="480" w:lineRule="auto"/>
        <w:rPr>
          <w:rFonts w:ascii="Times New Roman" w:hAnsi="Times New Roman" w:cs="Times New Roman"/>
          <w:b/>
          <w:sz w:val="28"/>
          <w:szCs w:val="28"/>
        </w:rPr>
      </w:pPr>
      <w:r w:rsidRPr="000F502B">
        <w:rPr>
          <w:rFonts w:ascii="Times New Roman" w:hAnsi="Times New Roman" w:cs="Times New Roman"/>
          <w:b/>
          <w:sz w:val="28"/>
          <w:szCs w:val="28"/>
        </w:rPr>
        <w:t>10.5 Section 39 reporting restrictions in civil proceedings and coroners’ courts</w:t>
      </w:r>
    </w:p>
    <w:p w14:paraId="29D6DD4B" w14:textId="53F8D8AC" w:rsidR="00702D88" w:rsidRPr="00327DDD" w:rsidRDefault="00702D88" w:rsidP="000F502B">
      <w:pPr>
        <w:spacing w:after="0" w:line="480" w:lineRule="auto"/>
        <w:ind w:left="567"/>
        <w:rPr>
          <w:rFonts w:ascii="Times New Roman" w:hAnsi="Times New Roman" w:cs="Times New Roman"/>
        </w:rPr>
      </w:pPr>
      <w:r w:rsidRPr="00327DDD">
        <w:rPr>
          <w:rFonts w:ascii="Times New Roman" w:hAnsi="Times New Roman" w:cs="Times New Roman"/>
          <w:b/>
        </w:rPr>
        <w:t>Case study</w:t>
      </w:r>
      <w:r w:rsidR="00327DDD">
        <w:rPr>
          <w:rFonts w:ascii="Times New Roman" w:hAnsi="Times New Roman" w:cs="Times New Roman"/>
        </w:rPr>
        <w:t xml:space="preserve">: </w:t>
      </w:r>
      <w:r w:rsidRPr="00327DDD">
        <w:rPr>
          <w:rFonts w:ascii="Times New Roman" w:hAnsi="Times New Roman" w:cs="Times New Roman"/>
        </w:rPr>
        <w:t xml:space="preserve">In 2014 Brian Aitken, then the editor of the </w:t>
      </w:r>
      <w:r w:rsidRPr="00327DDD">
        <w:rPr>
          <w:rFonts w:ascii="Times New Roman" w:hAnsi="Times New Roman" w:cs="Times New Roman"/>
          <w:i/>
        </w:rPr>
        <w:t>Newcastle Journal</w:t>
      </w:r>
      <w:r w:rsidRPr="00327DDD">
        <w:rPr>
          <w:rFonts w:ascii="Times New Roman" w:hAnsi="Times New Roman" w:cs="Times New Roman"/>
        </w:rPr>
        <w:t xml:space="preserve">, was fined £1,600 by a district judge after admitting it breached a section 39 order by naming a juvenile’s school. Publisher NCJ Media Ltd, part of Trinity Mirror plc, also admitted breaching the order and was fined £2,160 on that charge and a further £2,160 for a similar publication in sister title the </w:t>
      </w:r>
      <w:r w:rsidRPr="00AC362B">
        <w:rPr>
          <w:rFonts w:ascii="Times New Roman" w:hAnsi="Times New Roman" w:cs="Times New Roman"/>
          <w:i/>
        </w:rPr>
        <w:lastRenderedPageBreak/>
        <w:t>Chronicle</w:t>
      </w:r>
      <w:r w:rsidRPr="00327DDD">
        <w:rPr>
          <w:rFonts w:ascii="Times New Roman" w:hAnsi="Times New Roman" w:cs="Times New Roman"/>
        </w:rPr>
        <w:t>, and ordered to pay £5,000 costs. The charges arose out of a report of the case of a woman teaching assistant at a school who appeared in a magistrates’ court charged with a sexual offence involving a female pupil. As the charge was a sexual offence, the alleged victim was automatically entitled to lifelong anonymity under the Sexual Offences (Amendment) Act 1992</w:t>
      </w:r>
      <w:r w:rsidR="00327DDD" w:rsidRPr="00327DDD">
        <w:rPr>
          <w:rFonts w:ascii="Times New Roman" w:hAnsi="Times New Roman" w:cs="Times New Roman"/>
        </w:rPr>
        <w:t xml:space="preserve"> – law explained in 11.1- 11.3 in </w:t>
      </w:r>
      <w:r w:rsidR="00327DDD" w:rsidRPr="00327DDD">
        <w:rPr>
          <w:rFonts w:ascii="Times New Roman" w:hAnsi="Times New Roman" w:cs="Times New Roman"/>
          <w:i/>
        </w:rPr>
        <w:t>McNae’s</w:t>
      </w:r>
      <w:r w:rsidR="00327DDD" w:rsidRPr="00327DDD">
        <w:rPr>
          <w:rFonts w:ascii="Times New Roman" w:hAnsi="Times New Roman" w:cs="Times New Roman"/>
        </w:rPr>
        <w:t xml:space="preserve">. </w:t>
      </w:r>
      <w:r w:rsidRPr="00327DDD">
        <w:rPr>
          <w:rFonts w:ascii="Times New Roman" w:hAnsi="Times New Roman" w:cs="Times New Roman"/>
        </w:rPr>
        <w:t>However, the magistrates also gave the pupil anonymity with an order under section 39 of the Children and Young Persons Act 1933</w:t>
      </w:r>
      <w:r w:rsidR="00327DDD" w:rsidRPr="00327DDD">
        <w:rPr>
          <w:rFonts w:ascii="Times New Roman" w:hAnsi="Times New Roman" w:cs="Times New Roman"/>
        </w:rPr>
        <w:t>, w</w:t>
      </w:r>
      <w:r w:rsidRPr="00327DDD">
        <w:rPr>
          <w:rFonts w:ascii="Times New Roman" w:hAnsi="Times New Roman" w:cs="Times New Roman"/>
        </w:rPr>
        <w:t>hich was at that time used in criminal courts</w:t>
      </w:r>
      <w:r w:rsidR="00327DDD" w:rsidRPr="00327DDD">
        <w:rPr>
          <w:rFonts w:ascii="Times New Roman" w:hAnsi="Times New Roman" w:cs="Times New Roman"/>
        </w:rPr>
        <w:t xml:space="preserve"> – see </w:t>
      </w:r>
      <w:r w:rsidR="000F502B">
        <w:rPr>
          <w:rFonts w:ascii="Times New Roman" w:hAnsi="Times New Roman" w:cs="Times New Roman"/>
        </w:rPr>
        <w:t xml:space="preserve">10.4.1.2 in </w:t>
      </w:r>
      <w:r w:rsidR="00327DDD" w:rsidRPr="00327DDD">
        <w:rPr>
          <w:rFonts w:ascii="Times New Roman" w:hAnsi="Times New Roman" w:cs="Times New Roman"/>
          <w:i/>
        </w:rPr>
        <w:t>McNae’s</w:t>
      </w:r>
      <w:r w:rsidRPr="00327DDD">
        <w:rPr>
          <w:rFonts w:ascii="Times New Roman" w:hAnsi="Times New Roman" w:cs="Times New Roman"/>
        </w:rPr>
        <w:t xml:space="preserve">. But Aitken did not know the section 39 order had been made. The </w:t>
      </w:r>
      <w:r w:rsidRPr="00AC362B">
        <w:rPr>
          <w:rFonts w:ascii="Times New Roman" w:hAnsi="Times New Roman" w:cs="Times New Roman"/>
          <w:i/>
        </w:rPr>
        <w:t xml:space="preserve">Journal </w:t>
      </w:r>
      <w:r w:rsidRPr="00327DDD">
        <w:rPr>
          <w:rFonts w:ascii="Times New Roman" w:hAnsi="Times New Roman" w:cs="Times New Roman"/>
        </w:rPr>
        <w:t>felt that, with 1,000 pupils, the school was big enough to allow it to be named without identifying the pupil, who was not identified in the reports. But Aitken and NCJ Media were ruled to have breached the section 39 order by naming the school. The High Court later dismissed Aitken’s appeal against the district judge’s ruling on the liability of editors, a ruling which had led to Aitken changing his plea to guilty</w:t>
      </w:r>
      <w:r w:rsidR="000F502B">
        <w:rPr>
          <w:rFonts w:ascii="Times New Roman" w:hAnsi="Times New Roman" w:cs="Times New Roman"/>
        </w:rPr>
        <w:t xml:space="preserve">, </w:t>
      </w:r>
      <w:r w:rsidRPr="00327DDD">
        <w:rPr>
          <w:rFonts w:ascii="Times New Roman" w:hAnsi="Times New Roman" w:cs="Times New Roman"/>
        </w:rPr>
        <w:t>(</w:t>
      </w:r>
      <w:r w:rsidRPr="00327DDD">
        <w:rPr>
          <w:rFonts w:ascii="Times New Roman" w:hAnsi="Times New Roman" w:cs="Times New Roman"/>
          <w:i/>
        </w:rPr>
        <w:t>Press Gazette</w:t>
      </w:r>
      <w:r w:rsidRPr="00327DDD">
        <w:rPr>
          <w:rFonts w:ascii="Times New Roman" w:hAnsi="Times New Roman" w:cs="Times New Roman"/>
        </w:rPr>
        <w:t xml:space="preserve">, 20 November 2014; </w:t>
      </w:r>
      <w:r w:rsidRPr="00327DDD">
        <w:rPr>
          <w:rFonts w:ascii="Times New Roman" w:hAnsi="Times New Roman" w:cs="Times New Roman"/>
          <w:i/>
        </w:rPr>
        <w:t>Media Lawyer</w:t>
      </w:r>
      <w:r w:rsidRPr="00327DDD">
        <w:rPr>
          <w:rFonts w:ascii="Times New Roman" w:hAnsi="Times New Roman" w:cs="Times New Roman"/>
        </w:rPr>
        <w:t xml:space="preserve">, 20 November 2014 and 23 April 2015; </w:t>
      </w:r>
      <w:r w:rsidRPr="00327DDD">
        <w:rPr>
          <w:rFonts w:ascii="Times New Roman" w:hAnsi="Times New Roman" w:cs="Times New Roman"/>
          <w:i/>
        </w:rPr>
        <w:t>Brian Aitken v DPP</w:t>
      </w:r>
      <w:r w:rsidRPr="00327DDD">
        <w:rPr>
          <w:rFonts w:ascii="Times New Roman" w:hAnsi="Times New Roman" w:cs="Times New Roman"/>
        </w:rPr>
        <w:t xml:space="preserve"> [2015] EWHC 1079 (Admin)).</w:t>
      </w:r>
    </w:p>
    <w:p w14:paraId="02EE8BFE" w14:textId="77777777" w:rsidR="000F502B" w:rsidRDefault="000F502B" w:rsidP="000F502B">
      <w:pPr>
        <w:pStyle w:val="AHead"/>
        <w:spacing w:before="0" w:after="0" w:line="480" w:lineRule="auto"/>
        <w:ind w:left="0" w:right="540"/>
        <w:rPr>
          <w:rFonts w:ascii="Times New Roman" w:hAnsi="Times New Roman"/>
          <w:color w:val="auto"/>
          <w:sz w:val="28"/>
        </w:rPr>
      </w:pPr>
    </w:p>
    <w:p w14:paraId="6139FEA4" w14:textId="0D7701D9" w:rsidR="00702D88" w:rsidRPr="008D6B88" w:rsidRDefault="00327DDD" w:rsidP="000F502B">
      <w:pPr>
        <w:pStyle w:val="AHead"/>
        <w:spacing w:before="0" w:after="0" w:line="480" w:lineRule="auto"/>
        <w:ind w:left="0" w:right="540"/>
        <w:rPr>
          <w:rFonts w:ascii="Times New Roman" w:hAnsi="Times New Roman"/>
          <w:color w:val="auto"/>
          <w:sz w:val="28"/>
        </w:rPr>
      </w:pPr>
      <w:r>
        <w:rPr>
          <w:rFonts w:ascii="Times New Roman" w:hAnsi="Times New Roman"/>
          <w:color w:val="auto"/>
          <w:sz w:val="28"/>
        </w:rPr>
        <w:t>10.</w:t>
      </w:r>
      <w:r w:rsidR="000F502B">
        <w:rPr>
          <w:rFonts w:ascii="Times New Roman" w:hAnsi="Times New Roman"/>
          <w:color w:val="auto"/>
          <w:sz w:val="28"/>
        </w:rPr>
        <w:t>7</w:t>
      </w:r>
      <w:r>
        <w:rPr>
          <w:rFonts w:ascii="Times New Roman" w:hAnsi="Times New Roman"/>
          <w:color w:val="auto"/>
          <w:sz w:val="28"/>
        </w:rPr>
        <w:t xml:space="preserve"> </w:t>
      </w:r>
      <w:r w:rsidR="00702D88" w:rsidRPr="008D6B88">
        <w:rPr>
          <w:rFonts w:ascii="Times New Roman" w:hAnsi="Times New Roman"/>
          <w:color w:val="auto"/>
          <w:sz w:val="28"/>
        </w:rPr>
        <w:t>Anti-social behaviour injunctions</w:t>
      </w:r>
      <w:r>
        <w:rPr>
          <w:rFonts w:ascii="Times New Roman" w:hAnsi="Times New Roman"/>
          <w:color w:val="auto"/>
          <w:sz w:val="28"/>
        </w:rPr>
        <w:t xml:space="preserve"> and criminal behaviour orders</w:t>
      </w:r>
    </w:p>
    <w:p w14:paraId="08EAC208" w14:textId="77777777" w:rsidR="00702D88" w:rsidRPr="008D6B88" w:rsidRDefault="00702D88" w:rsidP="000F502B">
      <w:pPr>
        <w:pStyle w:val="Text"/>
        <w:spacing w:line="480" w:lineRule="auto"/>
        <w:jc w:val="left"/>
        <w:rPr>
          <w:rFonts w:ascii="Times New Roman" w:hAnsi="Times New Roman"/>
          <w:color w:val="auto"/>
          <w:sz w:val="22"/>
        </w:rPr>
      </w:pPr>
      <w:r w:rsidRPr="008D6B88">
        <w:rPr>
          <w:rFonts w:ascii="Times New Roman" w:hAnsi="Times New Roman"/>
          <w:color w:val="auto"/>
          <w:sz w:val="22"/>
        </w:rPr>
        <w:t>Law creating a new type of injunction banning anti-social behaviour came into force on 23 March 2015. These injunctions, created by Part 1 of the Anti-social Behaviour, Crime and Policing Act 2014, replace</w:t>
      </w:r>
      <w:r w:rsidR="009531A5">
        <w:rPr>
          <w:rFonts w:ascii="Times New Roman" w:hAnsi="Times New Roman"/>
          <w:color w:val="auto"/>
          <w:sz w:val="22"/>
        </w:rPr>
        <w:t>d</w:t>
      </w:r>
      <w:r w:rsidRPr="008D6B88">
        <w:rPr>
          <w:rFonts w:ascii="Times New Roman" w:hAnsi="Times New Roman"/>
          <w:color w:val="auto"/>
          <w:sz w:val="22"/>
        </w:rPr>
        <w:t xml:space="preserve"> the ‘stand-alone’ version of the anti-social behaviour orders known as ASBOs. The new type is ‘stand-alone’ because, as was the case with an ASBO, it can be imposed on a person even though his/her anti-social behaviour has not led to a criminal conviction. Th</w:t>
      </w:r>
      <w:r w:rsidR="009531A5">
        <w:rPr>
          <w:rFonts w:ascii="Times New Roman" w:hAnsi="Times New Roman"/>
          <w:color w:val="auto"/>
          <w:sz w:val="22"/>
        </w:rPr>
        <w:t xml:space="preserve">e new </w:t>
      </w:r>
      <w:r w:rsidRPr="008D6B88">
        <w:rPr>
          <w:rFonts w:ascii="Times New Roman" w:hAnsi="Times New Roman"/>
          <w:color w:val="auto"/>
          <w:sz w:val="22"/>
        </w:rPr>
        <w:t>type is referred to officially as an ‘anti-social behaviour injunction’ (ASBI), though colloquially they may still be referred to as ASBOs.</w:t>
      </w:r>
    </w:p>
    <w:p w14:paraId="31226853" w14:textId="77777777" w:rsidR="00702D88" w:rsidRPr="008D6B88" w:rsidRDefault="00702D88" w:rsidP="000F502B">
      <w:pPr>
        <w:pStyle w:val="TextInd"/>
        <w:spacing w:line="480" w:lineRule="auto"/>
        <w:ind w:firstLine="0"/>
        <w:jc w:val="left"/>
        <w:rPr>
          <w:rFonts w:ascii="Times New Roman" w:hAnsi="Times New Roman"/>
          <w:color w:val="auto"/>
          <w:spacing w:val="2"/>
          <w:sz w:val="22"/>
        </w:rPr>
      </w:pPr>
      <w:r w:rsidRPr="008D6B88">
        <w:rPr>
          <w:rFonts w:ascii="Times New Roman" w:hAnsi="Times New Roman"/>
          <w:color w:val="auto"/>
          <w:spacing w:val="2"/>
          <w:sz w:val="22"/>
        </w:rPr>
        <w:t xml:space="preserve">In the context of housing—for example, to deter anti-social behaviour in a residential street or on an estate—a county court or (if at least one of the trouble-makers is a juvenile) the youth court may impose an ASBI banning conduct which has caused or is likely to cause ‘nuisance and annoyance’. Various bodies, including police and local authorities, can apply for an ASBI to ban, for example, </w:t>
      </w:r>
      <w:r w:rsidRPr="008D6B88">
        <w:rPr>
          <w:rFonts w:ascii="Times New Roman" w:hAnsi="Times New Roman"/>
          <w:color w:val="auto"/>
          <w:spacing w:val="2"/>
          <w:sz w:val="22"/>
        </w:rPr>
        <w:lastRenderedPageBreak/>
        <w:t>juveniles from residential streets where they have been creating a nuisance. But in non-housing contexts—for example, where an individual is consistently behaving badly in a shopping mall—the threshold for imposing an ASBI is higher, in that the behaviour must have caused or be likely to cause ‘harassment, alarm or distress’.</w:t>
      </w:r>
    </w:p>
    <w:p w14:paraId="10091391" w14:textId="77777777" w:rsidR="00702D88" w:rsidRDefault="00702D88" w:rsidP="000F502B">
      <w:pPr>
        <w:pStyle w:val="TextInd"/>
        <w:spacing w:line="480" w:lineRule="auto"/>
        <w:ind w:firstLine="0"/>
        <w:jc w:val="left"/>
        <w:rPr>
          <w:rFonts w:ascii="Times New Roman" w:hAnsi="Times New Roman"/>
          <w:color w:val="auto"/>
          <w:sz w:val="24"/>
        </w:rPr>
      </w:pPr>
      <w:r w:rsidRPr="008D6B88">
        <w:rPr>
          <w:rFonts w:ascii="Times New Roman" w:hAnsi="Times New Roman"/>
          <w:color w:val="auto"/>
          <w:sz w:val="22"/>
        </w:rPr>
        <w:t>These injunctions are, as ASBOs were, civil orders. Breaching the injunction is a contempt of court—and the maximum punishment for a juvenile aged 14–17 is three months’ detention.</w:t>
      </w:r>
    </w:p>
    <w:p w14:paraId="47406C3B" w14:textId="77777777" w:rsidR="00702D88" w:rsidRDefault="00702D88" w:rsidP="000F502B">
      <w:pPr>
        <w:pStyle w:val="BHead"/>
        <w:spacing w:before="0" w:after="0" w:line="480" w:lineRule="auto"/>
        <w:ind w:right="600"/>
        <w:rPr>
          <w:rFonts w:ascii="Times New Roman" w:hAnsi="Times New Roman"/>
          <w:color w:val="auto"/>
          <w:sz w:val="24"/>
        </w:rPr>
      </w:pPr>
    </w:p>
    <w:p w14:paraId="0D84E303" w14:textId="5EDCA1D8" w:rsidR="00702D88" w:rsidRPr="00B53DF3" w:rsidRDefault="00327DDD" w:rsidP="000F502B">
      <w:pPr>
        <w:pStyle w:val="BHead"/>
        <w:spacing w:before="0" w:after="0" w:line="480" w:lineRule="auto"/>
        <w:ind w:right="600"/>
        <w:rPr>
          <w:rFonts w:ascii="Times New Roman" w:hAnsi="Times New Roman"/>
          <w:b w:val="0"/>
          <w:bCs w:val="0"/>
          <w:color w:val="auto"/>
          <w:sz w:val="26"/>
          <w:szCs w:val="26"/>
        </w:rPr>
      </w:pPr>
      <w:r w:rsidRPr="00B53DF3">
        <w:rPr>
          <w:rFonts w:ascii="Times New Roman" w:hAnsi="Times New Roman"/>
          <w:color w:val="auto"/>
          <w:sz w:val="26"/>
          <w:szCs w:val="26"/>
        </w:rPr>
        <w:t>10.</w:t>
      </w:r>
      <w:r w:rsidR="000F502B">
        <w:rPr>
          <w:rFonts w:ascii="Times New Roman" w:hAnsi="Times New Roman"/>
          <w:color w:val="auto"/>
          <w:sz w:val="26"/>
          <w:szCs w:val="26"/>
        </w:rPr>
        <w:t>7</w:t>
      </w:r>
      <w:r w:rsidRPr="00B53DF3">
        <w:rPr>
          <w:rFonts w:ascii="Times New Roman" w:hAnsi="Times New Roman"/>
          <w:color w:val="auto"/>
          <w:sz w:val="26"/>
          <w:szCs w:val="26"/>
        </w:rPr>
        <w:t>.1</w:t>
      </w:r>
      <w:r w:rsidR="00702D88" w:rsidRPr="00B53DF3">
        <w:rPr>
          <w:rFonts w:ascii="Times New Roman" w:hAnsi="Times New Roman"/>
          <w:color w:val="auto"/>
          <w:sz w:val="26"/>
          <w:szCs w:val="26"/>
        </w:rPr>
        <w:t xml:space="preserve"> Can a juvenile in ASBI proceedings be identified?</w:t>
      </w:r>
    </w:p>
    <w:p w14:paraId="3E0599D2" w14:textId="77777777" w:rsidR="00702D88" w:rsidRPr="008D6B88" w:rsidRDefault="00702D88" w:rsidP="000F502B">
      <w:pPr>
        <w:pStyle w:val="BList3"/>
        <w:spacing w:before="0" w:after="0" w:line="480" w:lineRule="auto"/>
        <w:ind w:left="200"/>
        <w:jc w:val="left"/>
        <w:rPr>
          <w:rFonts w:ascii="Times New Roman" w:hAnsi="Times New Roman"/>
          <w:color w:val="auto"/>
          <w:sz w:val="22"/>
        </w:rPr>
      </w:pPr>
      <w:r w:rsidRPr="008D6B88">
        <w:rPr>
          <w:rStyle w:val="bullets"/>
          <w:rFonts w:ascii="Times New Roman" w:hAnsi="Times New Roman"/>
          <w:color w:val="auto"/>
          <w:sz w:val="22"/>
          <w:szCs w:val="19"/>
        </w:rPr>
        <w:t>•</w:t>
      </w:r>
      <w:r w:rsidRPr="008D6B88">
        <w:rPr>
          <w:rFonts w:ascii="Times New Roman" w:hAnsi="Times New Roman"/>
          <w:color w:val="auto"/>
          <w:sz w:val="22"/>
        </w:rPr>
        <w:tab/>
        <w:t xml:space="preserve">The default position in law is that any juvenile concerned in youth court proceedings which consider an application for an ASBI—which are civil proceedings—will </w:t>
      </w:r>
      <w:r w:rsidRPr="008D6B88">
        <w:rPr>
          <w:rStyle w:val="italic"/>
          <w:rFonts w:ascii="Times New Roman" w:hAnsi="Times New Roman"/>
          <w:iCs/>
          <w:color w:val="auto"/>
          <w:sz w:val="22"/>
        </w:rPr>
        <w:t>not</w:t>
      </w:r>
      <w:r w:rsidRPr="008D6B88">
        <w:rPr>
          <w:rFonts w:ascii="Times New Roman" w:hAnsi="Times New Roman"/>
          <w:color w:val="auto"/>
          <w:sz w:val="22"/>
        </w:rPr>
        <w:t xml:space="preserve"> have automatic anonymity in any publication referring to the proceedings, whether or not the ASBI is granted.</w:t>
      </w:r>
    </w:p>
    <w:p w14:paraId="77EADBD0" w14:textId="218E12EC" w:rsidR="009531A5" w:rsidRDefault="00702D88" w:rsidP="000F502B">
      <w:pPr>
        <w:pStyle w:val="Text"/>
        <w:spacing w:line="480" w:lineRule="auto"/>
        <w:jc w:val="left"/>
        <w:rPr>
          <w:rFonts w:ascii="Times New Roman" w:hAnsi="Times New Roman"/>
          <w:color w:val="auto"/>
          <w:sz w:val="22"/>
        </w:rPr>
      </w:pPr>
      <w:r w:rsidRPr="008D6B88">
        <w:rPr>
          <w:rFonts w:ascii="Times New Roman" w:hAnsi="Times New Roman"/>
          <w:color w:val="auto"/>
          <w:sz w:val="22"/>
        </w:rPr>
        <w:t xml:space="preserve">This position is set out in section 17 of the 2014 Act, which for these injunction proceedings disapplies the anonymity in section 49 of the 1933 Act that would—as </w:t>
      </w:r>
      <w:r w:rsidR="009531A5">
        <w:rPr>
          <w:rFonts w:ascii="Times New Roman" w:hAnsi="Times New Roman"/>
          <w:color w:val="auto"/>
          <w:sz w:val="22"/>
        </w:rPr>
        <w:t>10.</w:t>
      </w:r>
      <w:r w:rsidR="000F502B">
        <w:rPr>
          <w:rFonts w:ascii="Times New Roman" w:hAnsi="Times New Roman"/>
          <w:color w:val="auto"/>
          <w:sz w:val="22"/>
        </w:rPr>
        <w:t>3</w:t>
      </w:r>
      <w:r w:rsidR="009531A5">
        <w:rPr>
          <w:rFonts w:ascii="Times New Roman" w:hAnsi="Times New Roman"/>
          <w:color w:val="auto"/>
          <w:sz w:val="22"/>
        </w:rPr>
        <w:t xml:space="preserve"> in </w:t>
      </w:r>
      <w:r w:rsidR="009531A5" w:rsidRPr="009531A5">
        <w:rPr>
          <w:rFonts w:ascii="Times New Roman" w:hAnsi="Times New Roman"/>
          <w:i/>
          <w:color w:val="auto"/>
          <w:sz w:val="22"/>
        </w:rPr>
        <w:t>McNae’s</w:t>
      </w:r>
      <w:r w:rsidR="009531A5">
        <w:rPr>
          <w:rFonts w:ascii="Times New Roman" w:hAnsi="Times New Roman"/>
          <w:color w:val="auto"/>
          <w:sz w:val="22"/>
        </w:rPr>
        <w:t xml:space="preserve"> </w:t>
      </w:r>
      <w:r w:rsidRPr="008D6B88">
        <w:rPr>
          <w:rFonts w:ascii="Times New Roman" w:hAnsi="Times New Roman"/>
          <w:color w:val="auto"/>
          <w:sz w:val="22"/>
        </w:rPr>
        <w:t>explain</w:t>
      </w:r>
      <w:r w:rsidR="009531A5">
        <w:rPr>
          <w:rFonts w:ascii="Times New Roman" w:hAnsi="Times New Roman"/>
          <w:color w:val="auto"/>
          <w:sz w:val="22"/>
        </w:rPr>
        <w:t>s</w:t>
      </w:r>
      <w:r w:rsidRPr="008D6B88">
        <w:rPr>
          <w:rFonts w:ascii="Times New Roman" w:hAnsi="Times New Roman"/>
          <w:color w:val="auto"/>
          <w:sz w:val="22"/>
        </w:rPr>
        <w:t>—</w:t>
      </w:r>
      <w:r w:rsidR="00B53DF3">
        <w:rPr>
          <w:rFonts w:ascii="Times New Roman" w:hAnsi="Times New Roman"/>
          <w:color w:val="auto"/>
          <w:sz w:val="22"/>
        </w:rPr>
        <w:t xml:space="preserve">otherwise </w:t>
      </w:r>
      <w:r w:rsidRPr="008D6B88">
        <w:rPr>
          <w:rFonts w:ascii="Times New Roman" w:hAnsi="Times New Roman"/>
          <w:color w:val="auto"/>
          <w:sz w:val="22"/>
        </w:rPr>
        <w:t>apply to youth court proceedings.</w:t>
      </w:r>
    </w:p>
    <w:p w14:paraId="07FFA231" w14:textId="77777777" w:rsidR="009531A5" w:rsidRDefault="009531A5" w:rsidP="000F502B">
      <w:pPr>
        <w:pStyle w:val="Text"/>
        <w:spacing w:line="480" w:lineRule="auto"/>
        <w:jc w:val="left"/>
        <w:rPr>
          <w:rFonts w:ascii="Times New Roman" w:hAnsi="Times New Roman"/>
          <w:color w:val="auto"/>
          <w:sz w:val="22"/>
        </w:rPr>
      </w:pPr>
    </w:p>
    <w:p w14:paraId="74FDED5E" w14:textId="4A42DD21" w:rsidR="00702D88" w:rsidRPr="005A7F45" w:rsidRDefault="00702D88" w:rsidP="000F502B">
      <w:pPr>
        <w:pStyle w:val="Text"/>
        <w:spacing w:line="480" w:lineRule="auto"/>
        <w:jc w:val="left"/>
        <w:rPr>
          <w:rFonts w:ascii="Times New Roman" w:hAnsi="Times New Roman" w:cs="Times New Roman"/>
          <w:color w:val="auto"/>
          <w:sz w:val="22"/>
          <w:szCs w:val="22"/>
        </w:rPr>
      </w:pPr>
      <w:r w:rsidRPr="005A7F45">
        <w:rPr>
          <w:rFonts w:ascii="Times New Roman" w:hAnsi="Times New Roman" w:cs="Times New Roman"/>
          <w:color w:val="auto"/>
          <w:sz w:val="22"/>
          <w:szCs w:val="22"/>
        </w:rPr>
        <w:t xml:space="preserve">But a youth court, or any other court, dealing with </w:t>
      </w:r>
      <w:r w:rsidR="00D67144" w:rsidRPr="005A7F45">
        <w:rPr>
          <w:rFonts w:ascii="Times New Roman" w:hAnsi="Times New Roman" w:cs="Times New Roman"/>
          <w:color w:val="auto"/>
          <w:sz w:val="22"/>
          <w:szCs w:val="22"/>
        </w:rPr>
        <w:t xml:space="preserve">these </w:t>
      </w:r>
      <w:r w:rsidRPr="005A7F45">
        <w:rPr>
          <w:rFonts w:ascii="Times New Roman" w:hAnsi="Times New Roman" w:cs="Times New Roman"/>
          <w:color w:val="auto"/>
          <w:sz w:val="22"/>
          <w:szCs w:val="22"/>
        </w:rPr>
        <w:t>injunction applications may give anonymity to any juvenile ‘concerned in the proceedings’ by making an order under section 39 of the Children and Young Persons Act 1933.</w:t>
      </w:r>
      <w:r w:rsidR="009531A5" w:rsidRPr="005A7F45">
        <w:rPr>
          <w:rFonts w:ascii="Times New Roman" w:hAnsi="Times New Roman" w:cs="Times New Roman"/>
          <w:color w:val="auto"/>
          <w:sz w:val="22"/>
          <w:szCs w:val="22"/>
        </w:rPr>
        <w:t xml:space="preserve"> For section 39 orders, see 10.</w:t>
      </w:r>
      <w:r w:rsidR="000F502B">
        <w:rPr>
          <w:rFonts w:ascii="Times New Roman" w:hAnsi="Times New Roman" w:cs="Times New Roman"/>
          <w:color w:val="auto"/>
          <w:sz w:val="22"/>
          <w:szCs w:val="22"/>
        </w:rPr>
        <w:t>5</w:t>
      </w:r>
      <w:r w:rsidR="009531A5" w:rsidRPr="005A7F45">
        <w:rPr>
          <w:rFonts w:ascii="Times New Roman" w:hAnsi="Times New Roman" w:cs="Times New Roman"/>
          <w:color w:val="auto"/>
          <w:sz w:val="22"/>
          <w:szCs w:val="22"/>
        </w:rPr>
        <w:t xml:space="preserve"> in </w:t>
      </w:r>
      <w:r w:rsidR="009531A5" w:rsidRPr="005A7F45">
        <w:rPr>
          <w:rFonts w:ascii="Times New Roman" w:hAnsi="Times New Roman" w:cs="Times New Roman"/>
          <w:i/>
          <w:color w:val="auto"/>
          <w:sz w:val="22"/>
          <w:szCs w:val="22"/>
        </w:rPr>
        <w:t>McNae’s.</w:t>
      </w:r>
    </w:p>
    <w:p w14:paraId="4C88187F" w14:textId="77777777" w:rsidR="005A7F45" w:rsidRPr="005A7F45" w:rsidRDefault="005A7F45" w:rsidP="000F502B">
      <w:pPr>
        <w:pStyle w:val="FT3Textnospace"/>
        <w:spacing w:before="0" w:line="480" w:lineRule="auto"/>
        <w:ind w:left="0"/>
        <w:rPr>
          <w:rFonts w:ascii="Times New Roman" w:hAnsi="Times New Roman" w:cs="Times New Roman"/>
          <w:color w:val="auto"/>
          <w:sz w:val="22"/>
          <w:szCs w:val="22"/>
        </w:rPr>
      </w:pPr>
    </w:p>
    <w:p w14:paraId="1C20A8F7" w14:textId="77777777" w:rsidR="005A7F45" w:rsidRDefault="005A7F45" w:rsidP="000F502B">
      <w:pPr>
        <w:pStyle w:val="FT3Textnospace"/>
        <w:spacing w:before="0" w:line="480" w:lineRule="auto"/>
        <w:ind w:left="0"/>
        <w:rPr>
          <w:rFonts w:ascii="Times New Roman" w:hAnsi="Times New Roman" w:cs="Times New Roman"/>
          <w:color w:val="auto"/>
          <w:sz w:val="22"/>
          <w:szCs w:val="22"/>
        </w:rPr>
      </w:pPr>
      <w:r w:rsidRPr="005A7F45">
        <w:rPr>
          <w:rFonts w:ascii="Times New Roman" w:hAnsi="Times New Roman" w:cs="Times New Roman"/>
          <w:color w:val="auto"/>
          <w:sz w:val="22"/>
          <w:szCs w:val="22"/>
        </w:rPr>
        <w:t xml:space="preserve">The Youth Court Bench Book, published by the Judicial College to guide youth courts, </w:t>
      </w:r>
      <w:r w:rsidR="003E3B84">
        <w:rPr>
          <w:rFonts w:ascii="Times New Roman" w:hAnsi="Times New Roman" w:cs="Times New Roman"/>
          <w:color w:val="auto"/>
          <w:sz w:val="22"/>
          <w:szCs w:val="22"/>
        </w:rPr>
        <w:t xml:space="preserve">confirms that </w:t>
      </w:r>
      <w:r w:rsidRPr="005A7F45">
        <w:rPr>
          <w:rFonts w:ascii="Times New Roman" w:hAnsi="Times New Roman" w:cs="Times New Roman"/>
          <w:color w:val="auto"/>
          <w:sz w:val="22"/>
          <w:szCs w:val="22"/>
        </w:rPr>
        <w:t xml:space="preserve">the section 49 anonymity does not apply </w:t>
      </w:r>
      <w:r>
        <w:rPr>
          <w:rFonts w:ascii="Times New Roman" w:hAnsi="Times New Roman" w:cs="Times New Roman"/>
          <w:color w:val="auto"/>
          <w:sz w:val="22"/>
          <w:szCs w:val="22"/>
        </w:rPr>
        <w:t xml:space="preserve">for a </w:t>
      </w:r>
      <w:r w:rsidRPr="005A7F45">
        <w:rPr>
          <w:rFonts w:ascii="Times New Roman" w:hAnsi="Times New Roman" w:cs="Times New Roman"/>
          <w:color w:val="auto"/>
          <w:sz w:val="22"/>
          <w:szCs w:val="22"/>
        </w:rPr>
        <w:t xml:space="preserve">juvenile </w:t>
      </w:r>
      <w:r>
        <w:rPr>
          <w:rFonts w:ascii="Times New Roman" w:hAnsi="Times New Roman" w:cs="Times New Roman"/>
          <w:color w:val="auto"/>
          <w:sz w:val="22"/>
          <w:szCs w:val="22"/>
        </w:rPr>
        <w:t xml:space="preserve">as regards a report of </w:t>
      </w:r>
      <w:r w:rsidR="003E3B84">
        <w:rPr>
          <w:rFonts w:ascii="Times New Roman" w:hAnsi="Times New Roman" w:cs="Times New Roman"/>
          <w:color w:val="auto"/>
          <w:sz w:val="22"/>
          <w:szCs w:val="22"/>
        </w:rPr>
        <w:t xml:space="preserve">proceedings </w:t>
      </w:r>
      <w:r>
        <w:rPr>
          <w:rFonts w:ascii="Times New Roman" w:hAnsi="Times New Roman" w:cs="Times New Roman"/>
          <w:color w:val="auto"/>
          <w:sz w:val="22"/>
          <w:szCs w:val="22"/>
        </w:rPr>
        <w:t xml:space="preserve">in which he or she is </w:t>
      </w:r>
      <w:r w:rsidR="003E3B84">
        <w:rPr>
          <w:rFonts w:ascii="Times New Roman" w:hAnsi="Times New Roman" w:cs="Times New Roman"/>
          <w:color w:val="auto"/>
          <w:sz w:val="22"/>
          <w:szCs w:val="22"/>
        </w:rPr>
        <w:t xml:space="preserve">accused of or admits </w:t>
      </w:r>
      <w:r>
        <w:rPr>
          <w:rFonts w:ascii="Times New Roman" w:hAnsi="Times New Roman" w:cs="Times New Roman"/>
          <w:color w:val="auto"/>
          <w:sz w:val="22"/>
          <w:szCs w:val="22"/>
        </w:rPr>
        <w:t xml:space="preserve">breaching </w:t>
      </w:r>
      <w:r w:rsidRPr="005A7F45">
        <w:rPr>
          <w:rFonts w:ascii="Times New Roman" w:hAnsi="Times New Roman" w:cs="Times New Roman"/>
          <w:color w:val="auto"/>
          <w:sz w:val="22"/>
          <w:szCs w:val="22"/>
        </w:rPr>
        <w:t>an ASBI</w:t>
      </w:r>
      <w:r>
        <w:rPr>
          <w:rFonts w:ascii="Times New Roman" w:hAnsi="Times New Roman" w:cs="Times New Roman"/>
          <w:color w:val="auto"/>
          <w:sz w:val="22"/>
          <w:szCs w:val="22"/>
        </w:rPr>
        <w:t>. But</w:t>
      </w:r>
      <w:r w:rsidRPr="005A7F45">
        <w:rPr>
          <w:rFonts w:ascii="Times New Roman" w:hAnsi="Times New Roman" w:cs="Times New Roman"/>
          <w:color w:val="auto"/>
          <w:sz w:val="22"/>
          <w:szCs w:val="22"/>
        </w:rPr>
        <w:t xml:space="preserve">, again, the court may bestow anonymity </w:t>
      </w:r>
      <w:r>
        <w:rPr>
          <w:rFonts w:ascii="Times New Roman" w:hAnsi="Times New Roman" w:cs="Times New Roman"/>
          <w:color w:val="auto"/>
          <w:sz w:val="22"/>
          <w:szCs w:val="22"/>
        </w:rPr>
        <w:t xml:space="preserve">for that juvenile </w:t>
      </w:r>
      <w:r w:rsidRPr="005A7F45">
        <w:rPr>
          <w:rFonts w:ascii="Times New Roman" w:hAnsi="Times New Roman" w:cs="Times New Roman"/>
          <w:color w:val="auto"/>
          <w:sz w:val="22"/>
          <w:szCs w:val="22"/>
        </w:rPr>
        <w:t>by making a section 39 orde</w:t>
      </w:r>
      <w:r>
        <w:rPr>
          <w:rFonts w:ascii="Times New Roman" w:hAnsi="Times New Roman" w:cs="Times New Roman"/>
          <w:color w:val="auto"/>
          <w:sz w:val="22"/>
          <w:szCs w:val="22"/>
        </w:rPr>
        <w:t xml:space="preserve">r as regards the breach proceedings. </w:t>
      </w:r>
      <w:r w:rsidR="00B41EA2" w:rsidRPr="005A7F45">
        <w:rPr>
          <w:rFonts w:ascii="Times New Roman" w:hAnsi="Times New Roman" w:cs="Times New Roman"/>
          <w:color w:val="auto"/>
          <w:sz w:val="22"/>
          <w:szCs w:val="22"/>
        </w:rPr>
        <w:t>For the Bench Book see Useful Websites, below.</w:t>
      </w:r>
      <w:r w:rsidR="00B41EA2">
        <w:rPr>
          <w:rFonts w:ascii="Times New Roman" w:hAnsi="Times New Roman" w:cs="Times New Roman"/>
          <w:color w:val="auto"/>
          <w:sz w:val="22"/>
          <w:szCs w:val="22"/>
        </w:rPr>
        <w:t xml:space="preserve"> The </w:t>
      </w:r>
      <w:r>
        <w:rPr>
          <w:rFonts w:ascii="Times New Roman" w:hAnsi="Times New Roman" w:cs="Times New Roman"/>
          <w:color w:val="auto"/>
          <w:sz w:val="22"/>
          <w:szCs w:val="22"/>
        </w:rPr>
        <w:t xml:space="preserve">section 49 anonymity will apply, unless lifted, in respect of any </w:t>
      </w:r>
      <w:r w:rsidR="00B41EA2">
        <w:rPr>
          <w:rFonts w:ascii="Times New Roman" w:hAnsi="Times New Roman" w:cs="Times New Roman"/>
          <w:color w:val="auto"/>
          <w:sz w:val="22"/>
          <w:szCs w:val="22"/>
        </w:rPr>
        <w:t>criminal charge he or she faces in the same hearing</w:t>
      </w:r>
      <w:r w:rsidR="003E3B84">
        <w:rPr>
          <w:rFonts w:ascii="Times New Roman" w:hAnsi="Times New Roman" w:cs="Times New Roman"/>
          <w:color w:val="auto"/>
          <w:sz w:val="22"/>
          <w:szCs w:val="22"/>
        </w:rPr>
        <w:t xml:space="preserve">. </w:t>
      </w:r>
      <w:r w:rsidRPr="005A7F45">
        <w:rPr>
          <w:rFonts w:ascii="Times New Roman" w:hAnsi="Times New Roman" w:cs="Times New Roman"/>
          <w:color w:val="auto"/>
          <w:sz w:val="22"/>
          <w:szCs w:val="22"/>
        </w:rPr>
        <w:t xml:space="preserve"> </w:t>
      </w:r>
    </w:p>
    <w:p w14:paraId="2BFEC3A1" w14:textId="77777777" w:rsidR="00B41EA2" w:rsidRPr="005A7F45" w:rsidRDefault="00B41EA2" w:rsidP="000F502B">
      <w:pPr>
        <w:pStyle w:val="FT3Textnospace"/>
        <w:spacing w:before="0" w:line="480" w:lineRule="auto"/>
        <w:ind w:left="0"/>
        <w:rPr>
          <w:rFonts w:ascii="Times New Roman" w:hAnsi="Times New Roman" w:cs="Times New Roman"/>
          <w:color w:val="auto"/>
          <w:spacing w:val="-3"/>
          <w:sz w:val="22"/>
          <w:szCs w:val="22"/>
        </w:rPr>
      </w:pPr>
    </w:p>
    <w:p w14:paraId="67A3BE4B" w14:textId="77777777" w:rsidR="00702D88" w:rsidRPr="00D67144" w:rsidRDefault="00702D88" w:rsidP="000F502B">
      <w:pPr>
        <w:pStyle w:val="FT3Textnospace"/>
        <w:spacing w:before="0" w:line="480" w:lineRule="auto"/>
        <w:ind w:left="0"/>
        <w:rPr>
          <w:rFonts w:ascii="Times New Roman" w:hAnsi="Times New Roman" w:cs="Times New Roman"/>
          <w:color w:val="auto"/>
          <w:spacing w:val="-2"/>
          <w:sz w:val="22"/>
          <w:szCs w:val="22"/>
        </w:rPr>
      </w:pPr>
      <w:r w:rsidRPr="00327DDD">
        <w:rPr>
          <w:rFonts w:ascii="Times New Roman" w:hAnsi="Times New Roman"/>
          <w:color w:val="auto"/>
          <w:spacing w:val="-3"/>
          <w:sz w:val="22"/>
        </w:rPr>
        <w:t>Ch. 1</w:t>
      </w:r>
      <w:r w:rsidR="00327DDD" w:rsidRPr="00327DDD">
        <w:rPr>
          <w:rFonts w:ascii="Times New Roman" w:hAnsi="Times New Roman"/>
          <w:color w:val="auto"/>
          <w:spacing w:val="-3"/>
          <w:sz w:val="22"/>
        </w:rPr>
        <w:t xml:space="preserve">6 in </w:t>
      </w:r>
      <w:r w:rsidR="00327DDD" w:rsidRPr="00327DDD">
        <w:rPr>
          <w:rFonts w:ascii="Times New Roman" w:hAnsi="Times New Roman"/>
          <w:i/>
          <w:color w:val="auto"/>
          <w:spacing w:val="-3"/>
          <w:sz w:val="22"/>
        </w:rPr>
        <w:t>McNae’s</w:t>
      </w:r>
      <w:r w:rsidR="00327DDD" w:rsidRPr="00327DDD">
        <w:rPr>
          <w:rFonts w:ascii="Times New Roman" w:hAnsi="Times New Roman"/>
          <w:color w:val="auto"/>
          <w:spacing w:val="-3"/>
          <w:sz w:val="22"/>
        </w:rPr>
        <w:t xml:space="preserve"> </w:t>
      </w:r>
      <w:r w:rsidRPr="00327DDD">
        <w:rPr>
          <w:rFonts w:ascii="Times New Roman" w:hAnsi="Times New Roman"/>
          <w:color w:val="auto"/>
          <w:spacing w:val="-3"/>
          <w:sz w:val="22"/>
        </w:rPr>
        <w:t>explains how a journalist can argue in court agai</w:t>
      </w:r>
      <w:r w:rsidR="00327DDD" w:rsidRPr="00327DDD">
        <w:rPr>
          <w:rFonts w:ascii="Times New Roman" w:hAnsi="Times New Roman"/>
          <w:color w:val="auto"/>
          <w:spacing w:val="-3"/>
          <w:sz w:val="22"/>
        </w:rPr>
        <w:t xml:space="preserve">nst </w:t>
      </w:r>
      <w:r w:rsidR="003E3B84">
        <w:rPr>
          <w:rFonts w:ascii="Times New Roman" w:hAnsi="Times New Roman"/>
          <w:color w:val="auto"/>
          <w:spacing w:val="-3"/>
          <w:sz w:val="22"/>
        </w:rPr>
        <w:t xml:space="preserve">imposition of a </w:t>
      </w:r>
      <w:r w:rsidR="00327DDD" w:rsidRPr="00327DDD">
        <w:rPr>
          <w:rFonts w:ascii="Times New Roman" w:hAnsi="Times New Roman"/>
          <w:color w:val="auto"/>
          <w:spacing w:val="-3"/>
          <w:sz w:val="22"/>
        </w:rPr>
        <w:t xml:space="preserve">reporting </w:t>
      </w:r>
      <w:r w:rsidR="00327DDD" w:rsidRPr="00327DDD">
        <w:rPr>
          <w:rFonts w:ascii="Times New Roman" w:hAnsi="Times New Roman"/>
          <w:color w:val="auto"/>
          <w:spacing w:val="-3"/>
          <w:sz w:val="22"/>
        </w:rPr>
        <w:lastRenderedPageBreak/>
        <w:t>restriction. The Addit</w:t>
      </w:r>
      <w:r w:rsidR="009531A5">
        <w:rPr>
          <w:rFonts w:ascii="Times New Roman" w:hAnsi="Times New Roman"/>
          <w:color w:val="auto"/>
          <w:spacing w:val="-3"/>
          <w:sz w:val="22"/>
        </w:rPr>
        <w:t>i</w:t>
      </w:r>
      <w:r w:rsidR="00327DDD" w:rsidRPr="00327DDD">
        <w:rPr>
          <w:rFonts w:ascii="Times New Roman" w:hAnsi="Times New Roman"/>
          <w:color w:val="auto"/>
          <w:spacing w:val="-3"/>
          <w:sz w:val="22"/>
        </w:rPr>
        <w:t>onal Mate</w:t>
      </w:r>
      <w:r w:rsidR="00327DDD">
        <w:rPr>
          <w:rFonts w:ascii="Times New Roman" w:hAnsi="Times New Roman"/>
          <w:color w:val="auto"/>
          <w:spacing w:val="-3"/>
          <w:sz w:val="22"/>
        </w:rPr>
        <w:t>r</w:t>
      </w:r>
      <w:r w:rsidR="00327DDD" w:rsidRPr="00327DDD">
        <w:rPr>
          <w:rFonts w:ascii="Times New Roman" w:hAnsi="Times New Roman"/>
          <w:color w:val="auto"/>
          <w:spacing w:val="-3"/>
          <w:sz w:val="22"/>
        </w:rPr>
        <w:t xml:space="preserve">ial for ch. 16 on </w:t>
      </w:r>
      <w:hyperlink r:id="rId6" w:history="1">
        <w:r w:rsidR="00327DDD" w:rsidRPr="00327DDD">
          <w:rPr>
            <w:rStyle w:val="Hyperlink"/>
            <w:rFonts w:ascii="Times New Roman" w:hAnsi="Times New Roman"/>
            <w:color w:val="auto"/>
            <w:spacing w:val="-3"/>
            <w:sz w:val="22"/>
            <w:u w:val="none"/>
          </w:rPr>
          <w:t>www.mcnaes.com</w:t>
        </w:r>
      </w:hyperlink>
      <w:r w:rsidR="00327DDD" w:rsidRPr="00327DDD">
        <w:rPr>
          <w:rFonts w:ascii="Times New Roman" w:hAnsi="Times New Roman"/>
          <w:color w:val="auto"/>
          <w:spacing w:val="-3"/>
          <w:sz w:val="22"/>
        </w:rPr>
        <w:t xml:space="preserve"> </w:t>
      </w:r>
      <w:r w:rsidRPr="00327DDD">
        <w:rPr>
          <w:rFonts w:ascii="Times New Roman" w:hAnsi="Times New Roman"/>
          <w:color w:val="auto"/>
          <w:spacing w:val="-2"/>
          <w:sz w:val="22"/>
        </w:rPr>
        <w:t xml:space="preserve">provides arguments he/she can make that a juvenile </w:t>
      </w:r>
      <w:r w:rsidRPr="00D67144">
        <w:rPr>
          <w:rFonts w:ascii="Times New Roman" w:hAnsi="Times New Roman" w:cs="Times New Roman"/>
          <w:color w:val="auto"/>
          <w:spacing w:val="-2"/>
          <w:sz w:val="22"/>
          <w:szCs w:val="22"/>
        </w:rPr>
        <w:t>made subject to an injunction should be identified in a report of th</w:t>
      </w:r>
      <w:r w:rsidR="003E3B84">
        <w:rPr>
          <w:rFonts w:ascii="Times New Roman" w:hAnsi="Times New Roman" w:cs="Times New Roman"/>
          <w:color w:val="auto"/>
          <w:spacing w:val="-2"/>
          <w:sz w:val="22"/>
          <w:szCs w:val="22"/>
        </w:rPr>
        <w:t xml:space="preserve">at </w:t>
      </w:r>
      <w:r w:rsidRPr="00D67144">
        <w:rPr>
          <w:rFonts w:ascii="Times New Roman" w:hAnsi="Times New Roman" w:cs="Times New Roman"/>
          <w:color w:val="auto"/>
          <w:spacing w:val="-2"/>
          <w:sz w:val="22"/>
          <w:szCs w:val="22"/>
        </w:rPr>
        <w:t>hearing</w:t>
      </w:r>
      <w:r w:rsidR="003E3B84">
        <w:rPr>
          <w:rFonts w:ascii="Times New Roman" w:hAnsi="Times New Roman" w:cs="Times New Roman"/>
          <w:color w:val="auto"/>
          <w:spacing w:val="-2"/>
          <w:sz w:val="22"/>
          <w:szCs w:val="22"/>
        </w:rPr>
        <w:t xml:space="preserve"> or of a hearing considering an alleged or actual breach of the injunction.</w:t>
      </w:r>
    </w:p>
    <w:p w14:paraId="0FC8360A" w14:textId="77777777" w:rsidR="00D67144" w:rsidRDefault="00D67144" w:rsidP="000F502B">
      <w:pPr>
        <w:pStyle w:val="FT3Textnospace"/>
        <w:spacing w:before="0" w:line="480" w:lineRule="auto"/>
        <w:ind w:left="0"/>
        <w:rPr>
          <w:rFonts w:ascii="Times New Roman" w:hAnsi="Times New Roman" w:cs="Times New Roman"/>
          <w:color w:val="auto"/>
          <w:sz w:val="22"/>
          <w:szCs w:val="22"/>
        </w:rPr>
      </w:pPr>
    </w:p>
    <w:p w14:paraId="0ECDDB9A" w14:textId="4EC32DE4" w:rsidR="00702D88" w:rsidRPr="00B53DF3" w:rsidRDefault="00327DDD" w:rsidP="000F502B">
      <w:pPr>
        <w:pStyle w:val="AHead"/>
        <w:spacing w:before="0" w:after="0" w:line="480" w:lineRule="auto"/>
        <w:ind w:left="0" w:right="540"/>
        <w:rPr>
          <w:rFonts w:ascii="Times New Roman" w:hAnsi="Times New Roman"/>
          <w:color w:val="auto"/>
          <w:sz w:val="28"/>
          <w:szCs w:val="24"/>
        </w:rPr>
      </w:pPr>
      <w:r w:rsidRPr="00B53DF3">
        <w:rPr>
          <w:rFonts w:ascii="Times New Roman" w:hAnsi="Times New Roman"/>
          <w:color w:val="auto"/>
          <w:sz w:val="26"/>
          <w:szCs w:val="24"/>
        </w:rPr>
        <w:t>10</w:t>
      </w:r>
      <w:r w:rsidR="000F502B">
        <w:rPr>
          <w:rFonts w:ascii="Times New Roman" w:hAnsi="Times New Roman"/>
          <w:color w:val="auto"/>
          <w:sz w:val="26"/>
          <w:szCs w:val="24"/>
        </w:rPr>
        <w:t>.7</w:t>
      </w:r>
      <w:r w:rsidRPr="00B53DF3">
        <w:rPr>
          <w:rFonts w:ascii="Times New Roman" w:hAnsi="Times New Roman"/>
          <w:color w:val="auto"/>
          <w:sz w:val="26"/>
          <w:szCs w:val="24"/>
        </w:rPr>
        <w:t xml:space="preserve">.2 </w:t>
      </w:r>
      <w:r w:rsidR="00702D88" w:rsidRPr="00B53DF3">
        <w:rPr>
          <w:rFonts w:ascii="Times New Roman" w:hAnsi="Times New Roman"/>
          <w:color w:val="auto"/>
          <w:sz w:val="26"/>
          <w:szCs w:val="24"/>
        </w:rPr>
        <w:t>Criminal behaviour orders</w:t>
      </w:r>
    </w:p>
    <w:p w14:paraId="0A6E5EBE" w14:textId="77777777" w:rsidR="00702D88" w:rsidRPr="008D6B88" w:rsidRDefault="00702D88" w:rsidP="000F502B">
      <w:pPr>
        <w:pStyle w:val="Text"/>
        <w:spacing w:line="480" w:lineRule="auto"/>
        <w:jc w:val="left"/>
        <w:rPr>
          <w:rFonts w:ascii="Times New Roman" w:hAnsi="Times New Roman"/>
          <w:color w:val="auto"/>
          <w:spacing w:val="-2"/>
          <w:sz w:val="22"/>
        </w:rPr>
      </w:pPr>
      <w:r w:rsidRPr="008D6B88">
        <w:rPr>
          <w:rFonts w:ascii="Times New Roman" w:hAnsi="Times New Roman"/>
          <w:color w:val="auto"/>
          <w:spacing w:val="-2"/>
          <w:sz w:val="22"/>
        </w:rPr>
        <w:t>A ‘criminal behaviour order’ (CBO), which can only be imposed on an individual after he/she has been convicted of a crime, has replaced another type of ASBO. The law creating CBOs, in Part 2 of the 2014 Act, came into force on 20 October 2014.</w:t>
      </w:r>
    </w:p>
    <w:p w14:paraId="4735508D" w14:textId="77777777" w:rsidR="00702D88" w:rsidRPr="008D6B88" w:rsidRDefault="00702D88" w:rsidP="000F502B">
      <w:pPr>
        <w:pStyle w:val="FT3aText"/>
        <w:spacing w:line="480" w:lineRule="auto"/>
        <w:rPr>
          <w:rFonts w:ascii="Times New Roman" w:hAnsi="Times New Roman"/>
          <w:color w:val="auto"/>
          <w:sz w:val="22"/>
        </w:rPr>
      </w:pPr>
    </w:p>
    <w:p w14:paraId="63600D88" w14:textId="77777777" w:rsidR="00702D88" w:rsidRPr="008D6B88" w:rsidRDefault="00702D88" w:rsidP="000F502B">
      <w:pPr>
        <w:pStyle w:val="TextInd"/>
        <w:spacing w:line="480" w:lineRule="auto"/>
        <w:ind w:firstLine="0"/>
        <w:jc w:val="left"/>
        <w:rPr>
          <w:rFonts w:ascii="Times New Roman" w:hAnsi="Times New Roman"/>
          <w:color w:val="auto"/>
          <w:sz w:val="22"/>
        </w:rPr>
      </w:pPr>
      <w:r w:rsidRPr="008D6B88">
        <w:rPr>
          <w:rFonts w:ascii="Times New Roman" w:hAnsi="Times New Roman"/>
          <w:color w:val="auto"/>
          <w:sz w:val="22"/>
        </w:rPr>
        <w:t>An application for a CBO may only be made by the prosecution after a conviction. A CBO may be imposed on a juvenile after—for example—he/she is convicted of shoplifting or taking a car without the owner’s consent (‘joy-riding’), to ban him/her from entering shops or interfering with cars. Breaching a CBO is a criminal offence. A juvenile convicted of a serious breach could be given a training and detention order.</w:t>
      </w:r>
    </w:p>
    <w:p w14:paraId="76F41237" w14:textId="77777777" w:rsidR="00702D88" w:rsidRDefault="00702D88" w:rsidP="000F502B">
      <w:pPr>
        <w:pStyle w:val="BHead"/>
        <w:spacing w:before="0" w:after="0" w:line="480" w:lineRule="auto"/>
        <w:ind w:right="600"/>
        <w:rPr>
          <w:rFonts w:ascii="Times New Roman" w:hAnsi="Times New Roman"/>
          <w:color w:val="auto"/>
          <w:sz w:val="24"/>
        </w:rPr>
      </w:pPr>
    </w:p>
    <w:p w14:paraId="0C6BB2D5" w14:textId="430AC232" w:rsidR="00702D88" w:rsidRPr="00B53DF3" w:rsidRDefault="003E3B84" w:rsidP="000F502B">
      <w:pPr>
        <w:pStyle w:val="BHead"/>
        <w:spacing w:before="0" w:after="0" w:line="480" w:lineRule="auto"/>
        <w:ind w:right="600"/>
        <w:rPr>
          <w:rFonts w:ascii="Times New Roman" w:hAnsi="Times New Roman"/>
          <w:color w:val="auto"/>
          <w:sz w:val="24"/>
          <w:szCs w:val="22"/>
        </w:rPr>
      </w:pPr>
      <w:r w:rsidRPr="00B53DF3">
        <w:rPr>
          <w:rFonts w:ascii="Times New Roman" w:hAnsi="Times New Roman"/>
          <w:color w:val="auto"/>
          <w:sz w:val="24"/>
          <w:szCs w:val="22"/>
        </w:rPr>
        <w:t>10.</w:t>
      </w:r>
      <w:r w:rsidR="000F502B">
        <w:rPr>
          <w:rFonts w:ascii="Times New Roman" w:hAnsi="Times New Roman"/>
          <w:color w:val="auto"/>
          <w:sz w:val="24"/>
          <w:szCs w:val="22"/>
        </w:rPr>
        <w:t>7</w:t>
      </w:r>
      <w:r w:rsidRPr="00B53DF3">
        <w:rPr>
          <w:rFonts w:ascii="Times New Roman" w:hAnsi="Times New Roman"/>
          <w:color w:val="auto"/>
          <w:sz w:val="24"/>
          <w:szCs w:val="22"/>
        </w:rPr>
        <w:t>.2.1 A</w:t>
      </w:r>
      <w:r w:rsidR="00702D88" w:rsidRPr="00B53DF3">
        <w:rPr>
          <w:rFonts w:ascii="Times New Roman" w:hAnsi="Times New Roman"/>
          <w:color w:val="auto"/>
          <w:sz w:val="24"/>
          <w:szCs w:val="22"/>
        </w:rPr>
        <w:t>nonymity in reports of hearings to decide whether to impose a CBO</w:t>
      </w:r>
    </w:p>
    <w:p w14:paraId="1AB849C2" w14:textId="77777777" w:rsidR="00702D88" w:rsidRPr="008D6B88" w:rsidRDefault="00702D88" w:rsidP="000F502B">
      <w:pPr>
        <w:pStyle w:val="Text"/>
        <w:spacing w:line="480" w:lineRule="auto"/>
        <w:jc w:val="left"/>
        <w:rPr>
          <w:rFonts w:ascii="Times New Roman" w:hAnsi="Times New Roman"/>
          <w:color w:val="auto"/>
          <w:sz w:val="22"/>
        </w:rPr>
      </w:pPr>
      <w:r w:rsidRPr="008D6B88">
        <w:rPr>
          <w:rFonts w:ascii="Times New Roman" w:hAnsi="Times New Roman"/>
          <w:color w:val="auto"/>
          <w:sz w:val="22"/>
        </w:rPr>
        <w:t>Any criminal court can impose a CBO, but for juveniles this is most likely to be the youth court. Section 23 of the 2014 Act provides that:</w:t>
      </w:r>
    </w:p>
    <w:p w14:paraId="2AF249AE" w14:textId="77777777" w:rsidR="00702D88" w:rsidRPr="008D6B88" w:rsidRDefault="00702D88" w:rsidP="000F502B">
      <w:pPr>
        <w:pStyle w:val="BList1"/>
        <w:spacing w:before="0" w:line="480" w:lineRule="auto"/>
        <w:ind w:left="200"/>
        <w:jc w:val="left"/>
        <w:rPr>
          <w:rFonts w:ascii="Times New Roman" w:hAnsi="Times New Roman"/>
          <w:color w:val="auto"/>
          <w:sz w:val="22"/>
        </w:rPr>
      </w:pPr>
      <w:r w:rsidRPr="008D6B88">
        <w:rPr>
          <w:rStyle w:val="bullets"/>
          <w:rFonts w:ascii="Times New Roman" w:hAnsi="Times New Roman"/>
          <w:color w:val="auto"/>
          <w:sz w:val="22"/>
          <w:szCs w:val="19"/>
        </w:rPr>
        <w:t>•</w:t>
      </w:r>
      <w:r w:rsidRPr="008D6B88">
        <w:rPr>
          <w:rFonts w:ascii="Times New Roman" w:hAnsi="Times New Roman"/>
          <w:color w:val="auto"/>
          <w:sz w:val="22"/>
        </w:rPr>
        <w:tab/>
        <w:t>if—and only if—the youth court makes a CBO against the juvenile, the automatic anonymity in section 49 of the 1933 Act automatically lapses as regards that juvenile, allowing media reports of the CBO hearing to identify him/her;</w:t>
      </w:r>
    </w:p>
    <w:p w14:paraId="2C016683" w14:textId="77777777" w:rsidR="00702D88" w:rsidRPr="008D6B88" w:rsidRDefault="00702D88" w:rsidP="000F502B">
      <w:pPr>
        <w:pStyle w:val="BList2"/>
        <w:spacing w:before="0" w:after="0" w:line="480" w:lineRule="auto"/>
        <w:ind w:left="200"/>
        <w:jc w:val="left"/>
        <w:rPr>
          <w:rFonts w:ascii="Times New Roman" w:hAnsi="Times New Roman"/>
          <w:color w:val="auto"/>
          <w:sz w:val="22"/>
        </w:rPr>
      </w:pPr>
      <w:r w:rsidRPr="008D6B88">
        <w:rPr>
          <w:rStyle w:val="bullets"/>
          <w:rFonts w:ascii="Times New Roman" w:hAnsi="Times New Roman"/>
          <w:color w:val="auto"/>
          <w:sz w:val="22"/>
          <w:szCs w:val="19"/>
        </w:rPr>
        <w:t>•</w:t>
      </w:r>
      <w:r w:rsidRPr="008D6B88">
        <w:rPr>
          <w:rFonts w:ascii="Times New Roman" w:hAnsi="Times New Roman"/>
          <w:color w:val="auto"/>
          <w:sz w:val="22"/>
        </w:rPr>
        <w:tab/>
        <w:t xml:space="preserve">but the youth court has discretion to preserve the anonymity </w:t>
      </w:r>
      <w:r w:rsidR="003E3B84">
        <w:rPr>
          <w:rFonts w:ascii="Times New Roman" w:hAnsi="Times New Roman"/>
          <w:color w:val="auto"/>
          <w:sz w:val="22"/>
        </w:rPr>
        <w:t xml:space="preserve">for that juvenile </w:t>
      </w:r>
      <w:r w:rsidRPr="008D6B88">
        <w:rPr>
          <w:rFonts w:ascii="Times New Roman" w:hAnsi="Times New Roman"/>
          <w:color w:val="auto"/>
          <w:sz w:val="22"/>
        </w:rPr>
        <w:t>by making an order under section 39 of the 1933 Act.</w:t>
      </w:r>
    </w:p>
    <w:p w14:paraId="4CC6824F" w14:textId="5D221F1C" w:rsidR="00702D88" w:rsidRDefault="00702D88" w:rsidP="000F502B">
      <w:pPr>
        <w:pStyle w:val="Text"/>
        <w:spacing w:line="480" w:lineRule="auto"/>
        <w:jc w:val="left"/>
        <w:rPr>
          <w:rFonts w:ascii="Times New Roman" w:hAnsi="Times New Roman"/>
          <w:color w:val="auto"/>
          <w:spacing w:val="2"/>
          <w:sz w:val="22"/>
        </w:rPr>
      </w:pPr>
      <w:r w:rsidRPr="008D6B88">
        <w:rPr>
          <w:rFonts w:ascii="Times New Roman" w:hAnsi="Times New Roman"/>
          <w:color w:val="auto"/>
          <w:spacing w:val="2"/>
          <w:sz w:val="22"/>
        </w:rPr>
        <w:t xml:space="preserve">The section 49 anonymity will continue to apply to any juvenile witnesses in the CBO hearing and </w:t>
      </w:r>
      <w:r w:rsidR="003E3B84">
        <w:rPr>
          <w:rFonts w:ascii="Times New Roman" w:hAnsi="Times New Roman"/>
          <w:color w:val="auto"/>
          <w:spacing w:val="2"/>
          <w:sz w:val="22"/>
        </w:rPr>
        <w:t xml:space="preserve">will </w:t>
      </w:r>
      <w:r w:rsidRPr="008D6B88">
        <w:rPr>
          <w:rFonts w:ascii="Times New Roman" w:hAnsi="Times New Roman"/>
          <w:color w:val="auto"/>
          <w:spacing w:val="2"/>
          <w:sz w:val="22"/>
        </w:rPr>
        <w:t>still apply to the juvenile defendant in respect of the earlier hearing in the youth court, in which he/she was convicted of an offence</w:t>
      </w:r>
      <w:r w:rsidR="003E3B84">
        <w:rPr>
          <w:rFonts w:ascii="Times New Roman" w:hAnsi="Times New Roman"/>
          <w:color w:val="auto"/>
          <w:spacing w:val="2"/>
          <w:sz w:val="22"/>
        </w:rPr>
        <w:t>, unless the court has lifted such anonymity</w:t>
      </w:r>
      <w:r w:rsidRPr="008D6B88">
        <w:rPr>
          <w:rFonts w:ascii="Times New Roman" w:hAnsi="Times New Roman"/>
          <w:color w:val="auto"/>
          <w:spacing w:val="2"/>
          <w:sz w:val="22"/>
        </w:rPr>
        <w:t xml:space="preserve">. The court should—if section 49 anonymity remains in place for the earlier hearing—say enough in the CBO hearing to </w:t>
      </w:r>
      <w:r w:rsidRPr="008D6B88">
        <w:rPr>
          <w:rFonts w:ascii="Times New Roman" w:hAnsi="Times New Roman"/>
          <w:color w:val="auto"/>
          <w:spacing w:val="2"/>
          <w:sz w:val="22"/>
        </w:rPr>
        <w:lastRenderedPageBreak/>
        <w:t>explain the behaviour which led to it being imposed.</w:t>
      </w:r>
    </w:p>
    <w:p w14:paraId="7681FEEA" w14:textId="77777777" w:rsidR="00702D88" w:rsidRPr="00516227" w:rsidRDefault="00702D88" w:rsidP="000F502B">
      <w:pPr>
        <w:pStyle w:val="TextInd"/>
        <w:spacing w:line="480" w:lineRule="auto"/>
        <w:ind w:firstLine="0"/>
        <w:jc w:val="left"/>
        <w:rPr>
          <w:rFonts w:ascii="Times New Roman" w:hAnsi="Times New Roman"/>
          <w:color w:val="auto"/>
          <w:sz w:val="22"/>
        </w:rPr>
      </w:pPr>
      <w:r w:rsidRPr="008D6B88">
        <w:rPr>
          <w:rFonts w:ascii="Times New Roman" w:hAnsi="Times New Roman"/>
          <w:color w:val="auto"/>
          <w:sz w:val="22"/>
        </w:rPr>
        <w:t xml:space="preserve">The journalist could remind the court clerk that the Justices’ Clerks’ Society issued guidance to its members that when a court draws up an ASBO it should include details of </w:t>
      </w:r>
      <w:r w:rsidRPr="00516227">
        <w:rPr>
          <w:rFonts w:ascii="Times New Roman" w:hAnsi="Times New Roman"/>
          <w:color w:val="auto"/>
          <w:sz w:val="22"/>
        </w:rPr>
        <w:t>the anti-social behaviour which led to the order being made, so this guidance should hold good for CBO cases.</w:t>
      </w:r>
      <w:r w:rsidR="00516227" w:rsidRPr="00516227">
        <w:rPr>
          <w:rFonts w:ascii="Times New Roman" w:hAnsi="Times New Roman"/>
          <w:color w:val="auto"/>
          <w:sz w:val="22"/>
        </w:rPr>
        <w:t xml:space="preserve"> </w:t>
      </w:r>
      <w:r w:rsidRPr="00516227">
        <w:rPr>
          <w:rFonts w:ascii="Times New Roman" w:hAnsi="Times New Roman"/>
          <w:color w:val="auto"/>
          <w:sz w:val="22"/>
        </w:rPr>
        <w:t>See Useful Websites</w:t>
      </w:r>
      <w:r w:rsidR="00516227">
        <w:rPr>
          <w:rFonts w:ascii="Times New Roman" w:hAnsi="Times New Roman"/>
          <w:color w:val="auto"/>
          <w:sz w:val="22"/>
        </w:rPr>
        <w:t xml:space="preserve">, below, </w:t>
      </w:r>
      <w:r w:rsidRPr="00516227">
        <w:rPr>
          <w:rFonts w:ascii="Times New Roman" w:hAnsi="Times New Roman"/>
          <w:color w:val="auto"/>
          <w:sz w:val="22"/>
        </w:rPr>
        <w:t>for this guidance.</w:t>
      </w:r>
    </w:p>
    <w:p w14:paraId="741D5EA0" w14:textId="77777777" w:rsidR="00702D88" w:rsidRPr="008D6B88" w:rsidRDefault="00702D88" w:rsidP="000F502B">
      <w:pPr>
        <w:pStyle w:val="TextInd"/>
        <w:spacing w:line="480" w:lineRule="auto"/>
        <w:ind w:firstLine="0"/>
        <w:jc w:val="left"/>
        <w:rPr>
          <w:rFonts w:ascii="Times New Roman" w:hAnsi="Times New Roman"/>
          <w:color w:val="auto"/>
          <w:sz w:val="22"/>
        </w:rPr>
      </w:pPr>
    </w:p>
    <w:p w14:paraId="25C417A3" w14:textId="6D3C2940" w:rsidR="00702D88" w:rsidRPr="00AD267A" w:rsidRDefault="00702D88" w:rsidP="000F502B">
      <w:pPr>
        <w:pStyle w:val="TextInd"/>
        <w:spacing w:line="480" w:lineRule="auto"/>
        <w:ind w:firstLine="0"/>
        <w:jc w:val="left"/>
        <w:rPr>
          <w:rFonts w:ascii="Times New Roman" w:hAnsi="Times New Roman" w:cs="Times New Roman"/>
          <w:color w:val="auto"/>
          <w:sz w:val="22"/>
          <w:szCs w:val="22"/>
        </w:rPr>
      </w:pPr>
      <w:r w:rsidRPr="00AD267A">
        <w:rPr>
          <w:rFonts w:ascii="Times New Roman" w:hAnsi="Times New Roman" w:cs="Times New Roman"/>
          <w:color w:val="auto"/>
          <w:sz w:val="22"/>
          <w:szCs w:val="22"/>
        </w:rPr>
        <w:t>A journalist could argue that it would be for the good of the community for the section 49 anonymity to be lifted ‘in the public interest’ in respect of the criminal conviction</w:t>
      </w:r>
      <w:r w:rsidR="003E3B84">
        <w:rPr>
          <w:rFonts w:ascii="Times New Roman" w:hAnsi="Times New Roman" w:cs="Times New Roman"/>
          <w:color w:val="auto"/>
          <w:sz w:val="22"/>
          <w:szCs w:val="22"/>
        </w:rPr>
        <w:t xml:space="preserve"> </w:t>
      </w:r>
      <w:r w:rsidR="00CC51F4">
        <w:rPr>
          <w:rFonts w:ascii="Times New Roman" w:hAnsi="Times New Roman" w:cs="Times New Roman"/>
          <w:color w:val="auto"/>
          <w:sz w:val="22"/>
          <w:szCs w:val="22"/>
        </w:rPr>
        <w:t xml:space="preserve">which led to the CBO </w:t>
      </w:r>
      <w:r w:rsidR="003E3B84">
        <w:rPr>
          <w:rFonts w:ascii="Times New Roman" w:hAnsi="Times New Roman" w:cs="Times New Roman"/>
          <w:color w:val="auto"/>
          <w:sz w:val="22"/>
          <w:szCs w:val="22"/>
        </w:rPr>
        <w:t xml:space="preserve">(see </w:t>
      </w:r>
      <w:r w:rsidR="00D67144" w:rsidRPr="00AD267A">
        <w:rPr>
          <w:rFonts w:ascii="Times New Roman" w:hAnsi="Times New Roman" w:cs="Times New Roman"/>
          <w:color w:val="auto"/>
          <w:sz w:val="22"/>
          <w:szCs w:val="22"/>
        </w:rPr>
        <w:t>10.</w:t>
      </w:r>
      <w:r w:rsidR="000F502B">
        <w:rPr>
          <w:rFonts w:ascii="Times New Roman" w:hAnsi="Times New Roman" w:cs="Times New Roman"/>
          <w:color w:val="auto"/>
          <w:sz w:val="22"/>
          <w:szCs w:val="22"/>
        </w:rPr>
        <w:t>3</w:t>
      </w:r>
      <w:r w:rsidR="00D67144" w:rsidRPr="00AD267A">
        <w:rPr>
          <w:rFonts w:ascii="Times New Roman" w:hAnsi="Times New Roman" w:cs="Times New Roman"/>
          <w:color w:val="auto"/>
          <w:sz w:val="22"/>
          <w:szCs w:val="22"/>
        </w:rPr>
        <w:t xml:space="preserve">.5 </w:t>
      </w:r>
      <w:r w:rsidR="00AD267A" w:rsidRPr="00AD267A">
        <w:rPr>
          <w:rFonts w:ascii="Times New Roman" w:hAnsi="Times New Roman" w:cs="Times New Roman"/>
          <w:color w:val="auto"/>
          <w:sz w:val="22"/>
          <w:szCs w:val="22"/>
        </w:rPr>
        <w:t>and 16.</w:t>
      </w:r>
      <w:r w:rsidR="000F502B">
        <w:rPr>
          <w:rFonts w:ascii="Times New Roman" w:hAnsi="Times New Roman" w:cs="Times New Roman"/>
          <w:color w:val="auto"/>
          <w:sz w:val="22"/>
          <w:szCs w:val="22"/>
        </w:rPr>
        <w:t>11</w:t>
      </w:r>
      <w:r w:rsidR="00AD267A" w:rsidRPr="00AD267A">
        <w:rPr>
          <w:rFonts w:ascii="Times New Roman" w:hAnsi="Times New Roman" w:cs="Times New Roman"/>
          <w:color w:val="auto"/>
          <w:sz w:val="22"/>
          <w:szCs w:val="22"/>
        </w:rPr>
        <w:t xml:space="preserve"> in </w:t>
      </w:r>
      <w:r w:rsidR="00516227" w:rsidRPr="00AD267A">
        <w:rPr>
          <w:rFonts w:ascii="Times New Roman" w:hAnsi="Times New Roman" w:cs="Times New Roman"/>
          <w:i/>
          <w:color w:val="auto"/>
          <w:sz w:val="22"/>
          <w:szCs w:val="22"/>
        </w:rPr>
        <w:t>McNae’s</w:t>
      </w:r>
      <w:r w:rsidR="00516227" w:rsidRPr="00AD267A">
        <w:rPr>
          <w:rFonts w:ascii="Times New Roman" w:hAnsi="Times New Roman" w:cs="Times New Roman"/>
          <w:color w:val="auto"/>
          <w:sz w:val="22"/>
          <w:szCs w:val="22"/>
        </w:rPr>
        <w:t>) a</w:t>
      </w:r>
      <w:r w:rsidRPr="00AD267A">
        <w:rPr>
          <w:rFonts w:ascii="Times New Roman" w:hAnsi="Times New Roman" w:cs="Times New Roman"/>
          <w:color w:val="auto"/>
          <w:sz w:val="22"/>
          <w:szCs w:val="22"/>
        </w:rPr>
        <w:t>nd that for the same reason section 39 anonymity should not be imposed in relation to the juvenile made subject to the CBO.</w:t>
      </w:r>
      <w:r w:rsidR="00516227" w:rsidRPr="00AD267A">
        <w:rPr>
          <w:rFonts w:ascii="Times New Roman" w:hAnsi="Times New Roman" w:cs="Times New Roman"/>
          <w:color w:val="auto"/>
          <w:sz w:val="22"/>
          <w:szCs w:val="22"/>
        </w:rPr>
        <w:t xml:space="preserve"> See</w:t>
      </w:r>
      <w:r w:rsidR="00CC51F4">
        <w:rPr>
          <w:rFonts w:ascii="Times New Roman" w:hAnsi="Times New Roman" w:cs="Times New Roman"/>
          <w:color w:val="auto"/>
          <w:sz w:val="22"/>
          <w:szCs w:val="22"/>
        </w:rPr>
        <w:t xml:space="preserve"> </w:t>
      </w:r>
      <w:r w:rsidR="00516227" w:rsidRPr="00AD267A">
        <w:rPr>
          <w:rFonts w:ascii="Times New Roman" w:hAnsi="Times New Roman" w:cs="Times New Roman"/>
          <w:color w:val="auto"/>
          <w:sz w:val="22"/>
          <w:szCs w:val="22"/>
        </w:rPr>
        <w:t>the Additional Material for ch. 16</w:t>
      </w:r>
      <w:r w:rsidR="00CC51F4" w:rsidRPr="00AD267A">
        <w:rPr>
          <w:rFonts w:ascii="Times New Roman" w:hAnsi="Times New Roman" w:cs="Times New Roman"/>
          <w:color w:val="auto"/>
          <w:sz w:val="22"/>
          <w:szCs w:val="22"/>
        </w:rPr>
        <w:t xml:space="preserve"> on </w:t>
      </w:r>
      <w:hyperlink r:id="rId7" w:history="1">
        <w:r w:rsidR="00CC51F4" w:rsidRPr="00AD267A">
          <w:rPr>
            <w:rStyle w:val="Hyperlink"/>
            <w:rFonts w:ascii="Times New Roman" w:hAnsi="Times New Roman" w:cs="Times New Roman"/>
            <w:color w:val="auto"/>
            <w:sz w:val="22"/>
            <w:szCs w:val="22"/>
            <w:u w:val="none"/>
          </w:rPr>
          <w:t>www.mcnaes.com</w:t>
        </w:r>
      </w:hyperlink>
      <w:r w:rsidR="00CC51F4">
        <w:rPr>
          <w:rFonts w:ascii="Times New Roman" w:hAnsi="Times New Roman" w:cs="Times New Roman"/>
          <w:color w:val="auto"/>
          <w:sz w:val="22"/>
          <w:szCs w:val="22"/>
        </w:rPr>
        <w:t xml:space="preserve"> </w:t>
      </w:r>
      <w:r w:rsidR="00516227" w:rsidRPr="00AD267A">
        <w:rPr>
          <w:rFonts w:ascii="Times New Roman" w:hAnsi="Times New Roman" w:cs="Times New Roman"/>
          <w:color w:val="auto"/>
          <w:sz w:val="22"/>
          <w:szCs w:val="22"/>
        </w:rPr>
        <w:t xml:space="preserve">for </w:t>
      </w:r>
      <w:r w:rsidRPr="00AD267A">
        <w:rPr>
          <w:rFonts w:ascii="Times New Roman" w:hAnsi="Times New Roman" w:cs="Times New Roman"/>
          <w:color w:val="auto"/>
          <w:sz w:val="22"/>
          <w:szCs w:val="22"/>
        </w:rPr>
        <w:t>specific argumen</w:t>
      </w:r>
      <w:r w:rsidR="00AD267A" w:rsidRPr="00AD267A">
        <w:rPr>
          <w:rFonts w:ascii="Times New Roman" w:hAnsi="Times New Roman" w:cs="Times New Roman"/>
          <w:color w:val="auto"/>
          <w:sz w:val="22"/>
          <w:szCs w:val="22"/>
        </w:rPr>
        <w:t xml:space="preserve">ts that can be made against a </w:t>
      </w:r>
      <w:r w:rsidRPr="00AD267A">
        <w:rPr>
          <w:rFonts w:ascii="Times New Roman" w:hAnsi="Times New Roman" w:cs="Times New Roman"/>
          <w:color w:val="auto"/>
          <w:sz w:val="22"/>
          <w:szCs w:val="22"/>
        </w:rPr>
        <w:t xml:space="preserve">juvenile </w:t>
      </w:r>
      <w:r w:rsidR="00AD267A" w:rsidRPr="00AD267A">
        <w:rPr>
          <w:rFonts w:ascii="Times New Roman" w:hAnsi="Times New Roman" w:cs="Times New Roman"/>
          <w:color w:val="auto"/>
          <w:sz w:val="22"/>
          <w:szCs w:val="22"/>
        </w:rPr>
        <w:t xml:space="preserve">subject to a CBO </w:t>
      </w:r>
      <w:r w:rsidRPr="00AD267A">
        <w:rPr>
          <w:rFonts w:ascii="Times New Roman" w:hAnsi="Times New Roman" w:cs="Times New Roman"/>
          <w:color w:val="auto"/>
          <w:sz w:val="22"/>
          <w:szCs w:val="22"/>
        </w:rPr>
        <w:t>having anonymity.</w:t>
      </w:r>
    </w:p>
    <w:p w14:paraId="6ECB9743" w14:textId="77777777" w:rsidR="00702D88" w:rsidRDefault="00702D88" w:rsidP="000F502B">
      <w:pPr>
        <w:pStyle w:val="FT3Textnospace"/>
        <w:spacing w:before="0" w:line="480" w:lineRule="auto"/>
        <w:ind w:left="0"/>
        <w:rPr>
          <w:rFonts w:ascii="Times New Roman" w:hAnsi="Times New Roman"/>
          <w:color w:val="4F81BD"/>
          <w:sz w:val="22"/>
        </w:rPr>
      </w:pPr>
    </w:p>
    <w:p w14:paraId="1376D762" w14:textId="504158D3" w:rsidR="00702D88" w:rsidRPr="00B53DF3" w:rsidRDefault="00516227" w:rsidP="000F502B">
      <w:pPr>
        <w:pStyle w:val="BHead"/>
        <w:spacing w:before="0" w:after="0" w:line="480" w:lineRule="auto"/>
        <w:ind w:right="600"/>
        <w:rPr>
          <w:rFonts w:ascii="Times New Roman" w:hAnsi="Times New Roman"/>
          <w:color w:val="auto"/>
          <w:sz w:val="26"/>
          <w:szCs w:val="24"/>
        </w:rPr>
      </w:pPr>
      <w:r w:rsidRPr="00B53DF3">
        <w:rPr>
          <w:rFonts w:ascii="Times New Roman" w:hAnsi="Times New Roman"/>
          <w:color w:val="auto"/>
          <w:sz w:val="26"/>
          <w:szCs w:val="24"/>
        </w:rPr>
        <w:t>10.</w:t>
      </w:r>
      <w:r w:rsidR="000F502B">
        <w:rPr>
          <w:rFonts w:ascii="Times New Roman" w:hAnsi="Times New Roman"/>
          <w:color w:val="auto"/>
          <w:sz w:val="26"/>
          <w:szCs w:val="24"/>
        </w:rPr>
        <w:t>7</w:t>
      </w:r>
      <w:r w:rsidRPr="00B53DF3">
        <w:rPr>
          <w:rFonts w:ascii="Times New Roman" w:hAnsi="Times New Roman"/>
          <w:color w:val="auto"/>
          <w:sz w:val="26"/>
          <w:szCs w:val="24"/>
        </w:rPr>
        <w:t xml:space="preserve">.3 </w:t>
      </w:r>
      <w:r w:rsidR="00702D88" w:rsidRPr="00B53DF3">
        <w:rPr>
          <w:rFonts w:ascii="Times New Roman" w:hAnsi="Times New Roman"/>
          <w:color w:val="auto"/>
          <w:sz w:val="26"/>
          <w:szCs w:val="24"/>
        </w:rPr>
        <w:t>No automatic anonymity for alleged breaches of CBOs</w:t>
      </w:r>
    </w:p>
    <w:p w14:paraId="51318FC2" w14:textId="77777777" w:rsidR="00702D88" w:rsidRPr="008D6B88" w:rsidRDefault="00702D88" w:rsidP="000F502B">
      <w:pPr>
        <w:pStyle w:val="Text"/>
        <w:spacing w:line="480" w:lineRule="auto"/>
        <w:jc w:val="left"/>
        <w:rPr>
          <w:rFonts w:ascii="Times New Roman" w:hAnsi="Times New Roman"/>
          <w:color w:val="auto"/>
          <w:spacing w:val="2"/>
          <w:sz w:val="22"/>
        </w:rPr>
      </w:pPr>
      <w:r w:rsidRPr="008D6B88">
        <w:rPr>
          <w:rFonts w:ascii="Times New Roman" w:hAnsi="Times New Roman"/>
          <w:color w:val="auto"/>
          <w:spacing w:val="2"/>
          <w:sz w:val="22"/>
        </w:rPr>
        <w:t>A juvenile alleged to have breached a CBO may be charged with this as a criminal offence, which will normally be dealt with at a youth court. Section 30 of the 2014 Act says that the usual anonymity under section 49 of the 1933 Act for juveniles appearing in a youth court does not apply to a juvenile accused of breaching a CBO.</w:t>
      </w:r>
    </w:p>
    <w:p w14:paraId="7564F86A" w14:textId="77777777" w:rsidR="00702D88" w:rsidRPr="008D6B88" w:rsidRDefault="00702D88" w:rsidP="000F502B">
      <w:pPr>
        <w:pStyle w:val="Text"/>
        <w:spacing w:line="480" w:lineRule="auto"/>
        <w:jc w:val="left"/>
        <w:rPr>
          <w:rFonts w:ascii="Times New Roman" w:hAnsi="Times New Roman"/>
          <w:color w:val="auto"/>
          <w:spacing w:val="2"/>
          <w:sz w:val="22"/>
        </w:rPr>
      </w:pPr>
    </w:p>
    <w:p w14:paraId="3D9AECC6" w14:textId="77777777" w:rsidR="00702D88" w:rsidRDefault="00702D88" w:rsidP="000F502B">
      <w:pPr>
        <w:pStyle w:val="BList1"/>
        <w:spacing w:before="0" w:line="480" w:lineRule="auto"/>
        <w:ind w:left="200"/>
        <w:jc w:val="left"/>
        <w:rPr>
          <w:rFonts w:ascii="Times New Roman" w:hAnsi="Times New Roman"/>
          <w:color w:val="auto"/>
          <w:spacing w:val="-2"/>
          <w:sz w:val="22"/>
        </w:rPr>
      </w:pPr>
      <w:r w:rsidRPr="008D6B88">
        <w:rPr>
          <w:rStyle w:val="bullets"/>
          <w:rFonts w:ascii="Times New Roman" w:hAnsi="Times New Roman"/>
          <w:color w:val="auto"/>
          <w:spacing w:val="-2"/>
          <w:sz w:val="22"/>
          <w:szCs w:val="19"/>
        </w:rPr>
        <w:t>•</w:t>
      </w:r>
      <w:r w:rsidRPr="008D6B88">
        <w:rPr>
          <w:rFonts w:ascii="Times New Roman" w:hAnsi="Times New Roman"/>
          <w:color w:val="auto"/>
          <w:spacing w:val="-2"/>
          <w:sz w:val="22"/>
        </w:rPr>
        <w:tab/>
        <w:t xml:space="preserve">So the media </w:t>
      </w:r>
      <w:r w:rsidRPr="008D6B88">
        <w:rPr>
          <w:rStyle w:val="italic"/>
          <w:rFonts w:ascii="Times New Roman" w:hAnsi="Times New Roman"/>
          <w:iCs/>
          <w:color w:val="auto"/>
          <w:spacing w:val="-2"/>
          <w:sz w:val="22"/>
        </w:rPr>
        <w:t>can</w:t>
      </w:r>
      <w:r w:rsidRPr="008D6B88">
        <w:rPr>
          <w:rFonts w:ascii="Times New Roman" w:hAnsi="Times New Roman"/>
          <w:color w:val="auto"/>
          <w:spacing w:val="-2"/>
          <w:sz w:val="22"/>
        </w:rPr>
        <w:t xml:space="preserve"> identify a juvenile defendant when reporting a youth court’s proceedings for alleged breach of a CBO, whether or not it convicts him/her. But any juvenile witness retains the automatic anonymity under section 49</w:t>
      </w:r>
      <w:r w:rsidR="00AD267A">
        <w:rPr>
          <w:rFonts w:ascii="Times New Roman" w:hAnsi="Times New Roman"/>
          <w:color w:val="auto"/>
          <w:spacing w:val="-2"/>
          <w:sz w:val="22"/>
        </w:rPr>
        <w:t xml:space="preserve">, and the defendant </w:t>
      </w:r>
      <w:r w:rsidR="00AC362B">
        <w:rPr>
          <w:rFonts w:ascii="Times New Roman" w:hAnsi="Times New Roman"/>
          <w:color w:val="auto"/>
          <w:spacing w:val="-2"/>
          <w:sz w:val="22"/>
        </w:rPr>
        <w:t xml:space="preserve">automatically </w:t>
      </w:r>
      <w:r w:rsidR="00AD267A">
        <w:rPr>
          <w:rFonts w:ascii="Times New Roman" w:hAnsi="Times New Roman"/>
          <w:color w:val="auto"/>
          <w:spacing w:val="-2"/>
          <w:sz w:val="22"/>
        </w:rPr>
        <w:t>retains section 49 anonymity in respect of a charge for</w:t>
      </w:r>
      <w:r w:rsidR="00AC362B">
        <w:rPr>
          <w:rFonts w:ascii="Times New Roman" w:hAnsi="Times New Roman"/>
          <w:color w:val="auto"/>
          <w:spacing w:val="-2"/>
          <w:sz w:val="22"/>
        </w:rPr>
        <w:t xml:space="preserve"> any other offence being dealt </w:t>
      </w:r>
      <w:r w:rsidR="00AD267A">
        <w:rPr>
          <w:rFonts w:ascii="Times New Roman" w:hAnsi="Times New Roman"/>
          <w:color w:val="auto"/>
          <w:spacing w:val="-2"/>
          <w:sz w:val="22"/>
        </w:rPr>
        <w:t>with in that hearing</w:t>
      </w:r>
      <w:r w:rsidRPr="008D6B88">
        <w:rPr>
          <w:rFonts w:ascii="Times New Roman" w:hAnsi="Times New Roman"/>
          <w:color w:val="auto"/>
          <w:spacing w:val="-2"/>
          <w:sz w:val="22"/>
        </w:rPr>
        <w:t>.</w:t>
      </w:r>
    </w:p>
    <w:p w14:paraId="7B7A41EA" w14:textId="77777777" w:rsidR="00AC362B" w:rsidRPr="008D6B88" w:rsidRDefault="00AC362B" w:rsidP="000F502B">
      <w:pPr>
        <w:pStyle w:val="BList1"/>
        <w:spacing w:before="0" w:line="480" w:lineRule="auto"/>
        <w:ind w:left="200"/>
        <w:jc w:val="left"/>
        <w:rPr>
          <w:rFonts w:ascii="Times New Roman" w:hAnsi="Times New Roman"/>
          <w:color w:val="auto"/>
          <w:spacing w:val="-2"/>
          <w:sz w:val="22"/>
        </w:rPr>
      </w:pPr>
    </w:p>
    <w:p w14:paraId="1C3FB3FB" w14:textId="0F58A142" w:rsidR="00702D88" w:rsidRPr="008D6B88" w:rsidRDefault="00702D88" w:rsidP="000F502B">
      <w:pPr>
        <w:pStyle w:val="BList2"/>
        <w:spacing w:before="0" w:after="0" w:line="480" w:lineRule="auto"/>
        <w:ind w:left="200"/>
        <w:jc w:val="left"/>
        <w:rPr>
          <w:rFonts w:ascii="Times New Roman" w:hAnsi="Times New Roman"/>
          <w:color w:val="auto"/>
          <w:sz w:val="22"/>
        </w:rPr>
      </w:pPr>
      <w:r w:rsidRPr="008D6B88">
        <w:rPr>
          <w:rStyle w:val="bullets"/>
          <w:rFonts w:ascii="Times New Roman" w:hAnsi="Times New Roman"/>
          <w:color w:val="auto"/>
          <w:sz w:val="22"/>
          <w:szCs w:val="19"/>
        </w:rPr>
        <w:t>•</w:t>
      </w:r>
      <w:r w:rsidRPr="008D6B88">
        <w:rPr>
          <w:rFonts w:ascii="Times New Roman" w:hAnsi="Times New Roman"/>
          <w:color w:val="auto"/>
          <w:sz w:val="22"/>
        </w:rPr>
        <w:tab/>
        <w:t>The youth court can decide to give the juvenile defendant anonymity</w:t>
      </w:r>
      <w:r w:rsidR="00AD267A">
        <w:rPr>
          <w:rFonts w:ascii="Times New Roman" w:hAnsi="Times New Roman"/>
          <w:color w:val="auto"/>
          <w:sz w:val="22"/>
        </w:rPr>
        <w:t xml:space="preserve"> in respect of the alleged or admitted breach of the CBO</w:t>
      </w:r>
      <w:r w:rsidRPr="008D6B88">
        <w:rPr>
          <w:rFonts w:ascii="Times New Roman" w:hAnsi="Times New Roman"/>
          <w:color w:val="auto"/>
          <w:sz w:val="22"/>
        </w:rPr>
        <w:t xml:space="preserve">. Section 30 of the 2014 Act gives youth courts the discretionary power to give anonymity to a juvenile defendant accused of breaching a CBO by using section 45 of the </w:t>
      </w:r>
      <w:r w:rsidRPr="008D6B88">
        <w:rPr>
          <w:rFonts w:ascii="Times New Roman" w:hAnsi="Times New Roman"/>
          <w:color w:val="auto"/>
          <w:sz w:val="22"/>
        </w:rPr>
        <w:lastRenderedPageBreak/>
        <w:t>Youth Justice and Criminal Evidence Act 1999</w:t>
      </w:r>
      <w:r w:rsidR="00AD267A">
        <w:rPr>
          <w:rFonts w:ascii="Times New Roman" w:hAnsi="Times New Roman"/>
          <w:color w:val="auto"/>
          <w:sz w:val="22"/>
        </w:rPr>
        <w:t xml:space="preserve">. Section 45 is </w:t>
      </w:r>
      <w:r w:rsidRPr="008D6B88">
        <w:rPr>
          <w:rFonts w:ascii="Times New Roman" w:hAnsi="Times New Roman"/>
          <w:color w:val="auto"/>
          <w:sz w:val="22"/>
        </w:rPr>
        <w:t xml:space="preserve">explained </w:t>
      </w:r>
      <w:r w:rsidR="00AD267A">
        <w:rPr>
          <w:rFonts w:ascii="Times New Roman" w:hAnsi="Times New Roman"/>
          <w:color w:val="auto"/>
          <w:sz w:val="22"/>
        </w:rPr>
        <w:t>in 10.</w:t>
      </w:r>
      <w:r w:rsidR="000F502B">
        <w:rPr>
          <w:rFonts w:ascii="Times New Roman" w:hAnsi="Times New Roman"/>
          <w:color w:val="auto"/>
          <w:sz w:val="22"/>
        </w:rPr>
        <w:t>4</w:t>
      </w:r>
      <w:r w:rsidR="00AD267A">
        <w:rPr>
          <w:rFonts w:ascii="Times New Roman" w:hAnsi="Times New Roman"/>
          <w:color w:val="auto"/>
          <w:sz w:val="22"/>
        </w:rPr>
        <w:t xml:space="preserve"> </w:t>
      </w:r>
      <w:r w:rsidR="00AD267A" w:rsidRPr="00AD267A">
        <w:rPr>
          <w:rFonts w:ascii="Times New Roman" w:hAnsi="Times New Roman"/>
          <w:color w:val="auto"/>
          <w:sz w:val="22"/>
        </w:rPr>
        <w:t xml:space="preserve">in </w:t>
      </w:r>
      <w:r w:rsidR="00AD267A" w:rsidRPr="00AD267A">
        <w:rPr>
          <w:rFonts w:ascii="Times New Roman" w:hAnsi="Times New Roman"/>
          <w:i/>
          <w:color w:val="auto"/>
          <w:sz w:val="22"/>
        </w:rPr>
        <w:t>McNae’s</w:t>
      </w:r>
      <w:r w:rsidR="00AD267A">
        <w:rPr>
          <w:rFonts w:ascii="Times New Roman" w:hAnsi="Times New Roman"/>
          <w:color w:val="auto"/>
          <w:sz w:val="22"/>
        </w:rPr>
        <w:t xml:space="preserve"> in the context of adult courts, but the nature and normal scope of a section 45 order is the same when used by a youth court in proceedings for alleged or admitted breach of a CBO</w:t>
      </w:r>
      <w:r w:rsidRPr="008D6B88">
        <w:rPr>
          <w:rFonts w:ascii="Times New Roman" w:hAnsi="Times New Roman"/>
          <w:color w:val="auto"/>
          <w:sz w:val="22"/>
        </w:rPr>
        <w:t>.</w:t>
      </w:r>
      <w:r w:rsidR="00A54BE5">
        <w:rPr>
          <w:rFonts w:ascii="Times New Roman" w:hAnsi="Times New Roman"/>
          <w:color w:val="auto"/>
          <w:sz w:val="22"/>
        </w:rPr>
        <w:t xml:space="preserve"> </w:t>
      </w:r>
    </w:p>
    <w:p w14:paraId="52E87555" w14:textId="77777777" w:rsidR="00AC362B" w:rsidRDefault="00AC362B" w:rsidP="000F502B">
      <w:pPr>
        <w:pStyle w:val="Text"/>
        <w:spacing w:line="480" w:lineRule="auto"/>
        <w:jc w:val="left"/>
        <w:rPr>
          <w:rFonts w:ascii="Times New Roman" w:hAnsi="Times New Roman"/>
          <w:color w:val="auto"/>
          <w:sz w:val="22"/>
        </w:rPr>
      </w:pPr>
    </w:p>
    <w:p w14:paraId="3AEA0CDB" w14:textId="77777777" w:rsidR="00702D88" w:rsidRDefault="00702D88" w:rsidP="000F502B">
      <w:pPr>
        <w:pStyle w:val="Text"/>
        <w:spacing w:line="480" w:lineRule="auto"/>
        <w:jc w:val="left"/>
        <w:rPr>
          <w:rFonts w:ascii="Times New Roman" w:hAnsi="Times New Roman"/>
          <w:color w:val="auto"/>
          <w:sz w:val="22"/>
        </w:rPr>
      </w:pPr>
      <w:r w:rsidRPr="008D6B88">
        <w:rPr>
          <w:rFonts w:ascii="Times New Roman" w:hAnsi="Times New Roman"/>
          <w:color w:val="auto"/>
          <w:sz w:val="22"/>
        </w:rPr>
        <w:t xml:space="preserve">Section 30 of the 2014 Act says that if a court does give such a juvenile anonymity under section 45, it must give its reasons for doing so. Again, a journalist covering </w:t>
      </w:r>
      <w:r w:rsidRPr="008D6B88">
        <w:rPr>
          <w:rFonts w:ascii="Times New Roman" w:hAnsi="Times New Roman"/>
          <w:color w:val="auto"/>
          <w:spacing w:val="-2"/>
          <w:sz w:val="22"/>
        </w:rPr>
        <w:t>the hearing could argue that t</w:t>
      </w:r>
      <w:r w:rsidR="00AD267A">
        <w:rPr>
          <w:rFonts w:ascii="Times New Roman" w:hAnsi="Times New Roman"/>
          <w:color w:val="auto"/>
          <w:spacing w:val="-2"/>
          <w:sz w:val="22"/>
        </w:rPr>
        <w:t>he juvenile should be named</w:t>
      </w:r>
      <w:r w:rsidR="00A54BE5">
        <w:rPr>
          <w:rFonts w:ascii="Times New Roman" w:hAnsi="Times New Roman"/>
          <w:color w:val="auto"/>
          <w:spacing w:val="-2"/>
          <w:sz w:val="22"/>
        </w:rPr>
        <w:t xml:space="preserve"> in a report of the case </w:t>
      </w:r>
      <w:r w:rsidR="00AD267A">
        <w:rPr>
          <w:rFonts w:ascii="Times New Roman" w:hAnsi="Times New Roman"/>
          <w:color w:val="auto"/>
          <w:spacing w:val="-2"/>
          <w:sz w:val="22"/>
        </w:rPr>
        <w:t>—see</w:t>
      </w:r>
      <w:r w:rsidR="00AC362B">
        <w:rPr>
          <w:rFonts w:ascii="Times New Roman" w:hAnsi="Times New Roman"/>
          <w:color w:val="auto"/>
          <w:spacing w:val="-2"/>
          <w:sz w:val="22"/>
        </w:rPr>
        <w:t xml:space="preserve"> </w:t>
      </w:r>
      <w:r w:rsidR="00AD267A" w:rsidRPr="00AD267A">
        <w:rPr>
          <w:rFonts w:ascii="Times New Roman" w:hAnsi="Times New Roman" w:cs="Times New Roman"/>
          <w:color w:val="auto"/>
          <w:sz w:val="22"/>
          <w:szCs w:val="22"/>
        </w:rPr>
        <w:t xml:space="preserve">the Additional Material for ch. 16 </w:t>
      </w:r>
      <w:r w:rsidR="00AC362B" w:rsidRPr="00AD267A">
        <w:rPr>
          <w:rFonts w:ascii="Times New Roman" w:hAnsi="Times New Roman" w:cs="Times New Roman"/>
          <w:color w:val="auto"/>
          <w:sz w:val="22"/>
          <w:szCs w:val="22"/>
        </w:rPr>
        <w:t xml:space="preserve">on </w:t>
      </w:r>
      <w:hyperlink r:id="rId8" w:history="1">
        <w:r w:rsidR="00AC362B" w:rsidRPr="00AD267A">
          <w:rPr>
            <w:rStyle w:val="Hyperlink"/>
            <w:rFonts w:ascii="Times New Roman" w:hAnsi="Times New Roman" w:cs="Times New Roman"/>
            <w:color w:val="auto"/>
            <w:sz w:val="22"/>
            <w:szCs w:val="22"/>
            <w:u w:val="none"/>
          </w:rPr>
          <w:t>www.mcnaes.com</w:t>
        </w:r>
      </w:hyperlink>
      <w:r w:rsidR="00AC362B">
        <w:rPr>
          <w:rFonts w:ascii="Times New Roman" w:hAnsi="Times New Roman" w:cs="Times New Roman"/>
          <w:color w:val="auto"/>
          <w:sz w:val="22"/>
          <w:szCs w:val="22"/>
        </w:rPr>
        <w:t xml:space="preserve"> </w:t>
      </w:r>
      <w:r w:rsidR="00AD267A" w:rsidRPr="00AD267A">
        <w:rPr>
          <w:rFonts w:ascii="Times New Roman" w:hAnsi="Times New Roman" w:cs="Times New Roman"/>
          <w:color w:val="auto"/>
          <w:sz w:val="22"/>
          <w:szCs w:val="22"/>
        </w:rPr>
        <w:t>for specific arguments that can be made</w:t>
      </w:r>
      <w:r w:rsidR="00AD267A">
        <w:rPr>
          <w:rFonts w:ascii="Times New Roman" w:hAnsi="Times New Roman" w:cs="Times New Roman"/>
          <w:color w:val="auto"/>
          <w:sz w:val="22"/>
          <w:szCs w:val="22"/>
        </w:rPr>
        <w:t xml:space="preserve">. </w:t>
      </w:r>
    </w:p>
    <w:p w14:paraId="3FFBF245" w14:textId="77777777" w:rsidR="00702D88" w:rsidRDefault="00702D88" w:rsidP="000F502B">
      <w:pPr>
        <w:pStyle w:val="Text"/>
        <w:spacing w:line="480" w:lineRule="auto"/>
        <w:jc w:val="left"/>
        <w:rPr>
          <w:rFonts w:ascii="Times New Roman" w:hAnsi="Times New Roman"/>
          <w:color w:val="auto"/>
          <w:sz w:val="22"/>
        </w:rPr>
      </w:pPr>
    </w:p>
    <w:p w14:paraId="3F8A0A32" w14:textId="77777777" w:rsidR="004E2D27" w:rsidRPr="004651D5" w:rsidRDefault="009531A5" w:rsidP="000F502B">
      <w:pPr>
        <w:spacing w:after="0" w:line="480" w:lineRule="auto"/>
        <w:rPr>
          <w:rFonts w:ascii="Times New Roman" w:hAnsi="Times New Roman" w:cs="Times New Roman"/>
          <w:b/>
          <w:sz w:val="28"/>
          <w:szCs w:val="28"/>
        </w:rPr>
      </w:pPr>
      <w:r w:rsidRPr="004651D5">
        <w:rPr>
          <w:rFonts w:ascii="Times New Roman" w:hAnsi="Times New Roman" w:cs="Times New Roman"/>
          <w:b/>
          <w:sz w:val="28"/>
          <w:szCs w:val="28"/>
        </w:rPr>
        <w:t>Useful websites</w:t>
      </w:r>
    </w:p>
    <w:p w14:paraId="2DB604CB" w14:textId="77777777" w:rsidR="00AC362B" w:rsidRPr="004651D5" w:rsidRDefault="00AC362B" w:rsidP="000F502B">
      <w:pPr>
        <w:spacing w:after="0" w:line="480" w:lineRule="auto"/>
        <w:rPr>
          <w:rFonts w:ascii="Times New Roman" w:hAnsi="Times New Roman" w:cs="Times New Roman"/>
          <w:b/>
        </w:rPr>
      </w:pPr>
      <w:r w:rsidRPr="004651D5">
        <w:rPr>
          <w:rFonts w:ascii="Times New Roman" w:hAnsi="Times New Roman" w:cs="Times New Roman"/>
          <w:b/>
        </w:rPr>
        <w:t>http://webarchive.nationalarchives.gov.uk/20100418065544/http:/asb.homeoffice.gov.uk/uploadedFiles/Members_site/Documents_and_images/Evidence_and_court/JCS_ASBOGuide_May06_0041.PDF</w:t>
      </w:r>
    </w:p>
    <w:p w14:paraId="3AE2B76A" w14:textId="77777777" w:rsidR="00AC362B" w:rsidRPr="004651D5" w:rsidRDefault="00AC362B" w:rsidP="000F502B">
      <w:pPr>
        <w:spacing w:after="0" w:line="480" w:lineRule="auto"/>
        <w:rPr>
          <w:rFonts w:ascii="Times New Roman" w:hAnsi="Times New Roman" w:cs="Times New Roman"/>
        </w:rPr>
      </w:pPr>
      <w:r w:rsidRPr="004651D5">
        <w:rPr>
          <w:rFonts w:ascii="Times New Roman" w:hAnsi="Times New Roman" w:cs="Times New Roman"/>
        </w:rPr>
        <w:t>Justices’ Clerks’ Society, Good Practice Guide on ASBOs</w:t>
      </w:r>
    </w:p>
    <w:p w14:paraId="26A324EB" w14:textId="77777777" w:rsidR="00AC362B" w:rsidRPr="004651D5" w:rsidRDefault="00AC362B" w:rsidP="000F502B">
      <w:pPr>
        <w:spacing w:after="0" w:line="480" w:lineRule="auto"/>
        <w:rPr>
          <w:rFonts w:ascii="Times New Roman" w:hAnsi="Times New Roman" w:cs="Times New Roman"/>
        </w:rPr>
      </w:pPr>
    </w:p>
    <w:p w14:paraId="2684DFF1" w14:textId="77777777" w:rsidR="005F6C7C" w:rsidRPr="004861E1" w:rsidRDefault="00105DB5" w:rsidP="005F6C7C">
      <w:pPr>
        <w:spacing w:after="0" w:line="480" w:lineRule="auto"/>
        <w:rPr>
          <w:rFonts w:ascii="Times New Roman" w:hAnsi="Times New Roman" w:cs="Times New Roman"/>
          <w:b/>
          <w:bCs/>
        </w:rPr>
      </w:pPr>
      <w:hyperlink r:id="rId9" w:history="1">
        <w:r w:rsidR="005F6C7C" w:rsidRPr="004861E1">
          <w:rPr>
            <w:rStyle w:val="Hyperlink"/>
            <w:rFonts w:ascii="Times New Roman" w:hAnsi="Times New Roman" w:cs="Times New Roman"/>
            <w:b/>
            <w:bCs/>
            <w:color w:val="auto"/>
            <w:u w:val="none"/>
          </w:rPr>
          <w:t>https://www.judiciary.uk/publications/youth-court-bench-book-and-pronouncement-cards/</w:t>
        </w:r>
      </w:hyperlink>
    </w:p>
    <w:p w14:paraId="528FD6B9" w14:textId="77777777" w:rsidR="005F6C7C" w:rsidRPr="005F42AB" w:rsidRDefault="005F6C7C" w:rsidP="005F6C7C">
      <w:pPr>
        <w:spacing w:after="0" w:line="480" w:lineRule="auto"/>
        <w:rPr>
          <w:rFonts w:ascii="Times New Roman" w:hAnsi="Times New Roman" w:cs="Times New Roman"/>
        </w:rPr>
      </w:pPr>
      <w:r w:rsidRPr="005F42AB">
        <w:rPr>
          <w:rFonts w:ascii="Times New Roman" w:hAnsi="Times New Roman" w:cs="Times New Roman"/>
        </w:rPr>
        <w:t>Youth Court Bench Book</w:t>
      </w:r>
    </w:p>
    <w:sectPr w:rsidR="005F6C7C" w:rsidRPr="005F42AB" w:rsidSect="0034724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A8422" w14:textId="77777777" w:rsidR="00105DB5" w:rsidRDefault="00105DB5" w:rsidP="00105DB5">
      <w:pPr>
        <w:spacing w:after="0" w:line="240" w:lineRule="auto"/>
      </w:pPr>
      <w:r>
        <w:separator/>
      </w:r>
    </w:p>
  </w:endnote>
  <w:endnote w:type="continuationSeparator" w:id="0">
    <w:p w14:paraId="36FCAA48" w14:textId="77777777" w:rsidR="00105DB5" w:rsidRDefault="00105DB5" w:rsidP="0010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ympian LT Std">
    <w:altName w:val="Calibri"/>
    <w:panose1 w:val="00000000000000000000"/>
    <w:charset w:val="4D"/>
    <w:family w:val="auto"/>
    <w:notTrueType/>
    <w:pitch w:val="default"/>
    <w:sig w:usb0="00000003" w:usb1="00000000" w:usb2="00000000" w:usb3="00000000" w:csb0="00000001" w:csb1="00000000"/>
  </w:font>
  <w:font w:name="News Gothic MT St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4536" w14:textId="77777777" w:rsidR="00105DB5" w:rsidRDefault="0010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5F29" w14:textId="77777777" w:rsidR="00105DB5" w:rsidRPr="009616C4" w:rsidRDefault="00105DB5" w:rsidP="00105DB5">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32F94CE9" wp14:editId="21085626">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495A4EE2" w14:textId="77777777" w:rsidR="00105DB5" w:rsidRDefault="0010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8CF5" w14:textId="77777777" w:rsidR="00105DB5" w:rsidRDefault="0010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01CE" w14:textId="77777777" w:rsidR="00105DB5" w:rsidRDefault="00105DB5" w:rsidP="00105DB5">
      <w:pPr>
        <w:spacing w:after="0" w:line="240" w:lineRule="auto"/>
      </w:pPr>
      <w:r>
        <w:separator/>
      </w:r>
    </w:p>
  </w:footnote>
  <w:footnote w:type="continuationSeparator" w:id="0">
    <w:p w14:paraId="7ECA540B" w14:textId="77777777" w:rsidR="00105DB5" w:rsidRDefault="00105DB5" w:rsidP="0010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3D9E" w14:textId="77777777" w:rsidR="00105DB5" w:rsidRDefault="00105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0D56" w14:textId="77777777" w:rsidR="00105DB5" w:rsidRDefault="00105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6912" w14:textId="77777777" w:rsidR="00105DB5" w:rsidRDefault="00105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74"/>
    <w:rsid w:val="000C18EF"/>
    <w:rsid w:val="000F502B"/>
    <w:rsid w:val="00105DB5"/>
    <w:rsid w:val="00154516"/>
    <w:rsid w:val="00163250"/>
    <w:rsid w:val="00193323"/>
    <w:rsid w:val="002F2B9B"/>
    <w:rsid w:val="00327DDD"/>
    <w:rsid w:val="0034724B"/>
    <w:rsid w:val="003E3B84"/>
    <w:rsid w:val="00403597"/>
    <w:rsid w:val="00450474"/>
    <w:rsid w:val="004651D5"/>
    <w:rsid w:val="004A0C3F"/>
    <w:rsid w:val="004E2D27"/>
    <w:rsid w:val="00516227"/>
    <w:rsid w:val="005923B8"/>
    <w:rsid w:val="005A7F45"/>
    <w:rsid w:val="005F6C7C"/>
    <w:rsid w:val="00702D88"/>
    <w:rsid w:val="007A5BBF"/>
    <w:rsid w:val="00921642"/>
    <w:rsid w:val="009531A5"/>
    <w:rsid w:val="009B459E"/>
    <w:rsid w:val="00A54BE5"/>
    <w:rsid w:val="00AC362B"/>
    <w:rsid w:val="00AD267A"/>
    <w:rsid w:val="00B41EA2"/>
    <w:rsid w:val="00B53DF3"/>
    <w:rsid w:val="00BC4A24"/>
    <w:rsid w:val="00C03F92"/>
    <w:rsid w:val="00C6306D"/>
    <w:rsid w:val="00CC51F4"/>
    <w:rsid w:val="00CC53DD"/>
    <w:rsid w:val="00CD3B7D"/>
    <w:rsid w:val="00D0752D"/>
    <w:rsid w:val="00D6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A5895"/>
  <w15:docId w15:val="{0865843F-544B-4216-A90F-BD6F361D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02D88"/>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rPr>
  </w:style>
  <w:style w:type="paragraph" w:customStyle="1" w:styleId="AHead">
    <w:name w:val="AHead"/>
    <w:basedOn w:val="Normal"/>
    <w:rsid w:val="00702D88"/>
    <w:pPr>
      <w:keepNext/>
      <w:keepLines/>
      <w:widowControl w:val="0"/>
      <w:autoSpaceDE w:val="0"/>
      <w:autoSpaceDN w:val="0"/>
      <w:adjustRightInd w:val="0"/>
      <w:spacing w:before="380" w:after="180" w:line="440" w:lineRule="atLeast"/>
      <w:ind w:left="360"/>
      <w:textAlignment w:val="center"/>
    </w:pPr>
    <w:rPr>
      <w:rFonts w:ascii="News Gothic MT Std" w:eastAsia="Times New Roman" w:hAnsi="News Gothic MT Std" w:cs="News Gothic MT Std"/>
      <w:b/>
      <w:bCs/>
      <w:color w:val="0060A1"/>
      <w:sz w:val="38"/>
      <w:szCs w:val="38"/>
    </w:rPr>
  </w:style>
  <w:style w:type="paragraph" w:customStyle="1" w:styleId="TextInd">
    <w:name w:val="TextInd"/>
    <w:basedOn w:val="Normal"/>
    <w:rsid w:val="00702D88"/>
    <w:pPr>
      <w:widowControl w:val="0"/>
      <w:autoSpaceDE w:val="0"/>
      <w:autoSpaceDN w:val="0"/>
      <w:adjustRightInd w:val="0"/>
      <w:spacing w:after="0" w:line="250" w:lineRule="atLeast"/>
      <w:ind w:firstLine="170"/>
      <w:jc w:val="both"/>
      <w:textAlignment w:val="center"/>
    </w:pPr>
    <w:rPr>
      <w:rFonts w:ascii="Olympian LT Std" w:eastAsia="Times New Roman" w:hAnsi="Olympian LT Std" w:cs="Olympian LT Std"/>
      <w:color w:val="000000"/>
      <w:sz w:val="16"/>
      <w:szCs w:val="16"/>
    </w:rPr>
  </w:style>
  <w:style w:type="paragraph" w:customStyle="1" w:styleId="BHead">
    <w:name w:val="BHead"/>
    <w:basedOn w:val="Normal"/>
    <w:rsid w:val="00702D88"/>
    <w:pPr>
      <w:keepNext/>
      <w:keepLines/>
      <w:widowControl w:val="0"/>
      <w:autoSpaceDE w:val="0"/>
      <w:autoSpaceDN w:val="0"/>
      <w:adjustRightInd w:val="0"/>
      <w:spacing w:before="310" w:after="120" w:line="320" w:lineRule="atLeast"/>
      <w:ind w:right="60"/>
      <w:textAlignment w:val="center"/>
    </w:pPr>
    <w:rPr>
      <w:rFonts w:ascii="News Gothic MT Std" w:eastAsia="Times New Roman" w:hAnsi="News Gothic MT Std" w:cs="News Gothic MT Std"/>
      <w:b/>
      <w:bCs/>
      <w:color w:val="0060A1"/>
      <w:sz w:val="28"/>
      <w:szCs w:val="28"/>
    </w:rPr>
  </w:style>
  <w:style w:type="paragraph" w:customStyle="1" w:styleId="FT3Textnospace">
    <w:name w:val="FT3_Text_no_space"/>
    <w:basedOn w:val="Normal"/>
    <w:rsid w:val="00702D88"/>
    <w:pPr>
      <w:widowControl w:val="0"/>
      <w:suppressAutoHyphens/>
      <w:autoSpaceDE w:val="0"/>
      <w:autoSpaceDN w:val="0"/>
      <w:adjustRightInd w:val="0"/>
      <w:spacing w:before="420" w:after="0" w:line="220" w:lineRule="atLeast"/>
      <w:ind w:left="570"/>
      <w:textAlignment w:val="center"/>
    </w:pPr>
    <w:rPr>
      <w:rFonts w:ascii="News Gothic MT Std" w:eastAsia="Times New Roman" w:hAnsi="News Gothic MT Std" w:cs="News Gothic MT Std"/>
      <w:color w:val="0060A1"/>
      <w:position w:val="1"/>
      <w:sz w:val="16"/>
      <w:szCs w:val="16"/>
    </w:rPr>
  </w:style>
  <w:style w:type="paragraph" w:customStyle="1" w:styleId="RefHead">
    <w:name w:val="RefHead"/>
    <w:basedOn w:val="Normal"/>
    <w:rsid w:val="00702D88"/>
    <w:pPr>
      <w:keepNext/>
      <w:widowControl w:val="0"/>
      <w:tabs>
        <w:tab w:val="left" w:pos="360"/>
      </w:tabs>
      <w:suppressAutoHyphens/>
      <w:autoSpaceDE w:val="0"/>
      <w:autoSpaceDN w:val="0"/>
      <w:adjustRightInd w:val="0"/>
      <w:spacing w:before="780" w:after="260" w:line="260" w:lineRule="atLeast"/>
      <w:ind w:left="317"/>
      <w:jc w:val="both"/>
      <w:textAlignment w:val="center"/>
    </w:pPr>
    <w:rPr>
      <w:rFonts w:ascii="News Gothic MT Std" w:eastAsia="Times New Roman" w:hAnsi="News Gothic MT Std" w:cs="News Gothic MT Std"/>
      <w:b/>
      <w:bCs/>
      <w:color w:val="000000"/>
      <w:sz w:val="28"/>
      <w:szCs w:val="28"/>
    </w:rPr>
  </w:style>
  <w:style w:type="paragraph" w:customStyle="1" w:styleId="FT3Text">
    <w:name w:val="FT3_Text"/>
    <w:basedOn w:val="Normal"/>
    <w:rsid w:val="00702D88"/>
    <w:pPr>
      <w:widowControl w:val="0"/>
      <w:suppressAutoHyphens/>
      <w:autoSpaceDE w:val="0"/>
      <w:autoSpaceDN w:val="0"/>
      <w:adjustRightInd w:val="0"/>
      <w:spacing w:before="340" w:after="280" w:line="220" w:lineRule="atLeast"/>
      <w:ind w:left="470"/>
      <w:textAlignment w:val="center"/>
    </w:pPr>
    <w:rPr>
      <w:rFonts w:ascii="News Gothic MT Std" w:eastAsia="Times New Roman" w:hAnsi="News Gothic MT Std" w:cs="News Gothic MT Std"/>
      <w:color w:val="0060A1"/>
      <w:position w:val="1"/>
      <w:sz w:val="16"/>
      <w:szCs w:val="16"/>
    </w:rPr>
  </w:style>
  <w:style w:type="paragraph" w:customStyle="1" w:styleId="BList1">
    <w:name w:val="BList1"/>
    <w:basedOn w:val="Normal"/>
    <w:rsid w:val="00702D88"/>
    <w:pPr>
      <w:widowControl w:val="0"/>
      <w:tabs>
        <w:tab w:val="left" w:pos="680"/>
      </w:tabs>
      <w:autoSpaceDE w:val="0"/>
      <w:autoSpaceDN w:val="0"/>
      <w:adjustRightInd w:val="0"/>
      <w:spacing w:before="100" w:after="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BList2">
    <w:name w:val="BList2"/>
    <w:basedOn w:val="Normal"/>
    <w:rsid w:val="00702D88"/>
    <w:pPr>
      <w:widowControl w:val="0"/>
      <w:tabs>
        <w:tab w:val="left" w:pos="680"/>
      </w:tabs>
      <w:autoSpaceDE w:val="0"/>
      <w:autoSpaceDN w:val="0"/>
      <w:adjustRightInd w:val="0"/>
      <w:spacing w:before="30" w:after="10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BList3">
    <w:name w:val="BList3"/>
    <w:basedOn w:val="Normal"/>
    <w:rsid w:val="00702D88"/>
    <w:pPr>
      <w:widowControl w:val="0"/>
      <w:tabs>
        <w:tab w:val="left" w:pos="680"/>
      </w:tabs>
      <w:autoSpaceDE w:val="0"/>
      <w:autoSpaceDN w:val="0"/>
      <w:adjustRightInd w:val="0"/>
      <w:spacing w:before="130" w:after="13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FT3aText">
    <w:name w:val="FT3a_Text"/>
    <w:basedOn w:val="Normal"/>
    <w:rsid w:val="00702D88"/>
    <w:pPr>
      <w:widowControl w:val="0"/>
      <w:autoSpaceDE w:val="0"/>
      <w:autoSpaceDN w:val="0"/>
      <w:adjustRightInd w:val="0"/>
      <w:spacing w:after="0" w:line="200" w:lineRule="atLeast"/>
      <w:textAlignment w:val="center"/>
    </w:pPr>
    <w:rPr>
      <w:rFonts w:ascii="News Gothic MT Std" w:eastAsia="Times New Roman" w:hAnsi="News Gothic MT Std" w:cs="News Gothic MT Std"/>
      <w:color w:val="0060A1"/>
      <w:sz w:val="16"/>
      <w:szCs w:val="16"/>
    </w:rPr>
  </w:style>
  <w:style w:type="character" w:customStyle="1" w:styleId="italic">
    <w:name w:val="italic"/>
    <w:rsid w:val="00702D88"/>
    <w:rPr>
      <w:i/>
      <w:lang w:val="en-GB"/>
    </w:rPr>
  </w:style>
  <w:style w:type="character" w:customStyle="1" w:styleId="bullets">
    <w:name w:val="bullets"/>
    <w:rsid w:val="00702D88"/>
    <w:rPr>
      <w:color w:val="0060A1"/>
      <w:sz w:val="19"/>
      <w:lang w:val="en-GB"/>
    </w:rPr>
  </w:style>
  <w:style w:type="paragraph" w:customStyle="1" w:styleId="FT6Head">
    <w:name w:val="FT6_Head"/>
    <w:basedOn w:val="Normal"/>
    <w:rsid w:val="00702D88"/>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rPr>
  </w:style>
  <w:style w:type="paragraph" w:customStyle="1" w:styleId="FT6Text1">
    <w:name w:val="FT6_Text1"/>
    <w:basedOn w:val="Normal"/>
    <w:rsid w:val="00702D88"/>
    <w:pPr>
      <w:widowControl w:val="0"/>
      <w:autoSpaceDE w:val="0"/>
      <w:autoSpaceDN w:val="0"/>
      <w:adjustRightInd w:val="0"/>
      <w:spacing w:after="0" w:line="260" w:lineRule="atLeast"/>
      <w:ind w:left="280" w:right="280"/>
      <w:jc w:val="both"/>
      <w:textAlignment w:val="center"/>
    </w:pPr>
    <w:rPr>
      <w:rFonts w:ascii="News Gothic MT Std" w:eastAsia="Times New Roman" w:hAnsi="News Gothic MT Std" w:cs="News Gothic MT Std"/>
      <w:color w:val="000000"/>
      <w:sz w:val="17"/>
      <w:szCs w:val="17"/>
    </w:rPr>
  </w:style>
  <w:style w:type="character" w:customStyle="1" w:styleId="RGLTi">
    <w:name w:val="RGLT_i"/>
    <w:rsid w:val="00702D88"/>
    <w:rPr>
      <w:i/>
      <w:color w:val="0060A1"/>
      <w:lang w:val="en-GB"/>
    </w:rPr>
  </w:style>
  <w:style w:type="character" w:customStyle="1" w:styleId="RGLT">
    <w:name w:val="RGLT"/>
    <w:rsid w:val="00702D88"/>
    <w:rPr>
      <w:color w:val="0060A1"/>
      <w:lang w:val="en-GB"/>
    </w:rPr>
  </w:style>
  <w:style w:type="paragraph" w:customStyle="1" w:styleId="FT6Text2">
    <w:name w:val="FT6_Text2"/>
    <w:basedOn w:val="Normal"/>
    <w:rsid w:val="00702D88"/>
    <w:pPr>
      <w:widowControl w:val="0"/>
      <w:pBdr>
        <w:bottom w:val="single" w:sz="4" w:space="7" w:color="0060A1"/>
      </w:pBdr>
      <w:autoSpaceDE w:val="0"/>
      <w:autoSpaceDN w:val="0"/>
      <w:adjustRightInd w:val="0"/>
      <w:spacing w:after="360" w:line="260" w:lineRule="atLeast"/>
      <w:ind w:left="280" w:right="280" w:firstLine="200"/>
      <w:jc w:val="both"/>
      <w:textAlignment w:val="center"/>
    </w:pPr>
    <w:rPr>
      <w:rFonts w:ascii="News Gothic MT Std" w:eastAsia="Times New Roman" w:hAnsi="News Gothic MT Std" w:cs="News Gothic MT Std"/>
      <w:color w:val="000000"/>
      <w:sz w:val="17"/>
      <w:szCs w:val="17"/>
    </w:rPr>
  </w:style>
  <w:style w:type="paragraph" w:customStyle="1" w:styleId="RefURL">
    <w:name w:val="RefURL"/>
    <w:basedOn w:val="Normal"/>
    <w:rsid w:val="00702D88"/>
    <w:pPr>
      <w:widowControl w:val="0"/>
      <w:suppressAutoHyphens/>
      <w:autoSpaceDE w:val="0"/>
      <w:autoSpaceDN w:val="0"/>
      <w:adjustRightInd w:val="0"/>
      <w:spacing w:after="0" w:line="240" w:lineRule="atLeast"/>
      <w:ind w:left="200" w:hanging="200"/>
      <w:textAlignment w:val="center"/>
    </w:pPr>
    <w:rPr>
      <w:rFonts w:ascii="News Gothic MT Std" w:eastAsia="Times New Roman" w:hAnsi="News Gothic MT Std" w:cs="News Gothic MT Std"/>
      <w:b/>
      <w:bCs/>
      <w:color w:val="000000"/>
      <w:sz w:val="17"/>
      <w:szCs w:val="17"/>
    </w:rPr>
  </w:style>
  <w:style w:type="paragraph" w:customStyle="1" w:styleId="Reference">
    <w:name w:val="Reference"/>
    <w:basedOn w:val="Normal"/>
    <w:rsid w:val="00702D88"/>
    <w:pPr>
      <w:widowControl w:val="0"/>
      <w:autoSpaceDE w:val="0"/>
      <w:autoSpaceDN w:val="0"/>
      <w:adjustRightInd w:val="0"/>
      <w:spacing w:after="65" w:line="240" w:lineRule="atLeast"/>
      <w:ind w:left="200"/>
      <w:textAlignment w:val="center"/>
    </w:pPr>
    <w:rPr>
      <w:rFonts w:ascii="News Gothic MT Std" w:eastAsia="Times New Roman" w:hAnsi="News Gothic MT Std" w:cs="News Gothic MT Std"/>
      <w:color w:val="000000"/>
      <w:sz w:val="16"/>
      <w:szCs w:val="16"/>
    </w:rPr>
  </w:style>
  <w:style w:type="character" w:customStyle="1" w:styleId="condbold">
    <w:name w:val="cond_bold"/>
    <w:rsid w:val="00702D88"/>
    <w:rPr>
      <w:b/>
    </w:rPr>
  </w:style>
  <w:style w:type="character" w:styleId="Hyperlink">
    <w:name w:val="Hyperlink"/>
    <w:basedOn w:val="DefaultParagraphFont"/>
    <w:uiPriority w:val="99"/>
    <w:unhideWhenUsed/>
    <w:rsid w:val="00327DDD"/>
    <w:rPr>
      <w:color w:val="0000FF" w:themeColor="hyperlink"/>
      <w:u w:val="single"/>
    </w:rPr>
  </w:style>
  <w:style w:type="paragraph" w:customStyle="1" w:styleId="Casehd">
    <w:name w:val="Case hd"/>
    <w:basedOn w:val="Normal"/>
    <w:rsid w:val="00BC4A24"/>
    <w:pPr>
      <w:keepNext/>
      <w:pBdr>
        <w:top w:val="single" w:sz="4" w:space="1" w:color="auto"/>
      </w:pBdr>
      <w:spacing w:before="240" w:line="240" w:lineRule="auto"/>
      <w:ind w:left="360"/>
    </w:pPr>
    <w:rPr>
      <w:rFonts w:ascii="Times New Roman" w:eastAsia="Times New Roman" w:hAnsi="Times New Roman" w:cs="Times New Roman"/>
      <w:b/>
      <w:kern w:val="28"/>
      <w:sz w:val="32"/>
      <w:szCs w:val="32"/>
      <w:lang w:val="en-US"/>
    </w:rPr>
  </w:style>
  <w:style w:type="paragraph" w:customStyle="1" w:styleId="Casep1">
    <w:name w:val="Case p1"/>
    <w:basedOn w:val="Normal"/>
    <w:rsid w:val="00BC4A24"/>
    <w:pPr>
      <w:tabs>
        <w:tab w:val="center" w:pos="4819"/>
        <w:tab w:val="right" w:pos="9638"/>
      </w:tabs>
      <w:spacing w:before="40" w:after="40" w:line="240" w:lineRule="auto"/>
      <w:ind w:left="360"/>
      <w:jc w:val="both"/>
    </w:pPr>
    <w:rPr>
      <w:rFonts w:ascii="Times New Roman" w:eastAsia="Times New Roman" w:hAnsi="Times New Roman" w:cs="Times New Roman"/>
      <w:sz w:val="24"/>
      <w:szCs w:val="20"/>
      <w:lang w:val="en-US"/>
    </w:rPr>
  </w:style>
  <w:style w:type="paragraph" w:customStyle="1" w:styleId="1hd">
    <w:name w:val="1 hd"/>
    <w:basedOn w:val="Heading1"/>
    <w:next w:val="Normal"/>
    <w:rsid w:val="00BC4A24"/>
    <w:pPr>
      <w:keepLines w:val="0"/>
      <w:spacing w:before="440" w:after="200" w:line="240" w:lineRule="auto"/>
      <w:outlineLvl w:val="9"/>
    </w:pPr>
    <w:rPr>
      <w:rFonts w:ascii="Times New Roman" w:eastAsia="Times New Roman" w:hAnsi="Times New Roman" w:cs="Times New Roman"/>
      <w:bCs w:val="0"/>
      <w:color w:val="auto"/>
      <w:kern w:val="28"/>
      <w:sz w:val="32"/>
      <w:szCs w:val="32"/>
      <w:lang w:val="fr-FR"/>
    </w:rPr>
  </w:style>
  <w:style w:type="character" w:customStyle="1" w:styleId="Heading1Char">
    <w:name w:val="Heading 1 Char"/>
    <w:basedOn w:val="DefaultParagraphFont"/>
    <w:link w:val="Heading1"/>
    <w:uiPriority w:val="9"/>
    <w:rsid w:val="00BC4A2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5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16"/>
    <w:rPr>
      <w:rFonts w:ascii="Segoe UI" w:hAnsi="Segoe UI" w:cs="Segoe UI"/>
      <w:sz w:val="18"/>
      <w:szCs w:val="18"/>
    </w:rPr>
  </w:style>
  <w:style w:type="paragraph" w:styleId="Header">
    <w:name w:val="header"/>
    <w:basedOn w:val="Normal"/>
    <w:link w:val="HeaderChar"/>
    <w:uiPriority w:val="99"/>
    <w:unhideWhenUsed/>
    <w:rsid w:val="0010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DB5"/>
  </w:style>
  <w:style w:type="paragraph" w:styleId="Footer">
    <w:name w:val="footer"/>
    <w:basedOn w:val="Normal"/>
    <w:link w:val="FooterChar"/>
    <w:unhideWhenUsed/>
    <w:rsid w:val="00105DB5"/>
    <w:pPr>
      <w:tabs>
        <w:tab w:val="center" w:pos="4513"/>
        <w:tab w:val="right" w:pos="9026"/>
      </w:tabs>
      <w:spacing w:after="0" w:line="240" w:lineRule="auto"/>
    </w:pPr>
  </w:style>
  <w:style w:type="character" w:customStyle="1" w:styleId="FooterChar">
    <w:name w:val="Footer Char"/>
    <w:basedOn w:val="DefaultParagraphFont"/>
    <w:link w:val="Footer"/>
    <w:rsid w:val="0010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ae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cnae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cnaes.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judiciary.uk/publications/youth-court-bench-book-and-pronouncement-card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MarkAnew</dc:creator>
  <cp:lastModifiedBy>SHEFFIELD, Emma</cp:lastModifiedBy>
  <cp:revision>6</cp:revision>
  <dcterms:created xsi:type="dcterms:W3CDTF">2020-06-03T22:34:00Z</dcterms:created>
  <dcterms:modified xsi:type="dcterms:W3CDTF">2020-07-10T10:30:00Z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2020-07-10T10:30:05Z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c0ca4be4-159c-46d9-a618-0000e219aa58</vt:lpwstr>
  </property>
  <property fmtid="{D5CDD505-2E9C-101B-9397-08002B2CF9AE}" pid="8" name="MSIP_Label_89f61502-7731-4690-a118-333634878cc9_ContentBits">
    <vt:lpwstr>0</vt:lpwstr>
  </property>
</Properties>
</file>