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C05" w:rsidRPr="00D159A1" w:rsidRDefault="00072C05" w:rsidP="00D159A1">
      <w:pPr>
        <w:pStyle w:val="sum-bl"/>
        <w:spacing w:line="240" w:lineRule="auto"/>
        <w:jc w:val="center"/>
        <w:rPr>
          <w:rFonts w:asciiTheme="minorHAnsi" w:hAnsiTheme="minorHAnsi" w:cs="Arial"/>
          <w:b/>
          <w:sz w:val="28"/>
          <w:szCs w:val="21"/>
        </w:rPr>
      </w:pPr>
      <w:r w:rsidRPr="00D159A1">
        <w:rPr>
          <w:rFonts w:asciiTheme="minorHAnsi" w:hAnsiTheme="minorHAnsi" w:cs="Arial"/>
          <w:b/>
          <w:sz w:val="28"/>
          <w:szCs w:val="21"/>
        </w:rPr>
        <w:t>SUMMARY QUESTIONS</w:t>
      </w:r>
    </w:p>
    <w:p w:rsidR="00072C05" w:rsidRPr="00D159A1" w:rsidRDefault="00072C05" w:rsidP="00896E8C">
      <w:pPr>
        <w:pStyle w:val="sum-bl"/>
        <w:spacing w:line="240" w:lineRule="auto"/>
        <w:jc w:val="both"/>
        <w:rPr>
          <w:rFonts w:asciiTheme="minorHAnsi" w:hAnsiTheme="minorHAnsi" w:cs="Arial"/>
          <w:sz w:val="21"/>
          <w:szCs w:val="21"/>
        </w:rPr>
      </w:pPr>
    </w:p>
    <w:p w:rsidR="00072C05" w:rsidRPr="00D159A1" w:rsidRDefault="00072C05" w:rsidP="00896E8C">
      <w:pPr>
        <w:pStyle w:val="sum-bl"/>
        <w:spacing w:line="240" w:lineRule="auto"/>
        <w:jc w:val="both"/>
        <w:rPr>
          <w:rFonts w:asciiTheme="minorHAnsi" w:hAnsiTheme="minorHAnsi" w:cs="Arial"/>
          <w:b/>
          <w:color w:val="4E5D3C" w:themeColor="accent2" w:themeShade="80"/>
          <w:sz w:val="26"/>
          <w:szCs w:val="26"/>
        </w:rPr>
      </w:pPr>
      <w:r w:rsidRPr="00D159A1">
        <w:rPr>
          <w:rFonts w:asciiTheme="minorHAnsi" w:hAnsiTheme="minorHAnsi" w:cs="Arial"/>
          <w:b/>
          <w:color w:val="4E5D3C" w:themeColor="accent2" w:themeShade="80"/>
          <w:sz w:val="26"/>
          <w:szCs w:val="26"/>
        </w:rPr>
        <w:t>ESSAY QUESTIONS</w:t>
      </w:r>
      <w:bookmarkStart w:id="0" w:name="_GoBack"/>
      <w:bookmarkEnd w:id="0"/>
    </w:p>
    <w:p w:rsidR="00896E8C" w:rsidRPr="00D159A1" w:rsidRDefault="00896E8C" w:rsidP="00896E8C">
      <w:pPr>
        <w:pStyle w:val="sum-bl"/>
        <w:spacing w:line="240" w:lineRule="auto"/>
        <w:jc w:val="both"/>
        <w:rPr>
          <w:rFonts w:asciiTheme="minorHAnsi" w:hAnsiTheme="minorHAnsi" w:cs="Arial"/>
          <w:sz w:val="21"/>
          <w:szCs w:val="21"/>
        </w:rPr>
      </w:pPr>
    </w:p>
    <w:p w:rsidR="00072C05" w:rsidRPr="00D159A1" w:rsidRDefault="00072C05" w:rsidP="00896E8C">
      <w:pPr>
        <w:pStyle w:val="sum-nl"/>
        <w:spacing w:line="240" w:lineRule="auto"/>
        <w:jc w:val="both"/>
        <w:rPr>
          <w:rFonts w:asciiTheme="minorHAnsi" w:hAnsiTheme="minorHAnsi" w:cs="Arial"/>
          <w:sz w:val="21"/>
          <w:szCs w:val="21"/>
        </w:rPr>
      </w:pPr>
      <w:r w:rsidRPr="00D159A1">
        <w:rPr>
          <w:rStyle w:val="ColorBold"/>
          <w:rFonts w:asciiTheme="minorHAnsi" w:hAnsiTheme="minorHAnsi" w:cs="Arial"/>
          <w:sz w:val="21"/>
          <w:szCs w:val="21"/>
        </w:rPr>
        <w:t>1.</w:t>
      </w:r>
      <w:r w:rsidRPr="00D159A1">
        <w:rPr>
          <w:rStyle w:val="ColorBold"/>
          <w:rFonts w:asciiTheme="minorHAnsi" w:hAnsiTheme="minorHAnsi" w:cs="Arial"/>
          <w:sz w:val="21"/>
          <w:szCs w:val="21"/>
        </w:rPr>
        <w:tab/>
      </w:r>
      <w:r w:rsidRPr="00D159A1">
        <w:rPr>
          <w:rFonts w:asciiTheme="minorHAnsi" w:hAnsiTheme="minorHAnsi" w:cs="Arial"/>
          <w:sz w:val="21"/>
          <w:szCs w:val="21"/>
        </w:rPr>
        <w:t>To what extent is a professional advisor liable in civil law for their misstatement and how does the law seek to regulate their activities and liabilities?</w:t>
      </w:r>
    </w:p>
    <w:p w:rsidR="00072C05" w:rsidRPr="00D159A1" w:rsidRDefault="00072C05" w:rsidP="00896E8C">
      <w:pPr>
        <w:pStyle w:val="sum-nl"/>
        <w:spacing w:line="240" w:lineRule="auto"/>
        <w:jc w:val="both"/>
        <w:rPr>
          <w:rFonts w:asciiTheme="minorHAnsi" w:hAnsiTheme="minorHAnsi" w:cs="Arial"/>
          <w:sz w:val="21"/>
          <w:szCs w:val="21"/>
        </w:rPr>
      </w:pPr>
    </w:p>
    <w:p w:rsidR="00072C05" w:rsidRPr="00D159A1" w:rsidRDefault="00072C05" w:rsidP="00D159A1">
      <w:pPr>
        <w:shd w:val="clear" w:color="auto" w:fill="EBEFE6" w:themeFill="accent2" w:themeFillTint="33"/>
        <w:jc w:val="both"/>
        <w:rPr>
          <w:rFonts w:cs="Arial"/>
          <w:b/>
          <w:sz w:val="21"/>
          <w:szCs w:val="21"/>
        </w:rPr>
      </w:pPr>
      <w:r w:rsidRPr="00D159A1">
        <w:rPr>
          <w:rFonts w:cs="Arial"/>
          <w:b/>
          <w:sz w:val="21"/>
          <w:szCs w:val="21"/>
        </w:rPr>
        <w:t>Indicative content outline answer:</w:t>
      </w:r>
    </w:p>
    <w:p w:rsidR="00072C05" w:rsidRPr="00D159A1" w:rsidRDefault="00072C05" w:rsidP="00D159A1">
      <w:pPr>
        <w:numPr>
          <w:ilvl w:val="0"/>
          <w:numId w:val="2"/>
        </w:numPr>
        <w:shd w:val="clear" w:color="auto" w:fill="EBEFE6" w:themeFill="accent2" w:themeFillTint="33"/>
        <w:ind w:left="360"/>
        <w:jc w:val="both"/>
        <w:rPr>
          <w:rFonts w:cs="Arial"/>
          <w:sz w:val="21"/>
          <w:szCs w:val="21"/>
        </w:rPr>
      </w:pPr>
      <w:r w:rsidRPr="00D159A1">
        <w:rPr>
          <w:rFonts w:cs="Arial"/>
          <w:sz w:val="21"/>
          <w:szCs w:val="21"/>
        </w:rPr>
        <w:t>The general rule of law was that claims for pure economic loss could not be claimed – for many reasons including the floodgates argument.</w:t>
      </w:r>
    </w:p>
    <w:p w:rsidR="00072C05" w:rsidRPr="00D159A1" w:rsidRDefault="00072C05" w:rsidP="00D159A1">
      <w:pPr>
        <w:numPr>
          <w:ilvl w:val="0"/>
          <w:numId w:val="2"/>
        </w:numPr>
        <w:shd w:val="clear" w:color="auto" w:fill="EBEFE6" w:themeFill="accent2" w:themeFillTint="33"/>
        <w:ind w:left="360"/>
        <w:jc w:val="both"/>
        <w:rPr>
          <w:rFonts w:cs="Arial"/>
          <w:sz w:val="21"/>
          <w:szCs w:val="21"/>
        </w:rPr>
      </w:pPr>
      <w:r w:rsidRPr="00D159A1">
        <w:rPr>
          <w:rFonts w:cs="Arial"/>
          <w:sz w:val="21"/>
          <w:szCs w:val="21"/>
        </w:rPr>
        <w:t xml:space="preserve">In some cases businesses provide expert advice that clients and others rely on when investing money, making decisions and so on, and when these have been negligently made, the recipient may suffer losses. </w:t>
      </w:r>
    </w:p>
    <w:p w:rsidR="00072C05" w:rsidRPr="00D159A1" w:rsidRDefault="00072C05" w:rsidP="00D159A1">
      <w:pPr>
        <w:numPr>
          <w:ilvl w:val="0"/>
          <w:numId w:val="2"/>
        </w:numPr>
        <w:shd w:val="clear" w:color="auto" w:fill="EBEFE6" w:themeFill="accent2" w:themeFillTint="33"/>
        <w:ind w:left="360"/>
        <w:jc w:val="both"/>
        <w:rPr>
          <w:rFonts w:cs="Arial"/>
          <w:sz w:val="21"/>
          <w:szCs w:val="21"/>
        </w:rPr>
      </w:pPr>
      <w:r w:rsidRPr="00D159A1">
        <w:rPr>
          <w:rFonts w:cs="Arial"/>
          <w:i/>
          <w:sz w:val="21"/>
          <w:szCs w:val="21"/>
        </w:rPr>
        <w:t>Hedley Byrne &amp; Co. v Heller</w:t>
      </w:r>
      <w:r w:rsidRPr="00D159A1">
        <w:rPr>
          <w:rFonts w:cs="Arial"/>
          <w:sz w:val="21"/>
          <w:szCs w:val="21"/>
        </w:rPr>
        <w:t xml:space="preserve"> - The House of Lords held that this case involved a ‘special relationship of proximity’ between the parties and this would enable a claim for the losses due to the negligent misstatement. </w:t>
      </w:r>
    </w:p>
    <w:p w:rsidR="00072C05" w:rsidRPr="00D159A1" w:rsidRDefault="00072C05" w:rsidP="00D159A1">
      <w:pPr>
        <w:numPr>
          <w:ilvl w:val="0"/>
          <w:numId w:val="2"/>
        </w:numPr>
        <w:shd w:val="clear" w:color="auto" w:fill="EBEFE6" w:themeFill="accent2" w:themeFillTint="33"/>
        <w:ind w:left="360"/>
        <w:jc w:val="both"/>
        <w:rPr>
          <w:rFonts w:cs="Arial"/>
          <w:sz w:val="21"/>
          <w:szCs w:val="21"/>
        </w:rPr>
      </w:pPr>
      <w:r w:rsidRPr="00D159A1">
        <w:rPr>
          <w:rFonts w:cs="Arial"/>
          <w:sz w:val="21"/>
          <w:szCs w:val="21"/>
        </w:rPr>
        <w:t xml:space="preserve">In </w:t>
      </w:r>
      <w:r w:rsidRPr="00D159A1">
        <w:rPr>
          <w:rFonts w:cs="Arial"/>
          <w:i/>
          <w:sz w:val="21"/>
          <w:szCs w:val="21"/>
        </w:rPr>
        <w:t>Caparo v Dickman</w:t>
      </w:r>
      <w:r w:rsidRPr="00D159A1">
        <w:rPr>
          <w:rFonts w:cs="Arial"/>
          <w:sz w:val="21"/>
          <w:szCs w:val="21"/>
        </w:rPr>
        <w:t xml:space="preserve"> the Lords defined the factors that would establish a ‘special relationship’ and where liability for a negligent misstatement would be imposed: </w:t>
      </w:r>
    </w:p>
    <w:p w:rsidR="00072C05" w:rsidRPr="00D159A1" w:rsidRDefault="00072C05" w:rsidP="00D159A1">
      <w:pPr>
        <w:pStyle w:val="NormalWeb"/>
        <w:shd w:val="clear" w:color="auto" w:fill="EBEFE6" w:themeFill="accent2" w:themeFillTint="33"/>
        <w:spacing w:before="0" w:beforeAutospacing="0" w:after="0" w:afterAutospacing="0"/>
        <w:jc w:val="both"/>
        <w:rPr>
          <w:rFonts w:asciiTheme="minorHAnsi" w:hAnsiTheme="minorHAnsi" w:cs="Arial"/>
          <w:sz w:val="21"/>
          <w:szCs w:val="21"/>
        </w:rPr>
      </w:pPr>
    </w:p>
    <w:p w:rsidR="00072C05" w:rsidRPr="00D159A1" w:rsidRDefault="00072C05" w:rsidP="00D159A1">
      <w:pPr>
        <w:numPr>
          <w:ilvl w:val="0"/>
          <w:numId w:val="3"/>
        </w:numPr>
        <w:shd w:val="clear" w:color="auto" w:fill="EBEFE6" w:themeFill="accent2" w:themeFillTint="33"/>
        <w:ind w:left="1080"/>
        <w:contextualSpacing/>
        <w:jc w:val="both"/>
        <w:rPr>
          <w:rFonts w:cs="Arial"/>
          <w:sz w:val="21"/>
          <w:szCs w:val="21"/>
        </w:rPr>
      </w:pPr>
      <w:r w:rsidRPr="00D159A1">
        <w:rPr>
          <w:rFonts w:cs="Arial"/>
          <w:sz w:val="21"/>
          <w:szCs w:val="21"/>
        </w:rPr>
        <w:t xml:space="preserve">The advice is required for a purpose which is made known, either actually or inferentially, to the adviser at the time when the advice is given; </w:t>
      </w:r>
    </w:p>
    <w:p w:rsidR="00072C05" w:rsidRPr="00D159A1" w:rsidRDefault="00072C05" w:rsidP="00D159A1">
      <w:pPr>
        <w:pStyle w:val="BodyText"/>
        <w:numPr>
          <w:ilvl w:val="0"/>
          <w:numId w:val="3"/>
        </w:numPr>
        <w:shd w:val="clear" w:color="auto" w:fill="EBEFE6" w:themeFill="accent2" w:themeFillTint="33"/>
        <w:spacing w:after="0"/>
        <w:ind w:left="1080"/>
        <w:jc w:val="both"/>
        <w:rPr>
          <w:rFonts w:asciiTheme="minorHAnsi" w:hAnsiTheme="minorHAnsi" w:cs="Arial"/>
          <w:sz w:val="21"/>
          <w:szCs w:val="21"/>
        </w:rPr>
      </w:pPr>
      <w:r w:rsidRPr="00D159A1">
        <w:rPr>
          <w:rFonts w:asciiTheme="minorHAnsi" w:hAnsiTheme="minorHAnsi" w:cs="Arial"/>
          <w:sz w:val="21"/>
          <w:szCs w:val="21"/>
        </w:rPr>
        <w:t xml:space="preserve">The adviser knows that his advice will be communicated to the advisee, either specifically or as a member of an ascertainable class, in order that it should be used by the advisee for that purpose; </w:t>
      </w:r>
    </w:p>
    <w:p w:rsidR="00072C05" w:rsidRPr="00D159A1" w:rsidRDefault="00072C05" w:rsidP="00D159A1">
      <w:pPr>
        <w:numPr>
          <w:ilvl w:val="0"/>
          <w:numId w:val="3"/>
        </w:numPr>
        <w:shd w:val="clear" w:color="auto" w:fill="EBEFE6" w:themeFill="accent2" w:themeFillTint="33"/>
        <w:ind w:left="1080"/>
        <w:contextualSpacing/>
        <w:jc w:val="both"/>
        <w:rPr>
          <w:rFonts w:cs="Arial"/>
          <w:sz w:val="21"/>
          <w:szCs w:val="21"/>
        </w:rPr>
      </w:pPr>
      <w:r w:rsidRPr="00D159A1">
        <w:rPr>
          <w:rFonts w:cs="Arial"/>
          <w:sz w:val="21"/>
          <w:szCs w:val="21"/>
        </w:rPr>
        <w:t xml:space="preserve">It is known that the advice so communicated is likely to be acted upon by the advisee for that purpose without independent inquiry, and </w:t>
      </w:r>
    </w:p>
    <w:p w:rsidR="00D159A1" w:rsidRDefault="00072C05" w:rsidP="00D159A1">
      <w:pPr>
        <w:numPr>
          <w:ilvl w:val="0"/>
          <w:numId w:val="3"/>
        </w:numPr>
        <w:shd w:val="clear" w:color="auto" w:fill="EBEFE6" w:themeFill="accent2" w:themeFillTint="33"/>
        <w:ind w:left="1080"/>
        <w:contextualSpacing/>
        <w:jc w:val="both"/>
        <w:rPr>
          <w:rFonts w:cs="Arial"/>
          <w:sz w:val="21"/>
          <w:szCs w:val="21"/>
        </w:rPr>
      </w:pPr>
      <w:r w:rsidRPr="00D159A1">
        <w:rPr>
          <w:rFonts w:cs="Arial"/>
          <w:sz w:val="21"/>
          <w:szCs w:val="21"/>
        </w:rPr>
        <w:t>It is so acted upon by the advisee to his detriment.</w:t>
      </w:r>
    </w:p>
    <w:p w:rsidR="00D159A1" w:rsidRDefault="00D159A1" w:rsidP="00D159A1">
      <w:pPr>
        <w:shd w:val="clear" w:color="auto" w:fill="EBEFE6" w:themeFill="accent2" w:themeFillTint="33"/>
        <w:contextualSpacing/>
        <w:jc w:val="both"/>
        <w:rPr>
          <w:rFonts w:cs="Arial"/>
          <w:sz w:val="21"/>
          <w:szCs w:val="21"/>
        </w:rPr>
      </w:pPr>
    </w:p>
    <w:p w:rsidR="00072C05" w:rsidRPr="00D159A1" w:rsidRDefault="00072C05" w:rsidP="00D159A1">
      <w:pPr>
        <w:pStyle w:val="ListParagraph"/>
        <w:numPr>
          <w:ilvl w:val="0"/>
          <w:numId w:val="11"/>
        </w:numPr>
        <w:shd w:val="clear" w:color="auto" w:fill="EBEFE6" w:themeFill="accent2" w:themeFillTint="33"/>
        <w:jc w:val="both"/>
        <w:rPr>
          <w:rFonts w:cs="Arial"/>
          <w:sz w:val="21"/>
          <w:szCs w:val="21"/>
        </w:rPr>
      </w:pPr>
      <w:r w:rsidRPr="00D159A1">
        <w:rPr>
          <w:rFonts w:eastAsia="Times" w:cs="Arial"/>
          <w:sz w:val="21"/>
          <w:szCs w:val="21"/>
        </w:rPr>
        <w:t xml:space="preserve">The case of </w:t>
      </w:r>
      <w:r w:rsidRPr="00D159A1">
        <w:rPr>
          <w:rFonts w:eastAsia="Times" w:cs="Arial"/>
          <w:i/>
          <w:sz w:val="21"/>
          <w:szCs w:val="21"/>
        </w:rPr>
        <w:t>James McNaughten v Hicks</w:t>
      </w:r>
      <w:r w:rsidRPr="00D159A1">
        <w:rPr>
          <w:rFonts w:eastAsia="Times" w:cs="Arial"/>
          <w:sz w:val="21"/>
          <w:szCs w:val="21"/>
        </w:rPr>
        <w:t xml:space="preserve"> demonstrated the necessity of the defendant being aware of the claimant’s use of the information that was being provided. The following points should be considered:</w:t>
      </w:r>
    </w:p>
    <w:p w:rsidR="00072C05" w:rsidRPr="00D159A1" w:rsidRDefault="00072C05" w:rsidP="00D159A1">
      <w:pPr>
        <w:pStyle w:val="BodyText"/>
        <w:shd w:val="clear" w:color="auto" w:fill="EBEFE6" w:themeFill="accent2" w:themeFillTint="33"/>
        <w:spacing w:after="0"/>
        <w:jc w:val="both"/>
        <w:rPr>
          <w:rFonts w:asciiTheme="minorHAnsi" w:eastAsia="Times" w:hAnsiTheme="minorHAnsi" w:cs="Arial"/>
          <w:sz w:val="21"/>
          <w:szCs w:val="21"/>
        </w:rPr>
      </w:pPr>
    </w:p>
    <w:p w:rsidR="00072C05" w:rsidRPr="00D159A1" w:rsidRDefault="00072C05" w:rsidP="00D159A1">
      <w:pPr>
        <w:numPr>
          <w:ilvl w:val="0"/>
          <w:numId w:val="4"/>
        </w:numPr>
        <w:shd w:val="clear" w:color="auto" w:fill="EBEFE6" w:themeFill="accent2" w:themeFillTint="33"/>
        <w:tabs>
          <w:tab w:val="clear" w:pos="1440"/>
          <w:tab w:val="num" w:pos="1080"/>
        </w:tabs>
        <w:ind w:left="1080"/>
        <w:jc w:val="both"/>
        <w:rPr>
          <w:rFonts w:eastAsia="Times New Roman" w:cs="Arial"/>
          <w:sz w:val="21"/>
          <w:szCs w:val="21"/>
        </w:rPr>
      </w:pPr>
      <w:r w:rsidRPr="00D159A1">
        <w:rPr>
          <w:rFonts w:cs="Arial"/>
          <w:sz w:val="21"/>
          <w:szCs w:val="21"/>
        </w:rPr>
        <w:t>The purpose for which the statement is made.</w:t>
      </w:r>
    </w:p>
    <w:p w:rsidR="00072C05" w:rsidRPr="00D159A1" w:rsidRDefault="00072C05" w:rsidP="00D159A1">
      <w:pPr>
        <w:numPr>
          <w:ilvl w:val="0"/>
          <w:numId w:val="4"/>
        </w:numPr>
        <w:shd w:val="clear" w:color="auto" w:fill="EBEFE6" w:themeFill="accent2" w:themeFillTint="33"/>
        <w:ind w:left="1080"/>
        <w:jc w:val="both"/>
        <w:rPr>
          <w:rFonts w:cs="Arial"/>
          <w:sz w:val="21"/>
          <w:szCs w:val="21"/>
        </w:rPr>
      </w:pPr>
      <w:r w:rsidRPr="00D159A1">
        <w:rPr>
          <w:rFonts w:cs="Arial"/>
          <w:sz w:val="21"/>
          <w:szCs w:val="21"/>
        </w:rPr>
        <w:t>The purpose for which the statement was communicated.</w:t>
      </w:r>
    </w:p>
    <w:p w:rsidR="00072C05" w:rsidRPr="00D159A1" w:rsidRDefault="00072C05" w:rsidP="00D159A1">
      <w:pPr>
        <w:numPr>
          <w:ilvl w:val="0"/>
          <w:numId w:val="4"/>
        </w:numPr>
        <w:shd w:val="clear" w:color="auto" w:fill="EBEFE6" w:themeFill="accent2" w:themeFillTint="33"/>
        <w:ind w:left="1080"/>
        <w:jc w:val="both"/>
        <w:rPr>
          <w:rFonts w:cs="Arial"/>
          <w:sz w:val="21"/>
          <w:szCs w:val="21"/>
        </w:rPr>
      </w:pPr>
      <w:r w:rsidRPr="00D159A1">
        <w:rPr>
          <w:rFonts w:cs="Arial"/>
          <w:sz w:val="21"/>
          <w:szCs w:val="21"/>
        </w:rPr>
        <w:t>The relationship between the advisor, advisee, and any relevant third party.</w:t>
      </w:r>
    </w:p>
    <w:p w:rsidR="00072C05" w:rsidRPr="00D159A1" w:rsidRDefault="00072C05" w:rsidP="00D159A1">
      <w:pPr>
        <w:numPr>
          <w:ilvl w:val="0"/>
          <w:numId w:val="4"/>
        </w:numPr>
        <w:shd w:val="clear" w:color="auto" w:fill="EBEFE6" w:themeFill="accent2" w:themeFillTint="33"/>
        <w:ind w:left="1080"/>
        <w:jc w:val="both"/>
        <w:rPr>
          <w:rFonts w:cs="Arial"/>
          <w:sz w:val="21"/>
          <w:szCs w:val="21"/>
        </w:rPr>
      </w:pPr>
      <w:r w:rsidRPr="00D159A1">
        <w:rPr>
          <w:rFonts w:cs="Arial"/>
          <w:sz w:val="21"/>
          <w:szCs w:val="21"/>
        </w:rPr>
        <w:t>The size of any class to which the advisee belongs.</w:t>
      </w:r>
    </w:p>
    <w:p w:rsidR="00072C05" w:rsidRPr="00D159A1" w:rsidRDefault="00072C05" w:rsidP="00D159A1">
      <w:pPr>
        <w:numPr>
          <w:ilvl w:val="0"/>
          <w:numId w:val="4"/>
        </w:numPr>
        <w:shd w:val="clear" w:color="auto" w:fill="EBEFE6" w:themeFill="accent2" w:themeFillTint="33"/>
        <w:ind w:left="1080"/>
        <w:jc w:val="both"/>
        <w:rPr>
          <w:rFonts w:cs="Arial"/>
          <w:sz w:val="21"/>
          <w:szCs w:val="21"/>
        </w:rPr>
      </w:pPr>
      <w:r w:rsidRPr="00D159A1">
        <w:rPr>
          <w:rFonts w:cs="Arial"/>
          <w:sz w:val="21"/>
          <w:szCs w:val="21"/>
        </w:rPr>
        <w:t>The state of knowledge of the adviser.</w:t>
      </w:r>
    </w:p>
    <w:p w:rsidR="00D159A1" w:rsidRDefault="00072C05" w:rsidP="00D159A1">
      <w:pPr>
        <w:numPr>
          <w:ilvl w:val="0"/>
          <w:numId w:val="4"/>
        </w:numPr>
        <w:shd w:val="clear" w:color="auto" w:fill="EBEFE6" w:themeFill="accent2" w:themeFillTint="33"/>
        <w:ind w:left="1080"/>
        <w:jc w:val="both"/>
        <w:rPr>
          <w:rFonts w:cs="Arial"/>
          <w:sz w:val="21"/>
          <w:szCs w:val="21"/>
        </w:rPr>
      </w:pPr>
      <w:r w:rsidRPr="00D159A1">
        <w:rPr>
          <w:rFonts w:cs="Arial"/>
          <w:sz w:val="21"/>
          <w:szCs w:val="21"/>
        </w:rPr>
        <w:t>Reliance by the advisee.</w:t>
      </w:r>
    </w:p>
    <w:p w:rsidR="00D159A1" w:rsidRDefault="00D159A1" w:rsidP="00D159A1">
      <w:pPr>
        <w:shd w:val="clear" w:color="auto" w:fill="EBEFE6" w:themeFill="accent2" w:themeFillTint="33"/>
        <w:jc w:val="both"/>
        <w:rPr>
          <w:rFonts w:cs="Arial"/>
          <w:sz w:val="21"/>
          <w:szCs w:val="21"/>
        </w:rPr>
      </w:pPr>
    </w:p>
    <w:p w:rsidR="00072C05" w:rsidRPr="00D159A1" w:rsidRDefault="00072C05" w:rsidP="00D159A1">
      <w:pPr>
        <w:pStyle w:val="ListParagraph"/>
        <w:numPr>
          <w:ilvl w:val="0"/>
          <w:numId w:val="11"/>
        </w:numPr>
        <w:shd w:val="clear" w:color="auto" w:fill="EBEFE6" w:themeFill="accent2" w:themeFillTint="33"/>
        <w:jc w:val="both"/>
        <w:rPr>
          <w:rFonts w:cs="Arial"/>
          <w:sz w:val="21"/>
          <w:szCs w:val="21"/>
        </w:rPr>
      </w:pPr>
      <w:r w:rsidRPr="00D159A1">
        <w:rPr>
          <w:rFonts w:eastAsia="Times" w:cs="Arial"/>
          <w:sz w:val="21"/>
          <w:szCs w:val="21"/>
        </w:rPr>
        <w:t xml:space="preserve">In </w:t>
      </w:r>
      <w:r w:rsidRPr="00D159A1">
        <w:rPr>
          <w:rFonts w:eastAsia="Times" w:cs="Arial"/>
          <w:i/>
          <w:sz w:val="21"/>
          <w:szCs w:val="21"/>
        </w:rPr>
        <w:t>Yorkshire Enterprise Ltd v Robson Rhodes</w:t>
      </w:r>
      <w:r w:rsidRPr="00D159A1">
        <w:rPr>
          <w:rFonts w:eastAsia="Times" w:cs="Arial"/>
          <w:sz w:val="21"/>
          <w:szCs w:val="21"/>
        </w:rPr>
        <w:t xml:space="preserve"> it was held that liability would be imposed as the defendants were aware of why the claimants wanted the information, and what they had intended to do with this information. Therefore when considering whether liability will be imposed in cases of negligent misstatement, the following points should be considered:</w:t>
      </w:r>
    </w:p>
    <w:p w:rsidR="00072C05" w:rsidRPr="00D159A1" w:rsidRDefault="00072C05" w:rsidP="00D159A1">
      <w:pPr>
        <w:pStyle w:val="BodyText"/>
        <w:shd w:val="clear" w:color="auto" w:fill="EBEFE6" w:themeFill="accent2" w:themeFillTint="33"/>
        <w:spacing w:after="0"/>
        <w:jc w:val="both"/>
        <w:rPr>
          <w:rFonts w:asciiTheme="minorHAnsi" w:eastAsia="Times" w:hAnsiTheme="minorHAnsi" w:cs="Arial"/>
          <w:sz w:val="21"/>
          <w:szCs w:val="21"/>
        </w:rPr>
      </w:pPr>
    </w:p>
    <w:p w:rsidR="00072C05" w:rsidRPr="00D159A1" w:rsidRDefault="00072C05" w:rsidP="00D159A1">
      <w:pPr>
        <w:numPr>
          <w:ilvl w:val="0"/>
          <w:numId w:val="5"/>
        </w:numPr>
        <w:shd w:val="clear" w:color="auto" w:fill="EBEFE6" w:themeFill="accent2" w:themeFillTint="33"/>
        <w:ind w:left="1080"/>
        <w:jc w:val="both"/>
        <w:rPr>
          <w:rFonts w:eastAsia="Times New Roman" w:cs="Arial"/>
          <w:sz w:val="21"/>
          <w:szCs w:val="21"/>
        </w:rPr>
      </w:pPr>
      <w:r w:rsidRPr="00D159A1">
        <w:rPr>
          <w:rFonts w:cs="Arial"/>
          <w:sz w:val="21"/>
          <w:szCs w:val="21"/>
        </w:rPr>
        <w:t>There must have been negligence when the statement was made.</w:t>
      </w:r>
    </w:p>
    <w:p w:rsidR="00072C05" w:rsidRPr="00D159A1" w:rsidRDefault="00072C05" w:rsidP="00D159A1">
      <w:pPr>
        <w:pStyle w:val="Heading2"/>
        <w:keepNext w:val="0"/>
        <w:keepLines w:val="0"/>
        <w:numPr>
          <w:ilvl w:val="0"/>
          <w:numId w:val="5"/>
        </w:numPr>
        <w:shd w:val="clear" w:color="auto" w:fill="EBEFE6" w:themeFill="accent2" w:themeFillTint="33"/>
        <w:autoSpaceDE w:val="0"/>
        <w:autoSpaceDN w:val="0"/>
        <w:adjustRightInd w:val="0"/>
        <w:spacing w:before="0"/>
        <w:ind w:left="1080"/>
        <w:jc w:val="both"/>
        <w:rPr>
          <w:rFonts w:asciiTheme="minorHAnsi" w:hAnsiTheme="minorHAnsi" w:cs="Arial"/>
          <w:b w:val="0"/>
          <w:color w:val="auto"/>
          <w:sz w:val="21"/>
          <w:szCs w:val="21"/>
        </w:rPr>
      </w:pPr>
      <w:r w:rsidRPr="00D159A1">
        <w:rPr>
          <w:rFonts w:asciiTheme="minorHAnsi" w:hAnsiTheme="minorHAnsi" w:cs="Arial"/>
          <w:b w:val="0"/>
          <w:color w:val="auto"/>
          <w:sz w:val="21"/>
          <w:szCs w:val="21"/>
        </w:rPr>
        <w:t>The statement must be given by an expert acting in the course of his/her expertise.</w:t>
      </w:r>
    </w:p>
    <w:p w:rsidR="00072C05" w:rsidRPr="00D159A1" w:rsidRDefault="00072C05" w:rsidP="00D159A1">
      <w:pPr>
        <w:pStyle w:val="Heading2"/>
        <w:keepNext w:val="0"/>
        <w:keepLines w:val="0"/>
        <w:numPr>
          <w:ilvl w:val="0"/>
          <w:numId w:val="5"/>
        </w:numPr>
        <w:shd w:val="clear" w:color="auto" w:fill="EBEFE6" w:themeFill="accent2" w:themeFillTint="33"/>
        <w:autoSpaceDE w:val="0"/>
        <w:autoSpaceDN w:val="0"/>
        <w:adjustRightInd w:val="0"/>
        <w:spacing w:before="0"/>
        <w:ind w:left="1080"/>
        <w:jc w:val="both"/>
        <w:rPr>
          <w:rFonts w:asciiTheme="minorHAnsi" w:hAnsiTheme="minorHAnsi" w:cs="Arial"/>
          <w:b w:val="0"/>
          <w:color w:val="auto"/>
          <w:sz w:val="21"/>
          <w:szCs w:val="21"/>
        </w:rPr>
      </w:pPr>
      <w:r w:rsidRPr="00D159A1">
        <w:rPr>
          <w:rFonts w:asciiTheme="minorHAnsi" w:hAnsiTheme="minorHAnsi" w:cs="Arial"/>
          <w:b w:val="0"/>
          <w:color w:val="auto"/>
          <w:sz w:val="21"/>
          <w:szCs w:val="21"/>
        </w:rPr>
        <w:t>There must be a duty of care owed to the person who acts on the statement – an assumption of responsibility.</w:t>
      </w:r>
    </w:p>
    <w:p w:rsidR="00072C05" w:rsidRPr="00D159A1" w:rsidRDefault="00072C05" w:rsidP="00D159A1">
      <w:pPr>
        <w:pStyle w:val="Heading2"/>
        <w:keepNext w:val="0"/>
        <w:keepLines w:val="0"/>
        <w:numPr>
          <w:ilvl w:val="0"/>
          <w:numId w:val="5"/>
        </w:numPr>
        <w:shd w:val="clear" w:color="auto" w:fill="EBEFE6" w:themeFill="accent2" w:themeFillTint="33"/>
        <w:autoSpaceDE w:val="0"/>
        <w:autoSpaceDN w:val="0"/>
        <w:adjustRightInd w:val="0"/>
        <w:spacing w:before="0"/>
        <w:ind w:left="1080"/>
        <w:jc w:val="both"/>
        <w:rPr>
          <w:rFonts w:asciiTheme="minorHAnsi" w:hAnsiTheme="minorHAnsi" w:cs="Arial"/>
          <w:b w:val="0"/>
          <w:color w:val="auto"/>
          <w:sz w:val="21"/>
          <w:szCs w:val="21"/>
        </w:rPr>
      </w:pPr>
      <w:r w:rsidRPr="00D159A1">
        <w:rPr>
          <w:rFonts w:asciiTheme="minorHAnsi" w:hAnsiTheme="minorHAnsi" w:cs="Arial"/>
          <w:b w:val="0"/>
          <w:color w:val="auto"/>
          <w:sz w:val="21"/>
          <w:szCs w:val="21"/>
        </w:rPr>
        <w:t>There must be reliance on the statement by the persons to whom it was addressed.</w:t>
      </w:r>
    </w:p>
    <w:p w:rsidR="00072C05" w:rsidRPr="00D159A1" w:rsidRDefault="00072C05" w:rsidP="00D159A1">
      <w:pPr>
        <w:pStyle w:val="Heading2"/>
        <w:keepNext w:val="0"/>
        <w:keepLines w:val="0"/>
        <w:numPr>
          <w:ilvl w:val="0"/>
          <w:numId w:val="5"/>
        </w:numPr>
        <w:shd w:val="clear" w:color="auto" w:fill="EBEFE6" w:themeFill="accent2" w:themeFillTint="33"/>
        <w:autoSpaceDE w:val="0"/>
        <w:autoSpaceDN w:val="0"/>
        <w:adjustRightInd w:val="0"/>
        <w:spacing w:before="0"/>
        <w:ind w:left="1080"/>
        <w:jc w:val="both"/>
        <w:rPr>
          <w:rFonts w:asciiTheme="minorHAnsi" w:hAnsiTheme="minorHAnsi" w:cs="Arial"/>
          <w:b w:val="0"/>
          <w:color w:val="auto"/>
          <w:sz w:val="21"/>
          <w:szCs w:val="21"/>
        </w:rPr>
      </w:pPr>
      <w:r w:rsidRPr="00D159A1">
        <w:rPr>
          <w:rFonts w:asciiTheme="minorHAnsi" w:hAnsiTheme="minorHAnsi" w:cs="Arial"/>
          <w:b w:val="0"/>
          <w:color w:val="auto"/>
          <w:sz w:val="21"/>
          <w:szCs w:val="21"/>
        </w:rPr>
        <w:t>There must be foreseeable loss arising out of the reliance.</w:t>
      </w:r>
    </w:p>
    <w:p w:rsidR="00072C05" w:rsidRPr="00D159A1" w:rsidRDefault="00072C05" w:rsidP="00D159A1">
      <w:pPr>
        <w:pStyle w:val="Heading2"/>
        <w:keepNext w:val="0"/>
        <w:keepLines w:val="0"/>
        <w:numPr>
          <w:ilvl w:val="0"/>
          <w:numId w:val="5"/>
        </w:numPr>
        <w:shd w:val="clear" w:color="auto" w:fill="EBEFE6" w:themeFill="accent2" w:themeFillTint="33"/>
        <w:autoSpaceDE w:val="0"/>
        <w:autoSpaceDN w:val="0"/>
        <w:adjustRightInd w:val="0"/>
        <w:spacing w:before="0"/>
        <w:ind w:left="1080"/>
        <w:jc w:val="both"/>
        <w:rPr>
          <w:rFonts w:asciiTheme="minorHAnsi" w:hAnsiTheme="minorHAnsi" w:cs="Arial"/>
          <w:b w:val="0"/>
          <w:color w:val="auto"/>
          <w:sz w:val="21"/>
          <w:szCs w:val="21"/>
        </w:rPr>
      </w:pPr>
      <w:r w:rsidRPr="00D159A1">
        <w:rPr>
          <w:rFonts w:asciiTheme="minorHAnsi" w:hAnsiTheme="minorHAnsi" w:cs="Arial"/>
          <w:b w:val="0"/>
          <w:color w:val="auto"/>
          <w:sz w:val="21"/>
          <w:szCs w:val="21"/>
        </w:rPr>
        <w:t xml:space="preserve">Following </w:t>
      </w:r>
      <w:r w:rsidRPr="00D159A1">
        <w:rPr>
          <w:rFonts w:asciiTheme="minorHAnsi" w:hAnsiTheme="minorHAnsi" w:cs="Arial"/>
          <w:b w:val="0"/>
          <w:i/>
          <w:color w:val="auto"/>
          <w:sz w:val="21"/>
          <w:szCs w:val="21"/>
        </w:rPr>
        <w:t>Caparo</w:t>
      </w:r>
      <w:r w:rsidRPr="00D159A1">
        <w:rPr>
          <w:rFonts w:asciiTheme="minorHAnsi" w:hAnsiTheme="minorHAnsi" w:cs="Arial"/>
          <w:b w:val="0"/>
          <w:color w:val="auto"/>
          <w:sz w:val="21"/>
          <w:szCs w:val="21"/>
        </w:rPr>
        <w:t>, it must be fair, just and equitable to impose the duty.</w:t>
      </w:r>
    </w:p>
    <w:p w:rsidR="00072C05" w:rsidRPr="00D159A1" w:rsidRDefault="00072C05" w:rsidP="00D159A1">
      <w:pPr>
        <w:shd w:val="clear" w:color="auto" w:fill="EBEFE6" w:themeFill="accent2" w:themeFillTint="33"/>
        <w:jc w:val="both"/>
        <w:rPr>
          <w:rFonts w:cs="Arial"/>
          <w:sz w:val="21"/>
          <w:szCs w:val="21"/>
        </w:rPr>
      </w:pPr>
    </w:p>
    <w:p w:rsidR="00072C05" w:rsidRPr="00D159A1" w:rsidRDefault="00072C05" w:rsidP="00D159A1">
      <w:pPr>
        <w:numPr>
          <w:ilvl w:val="0"/>
          <w:numId w:val="1"/>
        </w:numPr>
        <w:shd w:val="clear" w:color="auto" w:fill="EBEFE6" w:themeFill="accent2" w:themeFillTint="33"/>
        <w:ind w:left="0"/>
        <w:jc w:val="both"/>
        <w:rPr>
          <w:rFonts w:cs="Arial"/>
          <w:sz w:val="21"/>
          <w:szCs w:val="21"/>
        </w:rPr>
      </w:pPr>
      <w:r w:rsidRPr="00D159A1">
        <w:rPr>
          <w:rFonts w:cs="Arial"/>
          <w:sz w:val="21"/>
          <w:szCs w:val="21"/>
        </w:rPr>
        <w:lastRenderedPageBreak/>
        <w:t xml:space="preserve">Note, however, that the Lords stated in </w:t>
      </w:r>
      <w:r w:rsidRPr="00D159A1">
        <w:rPr>
          <w:rFonts w:cs="Arial"/>
          <w:i/>
          <w:sz w:val="21"/>
          <w:szCs w:val="21"/>
        </w:rPr>
        <w:t>Commissioners for Customs and Excise v Barclays Bank Plc</w:t>
      </w:r>
      <w:r w:rsidRPr="00D159A1">
        <w:rPr>
          <w:rFonts w:cs="Arial"/>
          <w:sz w:val="21"/>
          <w:szCs w:val="21"/>
        </w:rPr>
        <w:t xml:space="preserve"> that the tests established in the cases above were correct and had led to justice being served, but they are specific to the cases to which they relate, and sweeping statements regarding the application of tests are not possible. The cases have to be considered on their facts.</w:t>
      </w:r>
    </w:p>
    <w:p w:rsidR="00072C05" w:rsidRPr="00D159A1" w:rsidRDefault="00072C05" w:rsidP="00896E8C">
      <w:pPr>
        <w:pStyle w:val="sum-nl"/>
        <w:spacing w:line="240" w:lineRule="auto"/>
        <w:jc w:val="both"/>
        <w:rPr>
          <w:rFonts w:asciiTheme="minorHAnsi" w:hAnsiTheme="minorHAnsi" w:cs="Arial"/>
          <w:sz w:val="21"/>
          <w:szCs w:val="21"/>
        </w:rPr>
      </w:pPr>
    </w:p>
    <w:p w:rsidR="00072C05" w:rsidRPr="00D159A1" w:rsidRDefault="00072C05" w:rsidP="00896E8C">
      <w:pPr>
        <w:pStyle w:val="sum-nl"/>
        <w:spacing w:line="240" w:lineRule="auto"/>
        <w:jc w:val="both"/>
        <w:rPr>
          <w:rFonts w:asciiTheme="minorHAnsi" w:hAnsiTheme="minorHAnsi" w:cs="Arial"/>
          <w:sz w:val="21"/>
          <w:szCs w:val="21"/>
        </w:rPr>
      </w:pPr>
      <w:r w:rsidRPr="00D159A1">
        <w:rPr>
          <w:rStyle w:val="ColorBold"/>
          <w:rFonts w:asciiTheme="minorHAnsi" w:hAnsiTheme="minorHAnsi" w:cs="Arial"/>
          <w:sz w:val="21"/>
          <w:szCs w:val="21"/>
        </w:rPr>
        <w:t>2.</w:t>
      </w:r>
      <w:r w:rsidRPr="00D159A1">
        <w:rPr>
          <w:rStyle w:val="ColorBold"/>
          <w:rFonts w:asciiTheme="minorHAnsi" w:hAnsiTheme="minorHAnsi" w:cs="Arial"/>
          <w:sz w:val="21"/>
          <w:szCs w:val="21"/>
        </w:rPr>
        <w:tab/>
      </w:r>
      <w:r w:rsidRPr="00D159A1">
        <w:rPr>
          <w:rFonts w:asciiTheme="minorHAnsi" w:hAnsiTheme="minorHAnsi" w:cs="Arial"/>
          <w:sz w:val="21"/>
          <w:szCs w:val="21"/>
        </w:rPr>
        <w:t xml:space="preserve">‘The case of </w:t>
      </w:r>
      <w:r w:rsidRPr="00D159A1">
        <w:rPr>
          <w:rStyle w:val="lightitalic"/>
          <w:rFonts w:asciiTheme="minorHAnsi" w:hAnsiTheme="minorHAnsi" w:cs="Arial"/>
          <w:sz w:val="21"/>
          <w:szCs w:val="21"/>
        </w:rPr>
        <w:t>Alcock v Chief Constable of South Yorkshire</w:t>
      </w:r>
      <w:r w:rsidRPr="00D159A1">
        <w:rPr>
          <w:rFonts w:asciiTheme="minorHAnsi" w:hAnsiTheme="minorHAnsi" w:cs="Arial"/>
          <w:sz w:val="21"/>
          <w:szCs w:val="21"/>
        </w:rPr>
        <w:t xml:space="preserve"> identified the rules to be satisfied before a successful claim as a secondary victim could be made. The judgment demonstrates the problems and practical difficulties in successfully establishing a claim where the claimant has not suffered any direct harm, or feared personal harm. As such, liability for psychiatric damage in such cases is rarely held and for all practical purposes should be abolished.’</w:t>
      </w:r>
    </w:p>
    <w:p w:rsidR="00896E8C" w:rsidRPr="00D159A1" w:rsidRDefault="00896E8C" w:rsidP="00896E8C">
      <w:pPr>
        <w:pStyle w:val="sum-nl-p1"/>
        <w:spacing w:line="240" w:lineRule="auto"/>
        <w:ind w:left="0" w:firstLine="0"/>
        <w:jc w:val="both"/>
        <w:rPr>
          <w:rFonts w:asciiTheme="minorHAnsi" w:hAnsiTheme="minorHAnsi" w:cs="Arial"/>
          <w:sz w:val="21"/>
          <w:szCs w:val="21"/>
        </w:rPr>
      </w:pPr>
    </w:p>
    <w:p w:rsidR="00072C05" w:rsidRPr="00D159A1" w:rsidRDefault="00072C05" w:rsidP="00896E8C">
      <w:pPr>
        <w:pStyle w:val="sum-nl-p1"/>
        <w:spacing w:line="240" w:lineRule="auto"/>
        <w:ind w:left="0"/>
        <w:jc w:val="both"/>
        <w:rPr>
          <w:rFonts w:asciiTheme="minorHAnsi" w:hAnsiTheme="minorHAnsi" w:cs="Arial"/>
          <w:sz w:val="21"/>
          <w:szCs w:val="21"/>
        </w:rPr>
      </w:pPr>
      <w:r w:rsidRPr="00D159A1">
        <w:rPr>
          <w:rFonts w:asciiTheme="minorHAnsi" w:hAnsiTheme="minorHAnsi" w:cs="Arial"/>
          <w:sz w:val="21"/>
          <w:szCs w:val="21"/>
        </w:rPr>
        <w:t>Critically analyse the above statement.</w:t>
      </w:r>
    </w:p>
    <w:p w:rsidR="00072C05" w:rsidRPr="00D159A1" w:rsidRDefault="00072C05" w:rsidP="00896E8C">
      <w:pPr>
        <w:pStyle w:val="sum-nl-p1"/>
        <w:spacing w:line="240" w:lineRule="auto"/>
        <w:jc w:val="both"/>
        <w:rPr>
          <w:rFonts w:asciiTheme="minorHAnsi" w:hAnsiTheme="minorHAnsi" w:cs="Arial"/>
          <w:sz w:val="21"/>
          <w:szCs w:val="21"/>
        </w:rPr>
      </w:pPr>
    </w:p>
    <w:p w:rsidR="00072C05" w:rsidRPr="00D159A1" w:rsidRDefault="00072C05" w:rsidP="00D159A1">
      <w:pPr>
        <w:shd w:val="clear" w:color="auto" w:fill="EBEFE6" w:themeFill="accent2" w:themeFillTint="33"/>
        <w:jc w:val="both"/>
        <w:rPr>
          <w:rFonts w:cs="Arial"/>
          <w:b/>
          <w:sz w:val="21"/>
          <w:szCs w:val="21"/>
        </w:rPr>
      </w:pPr>
      <w:r w:rsidRPr="00D159A1">
        <w:rPr>
          <w:rFonts w:cs="Arial"/>
          <w:b/>
          <w:sz w:val="21"/>
          <w:szCs w:val="21"/>
        </w:rPr>
        <w:t>Indicative content outline answer:</w:t>
      </w:r>
    </w:p>
    <w:p w:rsidR="00072C05" w:rsidRPr="00D159A1" w:rsidRDefault="00072C05" w:rsidP="00D159A1">
      <w:pPr>
        <w:numPr>
          <w:ilvl w:val="0"/>
          <w:numId w:val="1"/>
        </w:numPr>
        <w:shd w:val="clear" w:color="auto" w:fill="EBEFE6" w:themeFill="accent2" w:themeFillTint="33"/>
        <w:jc w:val="both"/>
        <w:rPr>
          <w:rFonts w:cs="Arial"/>
          <w:sz w:val="21"/>
          <w:szCs w:val="21"/>
        </w:rPr>
      </w:pPr>
      <w:r w:rsidRPr="00D159A1">
        <w:rPr>
          <w:rFonts w:cs="Arial"/>
          <w:sz w:val="21"/>
          <w:szCs w:val="21"/>
        </w:rPr>
        <w:t xml:space="preserve">There are increasing situations where liability is imposed for non-physical injuries, such as employees being placed under stresses at work, or where rescuers (such as those employed in the emergency services) suffer through the traumatic nature of their job. </w:t>
      </w:r>
    </w:p>
    <w:p w:rsidR="00072C05" w:rsidRPr="00D159A1" w:rsidRDefault="00072C05" w:rsidP="00D159A1">
      <w:pPr>
        <w:numPr>
          <w:ilvl w:val="0"/>
          <w:numId w:val="1"/>
        </w:numPr>
        <w:shd w:val="clear" w:color="auto" w:fill="EBEFE6" w:themeFill="accent2" w:themeFillTint="33"/>
        <w:jc w:val="both"/>
        <w:rPr>
          <w:rFonts w:cs="Arial"/>
          <w:sz w:val="21"/>
          <w:szCs w:val="21"/>
        </w:rPr>
      </w:pPr>
      <w:r w:rsidRPr="00D159A1">
        <w:rPr>
          <w:rFonts w:cs="Arial"/>
          <w:sz w:val="21"/>
          <w:szCs w:val="21"/>
        </w:rPr>
        <w:t xml:space="preserve">There may exist situations where persons are exposed to situations where they are not necessarily employees, but liability for psychiatric injury is imposed. In </w:t>
      </w:r>
      <w:r w:rsidRPr="00D159A1">
        <w:rPr>
          <w:rFonts w:cs="Arial"/>
          <w:i/>
          <w:sz w:val="21"/>
          <w:szCs w:val="21"/>
        </w:rPr>
        <w:t>Bourhill v Young</w:t>
      </w:r>
      <w:r w:rsidRPr="00D159A1">
        <w:rPr>
          <w:rFonts w:cs="Arial"/>
          <w:sz w:val="21"/>
          <w:szCs w:val="21"/>
        </w:rPr>
        <w:t xml:space="preserve"> the claim failed, </w:t>
      </w:r>
      <w:r w:rsidRPr="00D159A1">
        <w:rPr>
          <w:rFonts w:cs="Arial"/>
          <w:i/>
          <w:sz w:val="21"/>
          <w:szCs w:val="21"/>
        </w:rPr>
        <w:t>inter alia</w:t>
      </w:r>
      <w:r w:rsidRPr="00D159A1">
        <w:rPr>
          <w:rFonts w:cs="Arial"/>
          <w:sz w:val="21"/>
          <w:szCs w:val="21"/>
        </w:rPr>
        <w:t xml:space="preserve">, due to the lack or proximity between the claimant and defendant, but raised the interesting element of whether to hold a defendant liable in cases of psychiatric harm. </w:t>
      </w:r>
    </w:p>
    <w:p w:rsidR="00072C05" w:rsidRPr="00D159A1" w:rsidRDefault="00072C05" w:rsidP="00D159A1">
      <w:pPr>
        <w:numPr>
          <w:ilvl w:val="0"/>
          <w:numId w:val="1"/>
        </w:numPr>
        <w:shd w:val="clear" w:color="auto" w:fill="EBEFE6" w:themeFill="accent2" w:themeFillTint="33"/>
        <w:jc w:val="both"/>
        <w:rPr>
          <w:rFonts w:cs="Arial"/>
          <w:sz w:val="21"/>
          <w:szCs w:val="21"/>
        </w:rPr>
      </w:pPr>
      <w:r w:rsidRPr="00D159A1">
        <w:rPr>
          <w:rFonts w:cs="Arial"/>
          <w:sz w:val="21"/>
          <w:szCs w:val="21"/>
        </w:rPr>
        <w:t xml:space="preserve">The person must exhibit ‘phlegm and fortitude’ in the event of witnessing acts that may be upsetting. As in </w:t>
      </w:r>
      <w:r w:rsidRPr="00D159A1">
        <w:rPr>
          <w:rFonts w:cs="Arial"/>
          <w:i/>
          <w:sz w:val="21"/>
          <w:szCs w:val="21"/>
        </w:rPr>
        <w:t>Bourhill</w:t>
      </w:r>
      <w:r w:rsidRPr="00D159A1">
        <w:rPr>
          <w:rFonts w:cs="Arial"/>
          <w:sz w:val="21"/>
          <w:szCs w:val="21"/>
        </w:rPr>
        <w:t xml:space="preserve"> where the pregnant fishwife had witnessed the aftermath of an accident, this did not place her in direct and immediate danger. </w:t>
      </w:r>
    </w:p>
    <w:p w:rsidR="00072C05" w:rsidRPr="00D159A1" w:rsidRDefault="00072C05" w:rsidP="00D159A1">
      <w:pPr>
        <w:numPr>
          <w:ilvl w:val="0"/>
          <w:numId w:val="1"/>
        </w:numPr>
        <w:shd w:val="clear" w:color="auto" w:fill="EBEFE6" w:themeFill="accent2" w:themeFillTint="33"/>
        <w:jc w:val="both"/>
        <w:rPr>
          <w:rFonts w:cs="Arial"/>
          <w:sz w:val="21"/>
          <w:szCs w:val="21"/>
        </w:rPr>
      </w:pPr>
      <w:r w:rsidRPr="00D159A1">
        <w:rPr>
          <w:rFonts w:cs="Arial"/>
          <w:sz w:val="21"/>
          <w:szCs w:val="21"/>
        </w:rPr>
        <w:t xml:space="preserve">Those persons who have experienced injury, even psychiatric injury, from having been placed in fear of personal danger are referred to as ‘primary victims.’ The other type of claimant who suffers psychiatric injury after witnessing an event involving injury to others comes under the heading ‘secondary victims.’ It should be noted that the expression ‘nervous shock’ is important in identifying that the claims in this matter relates to sudden events which are distressing, rather than a protracted event or series of events. </w:t>
      </w:r>
    </w:p>
    <w:p w:rsidR="00072C05" w:rsidRPr="00D159A1" w:rsidRDefault="00072C05" w:rsidP="00D159A1">
      <w:pPr>
        <w:shd w:val="clear" w:color="auto" w:fill="EBEFE6" w:themeFill="accent2" w:themeFillTint="33"/>
        <w:jc w:val="both"/>
        <w:rPr>
          <w:rFonts w:cs="Arial"/>
          <w:sz w:val="21"/>
          <w:szCs w:val="21"/>
        </w:rPr>
      </w:pPr>
    </w:p>
    <w:p w:rsidR="00072C05" w:rsidRPr="00D159A1" w:rsidRDefault="00072C05" w:rsidP="00D159A1">
      <w:pPr>
        <w:shd w:val="clear" w:color="auto" w:fill="EBEFE6" w:themeFill="accent2" w:themeFillTint="33"/>
        <w:jc w:val="both"/>
        <w:rPr>
          <w:rFonts w:cs="Arial"/>
          <w:b/>
          <w:i/>
          <w:sz w:val="21"/>
          <w:szCs w:val="21"/>
        </w:rPr>
      </w:pPr>
      <w:r w:rsidRPr="00D159A1">
        <w:rPr>
          <w:rFonts w:cs="Arial"/>
          <w:b/>
          <w:i/>
          <w:sz w:val="21"/>
          <w:szCs w:val="21"/>
        </w:rPr>
        <w:t>Primary Victims</w:t>
      </w:r>
    </w:p>
    <w:p w:rsidR="00072C05" w:rsidRPr="00D159A1" w:rsidRDefault="00072C05" w:rsidP="00D159A1">
      <w:pPr>
        <w:numPr>
          <w:ilvl w:val="0"/>
          <w:numId w:val="6"/>
        </w:numPr>
        <w:shd w:val="clear" w:color="auto" w:fill="EBEFE6" w:themeFill="accent2" w:themeFillTint="33"/>
        <w:jc w:val="both"/>
        <w:rPr>
          <w:rFonts w:cs="Arial"/>
          <w:sz w:val="21"/>
          <w:szCs w:val="21"/>
        </w:rPr>
      </w:pPr>
      <w:r w:rsidRPr="00D159A1">
        <w:rPr>
          <w:rFonts w:cs="Arial"/>
          <w:sz w:val="21"/>
          <w:szCs w:val="21"/>
        </w:rPr>
        <w:t xml:space="preserve">These are claimants who assert they have suffered some form of psychiatric injury as a result of being in the zone of physical danger of fearing for their own safety. This is tested on the basis of the reasonable forseeability of the defendant’s actions as can be seen in </w:t>
      </w:r>
      <w:r w:rsidRPr="00D159A1">
        <w:rPr>
          <w:rFonts w:cs="Arial"/>
          <w:i/>
          <w:sz w:val="21"/>
          <w:szCs w:val="21"/>
        </w:rPr>
        <w:t>Dulieu v White and Sons</w:t>
      </w:r>
      <w:r w:rsidRPr="00D159A1">
        <w:rPr>
          <w:rFonts w:cs="Arial"/>
          <w:sz w:val="21"/>
          <w:szCs w:val="21"/>
        </w:rPr>
        <w:t xml:space="preserve">. </w:t>
      </w:r>
    </w:p>
    <w:p w:rsidR="00072C05" w:rsidRPr="00D159A1" w:rsidRDefault="00072C05" w:rsidP="00D159A1">
      <w:pPr>
        <w:shd w:val="clear" w:color="auto" w:fill="EBEFE6" w:themeFill="accent2" w:themeFillTint="33"/>
        <w:jc w:val="both"/>
        <w:rPr>
          <w:rFonts w:cs="Arial"/>
          <w:sz w:val="21"/>
          <w:szCs w:val="21"/>
        </w:rPr>
      </w:pPr>
    </w:p>
    <w:p w:rsidR="00072C05" w:rsidRPr="00D159A1" w:rsidRDefault="00072C05" w:rsidP="00D159A1">
      <w:pPr>
        <w:shd w:val="clear" w:color="auto" w:fill="EBEFE6" w:themeFill="accent2" w:themeFillTint="33"/>
        <w:jc w:val="both"/>
        <w:rPr>
          <w:rFonts w:cs="Arial"/>
          <w:b/>
          <w:i/>
          <w:sz w:val="21"/>
          <w:szCs w:val="21"/>
        </w:rPr>
      </w:pPr>
      <w:r w:rsidRPr="00D159A1">
        <w:rPr>
          <w:rFonts w:cs="Arial"/>
          <w:b/>
          <w:i/>
          <w:sz w:val="21"/>
          <w:szCs w:val="21"/>
        </w:rPr>
        <w:t>Secondary Victims</w:t>
      </w:r>
    </w:p>
    <w:p w:rsidR="00072C05" w:rsidRPr="00D159A1" w:rsidRDefault="00072C05" w:rsidP="00D159A1">
      <w:pPr>
        <w:numPr>
          <w:ilvl w:val="0"/>
          <w:numId w:val="6"/>
        </w:numPr>
        <w:shd w:val="clear" w:color="auto" w:fill="EBEFE6" w:themeFill="accent2" w:themeFillTint="33"/>
        <w:jc w:val="both"/>
        <w:rPr>
          <w:rFonts w:cs="Arial"/>
          <w:sz w:val="21"/>
          <w:szCs w:val="21"/>
        </w:rPr>
      </w:pPr>
      <w:r w:rsidRPr="00D159A1">
        <w:rPr>
          <w:rFonts w:cs="Arial"/>
          <w:sz w:val="21"/>
          <w:szCs w:val="21"/>
        </w:rPr>
        <w:t xml:space="preserve">Secondary victims have a more difficult task in proving that they have the right to seek damages under negligence. Reasonable forseeability is again the test to be invoked, but this is on the basis of the proximity of relationship. </w:t>
      </w:r>
    </w:p>
    <w:p w:rsidR="00072C05" w:rsidRPr="00D159A1" w:rsidRDefault="00072C05" w:rsidP="00D159A1">
      <w:pPr>
        <w:numPr>
          <w:ilvl w:val="0"/>
          <w:numId w:val="6"/>
        </w:numPr>
        <w:shd w:val="clear" w:color="auto" w:fill="EBEFE6" w:themeFill="accent2" w:themeFillTint="33"/>
        <w:jc w:val="both"/>
        <w:rPr>
          <w:rFonts w:cs="Arial"/>
          <w:sz w:val="21"/>
          <w:szCs w:val="21"/>
        </w:rPr>
      </w:pPr>
      <w:r w:rsidRPr="00D159A1">
        <w:rPr>
          <w:rFonts w:cs="Arial"/>
          <w:sz w:val="21"/>
          <w:szCs w:val="21"/>
        </w:rPr>
        <w:t>There must exist some direct relationship between the injured party and the claimant that would enable a claim (as no physical injury has been sustained, and the cla</w:t>
      </w:r>
      <w:r w:rsidR="00896E8C" w:rsidRPr="00D159A1">
        <w:rPr>
          <w:rFonts w:cs="Arial"/>
          <w:sz w:val="21"/>
          <w:szCs w:val="21"/>
        </w:rPr>
        <w:t>imant was not in fear of their</w:t>
      </w:r>
      <w:r w:rsidRPr="00D159A1">
        <w:rPr>
          <w:rFonts w:cs="Arial"/>
          <w:sz w:val="21"/>
          <w:szCs w:val="21"/>
        </w:rPr>
        <w:t xml:space="preserve"> own safety). Such a close relationship may exist between siblings, or between spouses. </w:t>
      </w:r>
    </w:p>
    <w:p w:rsidR="00072C05" w:rsidRPr="00D159A1" w:rsidRDefault="00072C05" w:rsidP="00D159A1">
      <w:pPr>
        <w:numPr>
          <w:ilvl w:val="0"/>
          <w:numId w:val="6"/>
        </w:numPr>
        <w:shd w:val="clear" w:color="auto" w:fill="EBEFE6" w:themeFill="accent2" w:themeFillTint="33"/>
        <w:jc w:val="both"/>
        <w:rPr>
          <w:rFonts w:cs="Arial"/>
          <w:sz w:val="21"/>
          <w:szCs w:val="21"/>
        </w:rPr>
      </w:pPr>
      <w:r w:rsidRPr="00D159A1">
        <w:rPr>
          <w:rFonts w:cs="Arial"/>
          <w:sz w:val="21"/>
          <w:szCs w:val="21"/>
        </w:rPr>
        <w:t xml:space="preserve">The tests were established in </w:t>
      </w:r>
      <w:r w:rsidRPr="00D159A1">
        <w:rPr>
          <w:rFonts w:cs="Arial"/>
          <w:i/>
          <w:sz w:val="21"/>
          <w:szCs w:val="21"/>
        </w:rPr>
        <w:t>Alcock v Chief Constable of South Yorkshire</w:t>
      </w:r>
      <w:r w:rsidRPr="00D159A1">
        <w:rPr>
          <w:rFonts w:cs="Arial"/>
          <w:sz w:val="21"/>
          <w:szCs w:val="21"/>
        </w:rPr>
        <w:t xml:space="preserve"> which provided for the following:</w:t>
      </w:r>
    </w:p>
    <w:p w:rsidR="00072C05" w:rsidRPr="00D159A1" w:rsidRDefault="00072C05" w:rsidP="00D159A1">
      <w:pPr>
        <w:shd w:val="clear" w:color="auto" w:fill="EBEFE6" w:themeFill="accent2" w:themeFillTint="33"/>
        <w:jc w:val="both"/>
        <w:rPr>
          <w:rFonts w:cs="Arial"/>
          <w:sz w:val="21"/>
          <w:szCs w:val="21"/>
        </w:rPr>
      </w:pPr>
    </w:p>
    <w:p w:rsidR="00072C05" w:rsidRPr="00D159A1" w:rsidRDefault="00072C05" w:rsidP="00D159A1">
      <w:pPr>
        <w:shd w:val="clear" w:color="auto" w:fill="EBEFE6" w:themeFill="accent2" w:themeFillTint="33"/>
        <w:ind w:left="720"/>
        <w:jc w:val="both"/>
        <w:rPr>
          <w:rFonts w:cs="Arial"/>
          <w:sz w:val="21"/>
          <w:szCs w:val="21"/>
        </w:rPr>
      </w:pPr>
      <w:r w:rsidRPr="00D159A1">
        <w:rPr>
          <w:rFonts w:cs="Arial"/>
          <w:sz w:val="21"/>
          <w:szCs w:val="21"/>
        </w:rPr>
        <w:t>1) There must exist close proximity between the claimant and the person suffering harm (such as close tie of love and affection and so on);</w:t>
      </w:r>
    </w:p>
    <w:p w:rsidR="00072C05" w:rsidRPr="00D159A1" w:rsidRDefault="00072C05" w:rsidP="00D159A1">
      <w:pPr>
        <w:shd w:val="clear" w:color="auto" w:fill="EBEFE6" w:themeFill="accent2" w:themeFillTint="33"/>
        <w:ind w:left="720"/>
        <w:jc w:val="both"/>
        <w:rPr>
          <w:rFonts w:cs="Arial"/>
          <w:sz w:val="21"/>
          <w:szCs w:val="21"/>
        </w:rPr>
      </w:pPr>
      <w:r w:rsidRPr="00D159A1">
        <w:rPr>
          <w:rFonts w:cs="Arial"/>
          <w:sz w:val="21"/>
          <w:szCs w:val="21"/>
        </w:rPr>
        <w:t>2) The claimant must have been present at the scene of the accident or there in the immediate aftermath; and</w:t>
      </w:r>
    </w:p>
    <w:p w:rsidR="00072C05" w:rsidRPr="00D159A1" w:rsidRDefault="00072C05" w:rsidP="00D159A1">
      <w:pPr>
        <w:shd w:val="clear" w:color="auto" w:fill="EBEFE6" w:themeFill="accent2" w:themeFillTint="33"/>
        <w:ind w:left="720"/>
        <w:jc w:val="both"/>
        <w:rPr>
          <w:rFonts w:cs="Arial"/>
          <w:sz w:val="21"/>
          <w:szCs w:val="21"/>
        </w:rPr>
      </w:pPr>
      <w:r w:rsidRPr="00D159A1">
        <w:rPr>
          <w:rFonts w:cs="Arial"/>
          <w:sz w:val="21"/>
          <w:szCs w:val="21"/>
        </w:rPr>
        <w:t>3) The claimant must have perceived directly the events of the accident or the immediate aftermath.</w:t>
      </w:r>
    </w:p>
    <w:p w:rsidR="00072C05" w:rsidRPr="00D159A1" w:rsidRDefault="00072C05" w:rsidP="00D159A1">
      <w:pPr>
        <w:shd w:val="clear" w:color="auto" w:fill="EBEFE6" w:themeFill="accent2" w:themeFillTint="33"/>
        <w:jc w:val="both"/>
        <w:rPr>
          <w:rFonts w:cs="Arial"/>
          <w:sz w:val="21"/>
          <w:szCs w:val="21"/>
        </w:rPr>
      </w:pPr>
    </w:p>
    <w:p w:rsidR="00072C05" w:rsidRPr="00D159A1" w:rsidRDefault="00072C05" w:rsidP="00D159A1">
      <w:pPr>
        <w:numPr>
          <w:ilvl w:val="0"/>
          <w:numId w:val="7"/>
        </w:numPr>
        <w:shd w:val="clear" w:color="auto" w:fill="EBEFE6" w:themeFill="accent2" w:themeFillTint="33"/>
        <w:jc w:val="both"/>
        <w:rPr>
          <w:rFonts w:cs="Arial"/>
          <w:sz w:val="21"/>
          <w:szCs w:val="21"/>
        </w:rPr>
      </w:pPr>
      <w:r w:rsidRPr="00D159A1">
        <w:rPr>
          <w:rFonts w:cs="Arial"/>
          <w:sz w:val="21"/>
          <w:szCs w:val="21"/>
        </w:rPr>
        <w:lastRenderedPageBreak/>
        <w:t xml:space="preserve">More recently the Court of Appeal has identified the criteria necessary when attributing liability in cases of psychiatric injury - </w:t>
      </w:r>
      <w:r w:rsidRPr="00D159A1">
        <w:rPr>
          <w:rFonts w:cs="Arial"/>
          <w:i/>
          <w:sz w:val="21"/>
          <w:szCs w:val="21"/>
        </w:rPr>
        <w:t>French v Chief Constable of Sussex</w:t>
      </w:r>
      <w:r w:rsidRPr="00D159A1">
        <w:rPr>
          <w:rFonts w:cs="Arial"/>
          <w:sz w:val="21"/>
          <w:szCs w:val="21"/>
        </w:rPr>
        <w:t xml:space="preserve">: </w:t>
      </w:r>
    </w:p>
    <w:p w:rsidR="00072C05" w:rsidRPr="00D159A1" w:rsidRDefault="00072C05" w:rsidP="00D159A1">
      <w:pPr>
        <w:shd w:val="clear" w:color="auto" w:fill="EBEFE6" w:themeFill="accent2" w:themeFillTint="33"/>
        <w:jc w:val="both"/>
        <w:rPr>
          <w:rFonts w:cs="Arial"/>
          <w:sz w:val="21"/>
          <w:szCs w:val="21"/>
        </w:rPr>
      </w:pPr>
    </w:p>
    <w:p w:rsidR="00072C05" w:rsidRPr="00D159A1" w:rsidRDefault="00072C05" w:rsidP="00D159A1">
      <w:pPr>
        <w:numPr>
          <w:ilvl w:val="0"/>
          <w:numId w:val="8"/>
        </w:numPr>
        <w:shd w:val="clear" w:color="auto" w:fill="EBEFE6" w:themeFill="accent2" w:themeFillTint="33"/>
        <w:jc w:val="both"/>
        <w:rPr>
          <w:rFonts w:cs="Arial"/>
          <w:sz w:val="21"/>
          <w:szCs w:val="21"/>
        </w:rPr>
      </w:pPr>
      <w:r w:rsidRPr="00D159A1">
        <w:rPr>
          <w:rFonts w:cs="Arial"/>
          <w:sz w:val="21"/>
          <w:szCs w:val="21"/>
        </w:rPr>
        <w:t>There exists a duty to exercise reasonable care not to cause psychiatric injury or to place the claimant in fear for his/her physical safety;</w:t>
      </w:r>
    </w:p>
    <w:p w:rsidR="00072C05" w:rsidRPr="00D159A1" w:rsidRDefault="00072C05" w:rsidP="00D159A1">
      <w:pPr>
        <w:numPr>
          <w:ilvl w:val="0"/>
          <w:numId w:val="8"/>
        </w:numPr>
        <w:shd w:val="clear" w:color="auto" w:fill="EBEFE6" w:themeFill="accent2" w:themeFillTint="33"/>
        <w:jc w:val="both"/>
        <w:rPr>
          <w:rFonts w:cs="Arial"/>
          <w:sz w:val="21"/>
          <w:szCs w:val="21"/>
        </w:rPr>
      </w:pPr>
      <w:r w:rsidRPr="00D159A1">
        <w:rPr>
          <w:rFonts w:cs="Arial"/>
          <w:sz w:val="21"/>
          <w:szCs w:val="21"/>
        </w:rPr>
        <w:t>The defendant that breaches the duty not to endanger the physical safety of the claimant will be liable if the breach causes not physical but psychiatric injury, even if it was not reasonably foreseeable that psychiatric injury alone might result;</w:t>
      </w:r>
    </w:p>
    <w:p w:rsidR="00072C05" w:rsidRPr="00D159A1" w:rsidRDefault="00072C05" w:rsidP="00D159A1">
      <w:pPr>
        <w:numPr>
          <w:ilvl w:val="0"/>
          <w:numId w:val="8"/>
        </w:numPr>
        <w:shd w:val="clear" w:color="auto" w:fill="EBEFE6" w:themeFill="accent2" w:themeFillTint="33"/>
        <w:jc w:val="both"/>
        <w:rPr>
          <w:rFonts w:cs="Arial"/>
          <w:sz w:val="21"/>
          <w:szCs w:val="21"/>
        </w:rPr>
      </w:pPr>
      <w:r w:rsidRPr="00D159A1">
        <w:rPr>
          <w:rFonts w:cs="Arial"/>
          <w:sz w:val="21"/>
          <w:szCs w:val="21"/>
        </w:rPr>
        <w:t>There is no general duty to exercise reasonable care not to cause psychiatric injury as a result of causing death or injury of someone (the primary victim) which is witnessed by the claimant (the secondary victim);</w:t>
      </w:r>
    </w:p>
    <w:p w:rsidR="00072C05" w:rsidRPr="00D159A1" w:rsidRDefault="00072C05" w:rsidP="00D159A1">
      <w:pPr>
        <w:numPr>
          <w:ilvl w:val="0"/>
          <w:numId w:val="8"/>
        </w:numPr>
        <w:shd w:val="clear" w:color="auto" w:fill="EBEFE6" w:themeFill="accent2" w:themeFillTint="33"/>
        <w:jc w:val="both"/>
        <w:rPr>
          <w:rFonts w:cs="Arial"/>
          <w:sz w:val="21"/>
          <w:szCs w:val="21"/>
        </w:rPr>
      </w:pPr>
      <w:r w:rsidRPr="00D159A1">
        <w:rPr>
          <w:rFonts w:cs="Arial"/>
          <w:sz w:val="21"/>
          <w:szCs w:val="21"/>
        </w:rPr>
        <w:t>Point ‘3’ applies equally where the claimant is employed by the defendant; and</w:t>
      </w:r>
    </w:p>
    <w:p w:rsidR="00072C05" w:rsidRPr="00D159A1" w:rsidRDefault="00072C05" w:rsidP="00D159A1">
      <w:pPr>
        <w:numPr>
          <w:ilvl w:val="0"/>
          <w:numId w:val="8"/>
        </w:numPr>
        <w:shd w:val="clear" w:color="auto" w:fill="EBEFE6" w:themeFill="accent2" w:themeFillTint="33"/>
        <w:jc w:val="both"/>
        <w:rPr>
          <w:rFonts w:cs="Arial"/>
          <w:sz w:val="21"/>
          <w:szCs w:val="21"/>
        </w:rPr>
      </w:pPr>
      <w:r w:rsidRPr="00D159A1">
        <w:rPr>
          <w:rFonts w:cs="Arial"/>
          <w:sz w:val="21"/>
          <w:szCs w:val="21"/>
        </w:rPr>
        <w:t>As an exception to point ‘3’ there is a duty not to cause psychiatric injury to the claimant as a result of causing the death or injury of someone loved by the claimant in circumstances where the claimant sees or hears the accident or its aftermath.</w:t>
      </w:r>
    </w:p>
    <w:p w:rsidR="00896E8C" w:rsidRPr="00D159A1" w:rsidRDefault="00896E8C" w:rsidP="00896E8C">
      <w:pPr>
        <w:pStyle w:val="sum-nl-p1"/>
        <w:spacing w:line="240" w:lineRule="auto"/>
        <w:ind w:left="0" w:firstLine="0"/>
        <w:jc w:val="both"/>
        <w:rPr>
          <w:rFonts w:asciiTheme="minorHAnsi" w:eastAsiaTheme="minorHAnsi" w:hAnsiTheme="minorHAnsi" w:cs="Arial"/>
          <w:sz w:val="21"/>
          <w:szCs w:val="21"/>
          <w:lang w:val="en-GB"/>
        </w:rPr>
      </w:pPr>
    </w:p>
    <w:p w:rsidR="00072C05" w:rsidRPr="00D159A1" w:rsidRDefault="00072C05" w:rsidP="00896E8C">
      <w:pPr>
        <w:pStyle w:val="sum-nl-p1"/>
        <w:spacing w:line="240" w:lineRule="auto"/>
        <w:ind w:left="0" w:firstLine="0"/>
        <w:jc w:val="both"/>
        <w:rPr>
          <w:rFonts w:asciiTheme="minorHAnsi" w:hAnsiTheme="minorHAnsi" w:cs="Arial"/>
          <w:b/>
          <w:color w:val="295E71" w:themeColor="accent3" w:themeShade="80"/>
          <w:sz w:val="26"/>
          <w:szCs w:val="26"/>
        </w:rPr>
      </w:pPr>
      <w:r w:rsidRPr="00D159A1">
        <w:rPr>
          <w:rFonts w:asciiTheme="minorHAnsi" w:hAnsiTheme="minorHAnsi" w:cs="Arial"/>
          <w:b/>
          <w:color w:val="295E71" w:themeColor="accent3" w:themeShade="80"/>
          <w:sz w:val="26"/>
          <w:szCs w:val="26"/>
        </w:rPr>
        <w:t>PROBLEM QUESTIONS</w:t>
      </w:r>
    </w:p>
    <w:p w:rsidR="00896E8C" w:rsidRPr="00D159A1" w:rsidRDefault="00896E8C" w:rsidP="00896E8C">
      <w:pPr>
        <w:pStyle w:val="sum-nl-p1"/>
        <w:spacing w:line="240" w:lineRule="auto"/>
        <w:jc w:val="both"/>
        <w:rPr>
          <w:rFonts w:asciiTheme="minorHAnsi" w:hAnsiTheme="minorHAnsi" w:cs="Arial"/>
          <w:sz w:val="21"/>
          <w:szCs w:val="21"/>
        </w:rPr>
      </w:pPr>
    </w:p>
    <w:p w:rsidR="00072C05" w:rsidRPr="00D159A1" w:rsidRDefault="00072C05" w:rsidP="00896E8C">
      <w:pPr>
        <w:pStyle w:val="sum-nl"/>
        <w:spacing w:line="240" w:lineRule="auto"/>
        <w:jc w:val="both"/>
        <w:rPr>
          <w:rFonts w:asciiTheme="minorHAnsi" w:hAnsiTheme="minorHAnsi" w:cs="Arial"/>
          <w:sz w:val="21"/>
          <w:szCs w:val="21"/>
        </w:rPr>
      </w:pPr>
      <w:r w:rsidRPr="00D159A1">
        <w:rPr>
          <w:rStyle w:val="ColorBold"/>
          <w:rFonts w:asciiTheme="minorHAnsi" w:hAnsiTheme="minorHAnsi" w:cs="Arial"/>
          <w:sz w:val="21"/>
          <w:szCs w:val="21"/>
        </w:rPr>
        <w:t>1.</w:t>
      </w:r>
      <w:r w:rsidRPr="00D159A1">
        <w:rPr>
          <w:rStyle w:val="ColorBold"/>
          <w:rFonts w:asciiTheme="minorHAnsi" w:hAnsiTheme="minorHAnsi" w:cs="Arial"/>
          <w:sz w:val="21"/>
          <w:szCs w:val="21"/>
        </w:rPr>
        <w:tab/>
      </w:r>
      <w:r w:rsidRPr="00D159A1">
        <w:rPr>
          <w:rFonts w:asciiTheme="minorHAnsi" w:hAnsiTheme="minorHAnsi" w:cs="Arial"/>
          <w:sz w:val="21"/>
          <w:szCs w:val="21"/>
        </w:rPr>
        <w:t>Rayan runs a firm of estate agents who provide a service of surveying and valuing properties, including domestic dwellings.</w:t>
      </w:r>
    </w:p>
    <w:p w:rsidR="00072C05" w:rsidRPr="00D159A1" w:rsidRDefault="00072C05" w:rsidP="00896E8C">
      <w:pPr>
        <w:pStyle w:val="sum-nl-p1"/>
        <w:spacing w:line="240" w:lineRule="auto"/>
        <w:jc w:val="both"/>
        <w:rPr>
          <w:rFonts w:asciiTheme="minorHAnsi" w:hAnsiTheme="minorHAnsi" w:cs="Arial"/>
          <w:sz w:val="21"/>
          <w:szCs w:val="21"/>
        </w:rPr>
      </w:pPr>
      <w:r w:rsidRPr="00D159A1">
        <w:rPr>
          <w:rFonts w:asciiTheme="minorHAnsi" w:hAnsiTheme="minorHAnsi" w:cs="Arial"/>
          <w:sz w:val="21"/>
          <w:szCs w:val="21"/>
        </w:rPr>
        <w:t>Henry approaches Rayan and states that he would like a house valued at £500,000 to have a full survey before he decides whether to proceed with the purchase or not. Rayan accepts the contract and instructs an employee of his (Brian) to perform the survey. Brian visits the property, carries out the survey but is more interested in speaking with his friend on his mobile phone than performing his task diligently. Brian negligently performs the survey and misses very important defects in the property such as dry rot, and that the house is built on the tracks of a disused mine and may be subject to subsidence.</w:t>
      </w:r>
    </w:p>
    <w:p w:rsidR="00072C05" w:rsidRPr="00D159A1" w:rsidRDefault="00072C05" w:rsidP="00896E8C">
      <w:pPr>
        <w:pStyle w:val="sum-nl-p1"/>
        <w:spacing w:line="240" w:lineRule="auto"/>
        <w:jc w:val="both"/>
        <w:rPr>
          <w:rFonts w:asciiTheme="minorHAnsi" w:hAnsiTheme="minorHAnsi" w:cs="Arial"/>
          <w:sz w:val="21"/>
          <w:szCs w:val="21"/>
        </w:rPr>
      </w:pPr>
      <w:r w:rsidRPr="00D159A1">
        <w:rPr>
          <w:rFonts w:asciiTheme="minorHAnsi" w:hAnsiTheme="minorHAnsi" w:cs="Arial"/>
          <w:sz w:val="21"/>
          <w:szCs w:val="21"/>
        </w:rPr>
        <w:t>Based on the favourable report produced by Brian, Henry purchases the property and later discovers these faults. The house, due to the defects, is actually only worth £300,000 and as a consequence Henry has lost a large amount of his investment.</w:t>
      </w:r>
    </w:p>
    <w:p w:rsidR="00896E8C" w:rsidRPr="00D159A1" w:rsidRDefault="00896E8C" w:rsidP="00896E8C">
      <w:pPr>
        <w:pStyle w:val="sum-nl-p1"/>
        <w:spacing w:line="240" w:lineRule="auto"/>
        <w:ind w:firstLine="0"/>
        <w:jc w:val="both"/>
        <w:rPr>
          <w:rFonts w:asciiTheme="minorHAnsi" w:hAnsiTheme="minorHAnsi" w:cs="Arial"/>
          <w:sz w:val="21"/>
          <w:szCs w:val="21"/>
        </w:rPr>
      </w:pPr>
    </w:p>
    <w:p w:rsidR="00072C05" w:rsidRPr="00D159A1" w:rsidRDefault="00072C05" w:rsidP="00896E8C">
      <w:pPr>
        <w:pStyle w:val="sum-nl-p1"/>
        <w:spacing w:line="240" w:lineRule="auto"/>
        <w:ind w:firstLine="0"/>
        <w:jc w:val="both"/>
        <w:rPr>
          <w:rFonts w:asciiTheme="minorHAnsi" w:hAnsiTheme="minorHAnsi" w:cs="Arial"/>
          <w:sz w:val="21"/>
          <w:szCs w:val="21"/>
        </w:rPr>
      </w:pPr>
      <w:r w:rsidRPr="00D159A1">
        <w:rPr>
          <w:rFonts w:asciiTheme="minorHAnsi" w:hAnsiTheme="minorHAnsi" w:cs="Arial"/>
          <w:sz w:val="21"/>
          <w:szCs w:val="21"/>
        </w:rPr>
        <w:t>Advise Henry on any rights he may have to claim for the (potential) professional negligence of Rayan and the estate agencies.</w:t>
      </w:r>
    </w:p>
    <w:p w:rsidR="00072C05" w:rsidRPr="00D159A1" w:rsidRDefault="00072C05" w:rsidP="00896E8C">
      <w:pPr>
        <w:pStyle w:val="sum-nl-p1"/>
        <w:spacing w:line="240" w:lineRule="auto"/>
        <w:jc w:val="both"/>
        <w:rPr>
          <w:rFonts w:asciiTheme="minorHAnsi" w:hAnsiTheme="minorHAnsi" w:cs="Arial"/>
          <w:sz w:val="21"/>
          <w:szCs w:val="21"/>
        </w:rPr>
      </w:pPr>
    </w:p>
    <w:p w:rsidR="00072C05" w:rsidRPr="00D159A1" w:rsidRDefault="00072C05" w:rsidP="00D159A1">
      <w:pPr>
        <w:shd w:val="clear" w:color="auto" w:fill="E1EFF4" w:themeFill="accent3" w:themeFillTint="33"/>
        <w:jc w:val="both"/>
        <w:rPr>
          <w:rFonts w:cs="Arial"/>
          <w:b/>
          <w:sz w:val="21"/>
          <w:szCs w:val="21"/>
        </w:rPr>
      </w:pPr>
      <w:r w:rsidRPr="00D159A1">
        <w:rPr>
          <w:rFonts w:cs="Arial"/>
          <w:b/>
          <w:sz w:val="21"/>
          <w:szCs w:val="21"/>
        </w:rPr>
        <w:t>Indicative content outline answer:</w:t>
      </w:r>
    </w:p>
    <w:p w:rsidR="00072C05" w:rsidRPr="00D159A1" w:rsidRDefault="00072C05" w:rsidP="00D159A1">
      <w:pPr>
        <w:numPr>
          <w:ilvl w:val="0"/>
          <w:numId w:val="7"/>
        </w:numPr>
        <w:shd w:val="clear" w:color="auto" w:fill="E1EFF4" w:themeFill="accent3" w:themeFillTint="33"/>
        <w:ind w:left="360"/>
        <w:contextualSpacing/>
        <w:jc w:val="both"/>
        <w:rPr>
          <w:rFonts w:cs="Arial"/>
          <w:sz w:val="21"/>
          <w:szCs w:val="21"/>
        </w:rPr>
      </w:pPr>
      <w:r w:rsidRPr="00D159A1">
        <w:rPr>
          <w:rFonts w:cs="Arial"/>
          <w:sz w:val="21"/>
          <w:szCs w:val="21"/>
        </w:rPr>
        <w:t>The issue in this question is the liability for pure economic loss.</w:t>
      </w:r>
    </w:p>
    <w:p w:rsidR="00072C05" w:rsidRPr="00D159A1" w:rsidRDefault="00072C05" w:rsidP="00D159A1">
      <w:pPr>
        <w:pStyle w:val="Text"/>
        <w:widowControl/>
        <w:numPr>
          <w:ilvl w:val="0"/>
          <w:numId w:val="7"/>
        </w:numPr>
        <w:shd w:val="clear" w:color="auto" w:fill="E1EFF4" w:themeFill="accent3" w:themeFillTint="33"/>
        <w:spacing w:line="240" w:lineRule="auto"/>
        <w:ind w:left="360"/>
        <w:rPr>
          <w:rFonts w:asciiTheme="minorHAnsi" w:hAnsiTheme="minorHAnsi" w:cs="Arial"/>
          <w:color w:val="auto"/>
          <w:sz w:val="21"/>
          <w:szCs w:val="21"/>
        </w:rPr>
      </w:pPr>
      <w:r w:rsidRPr="00D159A1">
        <w:rPr>
          <w:rFonts w:asciiTheme="minorHAnsi" w:hAnsiTheme="minorHAnsi" w:cs="Arial"/>
          <w:color w:val="auto"/>
          <w:sz w:val="21"/>
          <w:szCs w:val="21"/>
        </w:rPr>
        <w:t xml:space="preserve">Claims on the basis of a statement having been negligently made, prior to case law in 1964, had to be made in the tort of deceit and required that the defendant had acted dishonestly, rather than just negligently. </w:t>
      </w:r>
    </w:p>
    <w:p w:rsidR="00072C05" w:rsidRPr="00D159A1" w:rsidRDefault="00072C05" w:rsidP="00D159A1">
      <w:pPr>
        <w:pStyle w:val="Text"/>
        <w:widowControl/>
        <w:numPr>
          <w:ilvl w:val="0"/>
          <w:numId w:val="7"/>
        </w:numPr>
        <w:shd w:val="clear" w:color="auto" w:fill="E1EFF4" w:themeFill="accent3" w:themeFillTint="33"/>
        <w:spacing w:line="240" w:lineRule="auto"/>
        <w:ind w:left="360"/>
        <w:rPr>
          <w:rFonts w:asciiTheme="minorHAnsi" w:hAnsiTheme="minorHAnsi" w:cs="Arial"/>
          <w:color w:val="auto"/>
          <w:sz w:val="21"/>
          <w:szCs w:val="21"/>
        </w:rPr>
      </w:pPr>
      <w:r w:rsidRPr="00D159A1">
        <w:rPr>
          <w:rFonts w:asciiTheme="minorHAnsi" w:hAnsiTheme="minorHAnsi" w:cs="Arial"/>
          <w:color w:val="auto"/>
          <w:sz w:val="21"/>
          <w:szCs w:val="21"/>
        </w:rPr>
        <w:t xml:space="preserve">The law was changed </w:t>
      </w:r>
      <w:r w:rsidRPr="00D159A1">
        <w:rPr>
          <w:rStyle w:val="italic"/>
          <w:rFonts w:asciiTheme="minorHAnsi" w:hAnsiTheme="minorHAnsi" w:cs="Arial"/>
          <w:color w:val="auto"/>
          <w:sz w:val="21"/>
          <w:szCs w:val="21"/>
        </w:rPr>
        <w:t>Hedley Byrne &amp; Co. v Heller</w:t>
      </w:r>
      <w:r w:rsidRPr="00D159A1">
        <w:rPr>
          <w:rFonts w:asciiTheme="minorHAnsi" w:hAnsiTheme="minorHAnsi" w:cs="Arial"/>
          <w:color w:val="auto"/>
          <w:sz w:val="21"/>
          <w:szCs w:val="21"/>
        </w:rPr>
        <w:t xml:space="preserve">. </w:t>
      </w:r>
    </w:p>
    <w:p w:rsidR="00072C05" w:rsidRPr="00D159A1" w:rsidRDefault="00072C05" w:rsidP="00D159A1">
      <w:pPr>
        <w:pStyle w:val="Text"/>
        <w:widowControl/>
        <w:numPr>
          <w:ilvl w:val="0"/>
          <w:numId w:val="7"/>
        </w:numPr>
        <w:shd w:val="clear" w:color="auto" w:fill="E1EFF4" w:themeFill="accent3" w:themeFillTint="33"/>
        <w:spacing w:line="240" w:lineRule="auto"/>
        <w:ind w:left="360"/>
        <w:rPr>
          <w:rFonts w:asciiTheme="minorHAnsi" w:hAnsiTheme="minorHAnsi" w:cs="Arial"/>
          <w:color w:val="auto"/>
          <w:sz w:val="21"/>
          <w:szCs w:val="21"/>
        </w:rPr>
      </w:pPr>
      <w:r w:rsidRPr="00D159A1">
        <w:rPr>
          <w:rFonts w:asciiTheme="minorHAnsi" w:hAnsiTheme="minorHAnsi" w:cs="Arial"/>
          <w:color w:val="auto"/>
          <w:sz w:val="21"/>
          <w:szCs w:val="21"/>
        </w:rPr>
        <w:t xml:space="preserve">In </w:t>
      </w:r>
      <w:r w:rsidRPr="00D159A1">
        <w:rPr>
          <w:rFonts w:asciiTheme="minorHAnsi" w:hAnsiTheme="minorHAnsi" w:cs="Arial"/>
          <w:i/>
          <w:color w:val="auto"/>
          <w:sz w:val="21"/>
          <w:szCs w:val="21"/>
        </w:rPr>
        <w:t>Hedley Byrne</w:t>
      </w:r>
      <w:r w:rsidRPr="00D159A1">
        <w:rPr>
          <w:rFonts w:asciiTheme="minorHAnsi" w:hAnsiTheme="minorHAnsi" w:cs="Arial"/>
          <w:color w:val="auto"/>
          <w:sz w:val="21"/>
          <w:szCs w:val="21"/>
        </w:rPr>
        <w:t xml:space="preserve"> the House of Lords held that to establish liability in pure economic loss there must exist a ‘special relationship of proximity’ (beyond the ‘standard’ level of proximity established in </w:t>
      </w:r>
      <w:r w:rsidRPr="00D159A1">
        <w:rPr>
          <w:rStyle w:val="italic"/>
          <w:rFonts w:asciiTheme="minorHAnsi" w:hAnsiTheme="minorHAnsi" w:cs="Arial"/>
          <w:color w:val="auto"/>
          <w:sz w:val="21"/>
          <w:szCs w:val="21"/>
        </w:rPr>
        <w:t>Donoghue v Stevenson</w:t>
      </w:r>
      <w:r w:rsidRPr="00D159A1">
        <w:rPr>
          <w:rFonts w:asciiTheme="minorHAnsi" w:hAnsiTheme="minorHAnsi" w:cs="Arial"/>
          <w:color w:val="auto"/>
          <w:sz w:val="21"/>
          <w:szCs w:val="21"/>
        </w:rPr>
        <w:t xml:space="preserve">) between the parties and this would enable a claim (in theory). </w:t>
      </w:r>
    </w:p>
    <w:p w:rsidR="00072C05" w:rsidRPr="00D159A1" w:rsidRDefault="00072C05" w:rsidP="00D159A1">
      <w:pPr>
        <w:pStyle w:val="Text"/>
        <w:widowControl/>
        <w:numPr>
          <w:ilvl w:val="0"/>
          <w:numId w:val="7"/>
        </w:numPr>
        <w:shd w:val="clear" w:color="auto" w:fill="E1EFF4" w:themeFill="accent3" w:themeFillTint="33"/>
        <w:spacing w:line="240" w:lineRule="auto"/>
        <w:ind w:left="360"/>
        <w:rPr>
          <w:rFonts w:asciiTheme="minorHAnsi" w:hAnsiTheme="minorHAnsi" w:cs="Arial"/>
          <w:color w:val="auto"/>
          <w:sz w:val="21"/>
          <w:szCs w:val="21"/>
        </w:rPr>
      </w:pPr>
      <w:r w:rsidRPr="00D159A1">
        <w:rPr>
          <w:rFonts w:asciiTheme="minorHAnsi" w:hAnsiTheme="minorHAnsi" w:cs="Arial"/>
          <w:color w:val="auto"/>
          <w:sz w:val="21"/>
          <w:szCs w:val="21"/>
        </w:rPr>
        <w:t xml:space="preserve">The problem (for the claimant) in </w:t>
      </w:r>
      <w:r w:rsidRPr="00D159A1">
        <w:rPr>
          <w:rFonts w:asciiTheme="minorHAnsi" w:hAnsiTheme="minorHAnsi" w:cs="Arial"/>
          <w:i/>
          <w:color w:val="auto"/>
          <w:sz w:val="21"/>
          <w:szCs w:val="21"/>
        </w:rPr>
        <w:t>Hedley Byrne</w:t>
      </w:r>
      <w:r w:rsidRPr="00D159A1">
        <w:rPr>
          <w:rFonts w:asciiTheme="minorHAnsi" w:hAnsiTheme="minorHAnsi" w:cs="Arial"/>
          <w:color w:val="auto"/>
          <w:sz w:val="21"/>
          <w:szCs w:val="21"/>
        </w:rPr>
        <w:t xml:space="preserve"> was the bank’s use of an exclusion clause, disclaiming responsibility for any losses due to the statement, which prevented the damages action succeeding (although the point of law regarding the possibility of claims remained). However, such a disclaimer if used today would have to satisfy the requirements of the Unfair Contract Terms Act 1977 as being reasonable. So a business may not always be able to evade liability by the inclusion of a disclaimer.</w:t>
      </w:r>
    </w:p>
    <w:p w:rsidR="00072C05" w:rsidRPr="00D159A1" w:rsidRDefault="00072C05" w:rsidP="00D159A1">
      <w:pPr>
        <w:pStyle w:val="TextInd"/>
        <w:widowControl/>
        <w:numPr>
          <w:ilvl w:val="0"/>
          <w:numId w:val="7"/>
        </w:numPr>
        <w:shd w:val="clear" w:color="auto" w:fill="E1EFF4" w:themeFill="accent3" w:themeFillTint="33"/>
        <w:spacing w:line="240" w:lineRule="auto"/>
        <w:ind w:left="360"/>
        <w:rPr>
          <w:rFonts w:asciiTheme="minorHAnsi" w:hAnsiTheme="minorHAnsi" w:cs="Arial"/>
          <w:color w:val="auto"/>
          <w:sz w:val="21"/>
          <w:szCs w:val="21"/>
        </w:rPr>
      </w:pPr>
      <w:r w:rsidRPr="00D159A1">
        <w:rPr>
          <w:rFonts w:asciiTheme="minorHAnsi" w:hAnsiTheme="minorHAnsi" w:cs="Arial"/>
          <w:color w:val="auto"/>
          <w:sz w:val="21"/>
          <w:szCs w:val="21"/>
        </w:rPr>
        <w:t xml:space="preserve">It may be worth considering the distinction between </w:t>
      </w:r>
      <w:r w:rsidRPr="00D159A1">
        <w:rPr>
          <w:rFonts w:asciiTheme="minorHAnsi" w:hAnsiTheme="minorHAnsi" w:cs="Arial"/>
          <w:i/>
          <w:color w:val="auto"/>
          <w:sz w:val="21"/>
          <w:szCs w:val="21"/>
        </w:rPr>
        <w:t>Hedley Byrne</w:t>
      </w:r>
      <w:r w:rsidRPr="00D159A1">
        <w:rPr>
          <w:rFonts w:asciiTheme="minorHAnsi" w:hAnsiTheme="minorHAnsi" w:cs="Arial"/>
          <w:color w:val="auto"/>
          <w:sz w:val="21"/>
          <w:szCs w:val="21"/>
        </w:rPr>
        <w:t xml:space="preserve"> and </w:t>
      </w:r>
      <w:r w:rsidRPr="00D159A1">
        <w:rPr>
          <w:rStyle w:val="italic"/>
          <w:rFonts w:asciiTheme="minorHAnsi" w:hAnsiTheme="minorHAnsi" w:cs="Arial"/>
          <w:color w:val="auto"/>
          <w:sz w:val="21"/>
          <w:szCs w:val="21"/>
        </w:rPr>
        <w:t>Caparo Industries Plc. v Dickman and Others</w:t>
      </w:r>
      <w:r w:rsidRPr="00D159A1">
        <w:rPr>
          <w:rFonts w:asciiTheme="minorHAnsi" w:hAnsiTheme="minorHAnsi" w:cs="Arial"/>
          <w:color w:val="auto"/>
          <w:sz w:val="21"/>
          <w:szCs w:val="21"/>
        </w:rPr>
        <w:t xml:space="preserve"> and how the Lords established the factors necessary for the imposition of liability in these cases:</w:t>
      </w:r>
    </w:p>
    <w:p w:rsidR="00072C05" w:rsidRPr="00D159A1" w:rsidRDefault="00072C05" w:rsidP="00D159A1">
      <w:pPr>
        <w:pStyle w:val="TextInd"/>
        <w:shd w:val="clear" w:color="auto" w:fill="E1EFF4" w:themeFill="accent3" w:themeFillTint="33"/>
        <w:spacing w:line="240" w:lineRule="auto"/>
        <w:ind w:firstLine="0"/>
        <w:rPr>
          <w:rFonts w:asciiTheme="minorHAnsi" w:hAnsiTheme="minorHAnsi" w:cs="Arial"/>
          <w:color w:val="auto"/>
          <w:sz w:val="21"/>
          <w:szCs w:val="21"/>
        </w:rPr>
      </w:pPr>
    </w:p>
    <w:p w:rsidR="00072C05" w:rsidRPr="00D159A1" w:rsidRDefault="00072C05" w:rsidP="00D159A1">
      <w:pPr>
        <w:pStyle w:val="NList1"/>
        <w:shd w:val="clear" w:color="auto" w:fill="E1EFF4" w:themeFill="accent3" w:themeFillTint="33"/>
        <w:tabs>
          <w:tab w:val="left" w:pos="380"/>
        </w:tabs>
        <w:spacing w:before="0" w:line="240" w:lineRule="auto"/>
        <w:ind w:left="720" w:hanging="360"/>
        <w:rPr>
          <w:rFonts w:asciiTheme="minorHAnsi" w:hAnsiTheme="minorHAnsi" w:cs="Arial"/>
          <w:color w:val="auto"/>
          <w:sz w:val="21"/>
          <w:szCs w:val="21"/>
        </w:rPr>
      </w:pPr>
      <w:r w:rsidRPr="00D159A1">
        <w:rPr>
          <w:rStyle w:val="ListNum"/>
          <w:rFonts w:asciiTheme="minorHAnsi" w:hAnsiTheme="minorHAnsi" w:cs="Arial"/>
          <w:color w:val="auto"/>
          <w:sz w:val="21"/>
          <w:szCs w:val="21"/>
        </w:rPr>
        <w:lastRenderedPageBreak/>
        <w:t>1</w:t>
      </w:r>
      <w:r w:rsidRPr="00D159A1">
        <w:rPr>
          <w:rStyle w:val="ListNum"/>
          <w:rFonts w:asciiTheme="minorHAnsi" w:hAnsiTheme="minorHAnsi" w:cs="Arial"/>
          <w:color w:val="auto"/>
          <w:sz w:val="21"/>
          <w:szCs w:val="21"/>
        </w:rPr>
        <w:tab/>
      </w:r>
      <w:r w:rsidRPr="00D159A1">
        <w:rPr>
          <w:rFonts w:asciiTheme="minorHAnsi" w:hAnsiTheme="minorHAnsi" w:cs="Arial"/>
          <w:color w:val="auto"/>
          <w:sz w:val="21"/>
          <w:szCs w:val="21"/>
        </w:rPr>
        <w:t>the advice is required for a purpose which is made known, either actually or inferentially, to the adviser at the time when the advice is given;</w:t>
      </w:r>
    </w:p>
    <w:p w:rsidR="00072C05" w:rsidRPr="00D159A1" w:rsidRDefault="00072C05" w:rsidP="00D159A1">
      <w:pPr>
        <w:pStyle w:val="NList"/>
        <w:shd w:val="clear" w:color="auto" w:fill="E1EFF4" w:themeFill="accent3" w:themeFillTint="33"/>
        <w:tabs>
          <w:tab w:val="left" w:pos="380"/>
        </w:tabs>
        <w:spacing w:before="0" w:line="240" w:lineRule="auto"/>
        <w:ind w:left="720" w:hanging="360"/>
        <w:rPr>
          <w:rFonts w:asciiTheme="minorHAnsi" w:hAnsiTheme="minorHAnsi" w:cs="Arial"/>
          <w:color w:val="auto"/>
          <w:sz w:val="21"/>
          <w:szCs w:val="21"/>
        </w:rPr>
      </w:pPr>
      <w:r w:rsidRPr="00D159A1">
        <w:rPr>
          <w:rStyle w:val="ListNum"/>
          <w:rFonts w:asciiTheme="minorHAnsi" w:hAnsiTheme="minorHAnsi" w:cs="Arial"/>
          <w:color w:val="auto"/>
          <w:sz w:val="21"/>
          <w:szCs w:val="21"/>
        </w:rPr>
        <w:t>2</w:t>
      </w:r>
      <w:r w:rsidRPr="00D159A1">
        <w:rPr>
          <w:rStyle w:val="ListNum"/>
          <w:rFonts w:asciiTheme="minorHAnsi" w:hAnsiTheme="minorHAnsi" w:cs="Arial"/>
          <w:color w:val="auto"/>
          <w:sz w:val="21"/>
          <w:szCs w:val="21"/>
        </w:rPr>
        <w:tab/>
      </w:r>
      <w:r w:rsidRPr="00D159A1">
        <w:rPr>
          <w:rFonts w:asciiTheme="minorHAnsi" w:hAnsiTheme="minorHAnsi" w:cs="Arial"/>
          <w:color w:val="auto"/>
          <w:sz w:val="21"/>
          <w:szCs w:val="21"/>
        </w:rPr>
        <w:t>the adviser knows that his advice will be communicated to the advisee, either specifically or as a member of an ascertainable class, in order that it should be used by the advisee for that purpose;</w:t>
      </w:r>
    </w:p>
    <w:p w:rsidR="00072C05" w:rsidRPr="00D159A1" w:rsidRDefault="00072C05" w:rsidP="00D159A1">
      <w:pPr>
        <w:pStyle w:val="NList"/>
        <w:shd w:val="clear" w:color="auto" w:fill="E1EFF4" w:themeFill="accent3" w:themeFillTint="33"/>
        <w:tabs>
          <w:tab w:val="left" w:pos="380"/>
        </w:tabs>
        <w:spacing w:before="0" w:line="240" w:lineRule="auto"/>
        <w:ind w:left="720" w:hanging="360"/>
        <w:rPr>
          <w:rFonts w:asciiTheme="minorHAnsi" w:hAnsiTheme="minorHAnsi" w:cs="Arial"/>
          <w:color w:val="auto"/>
          <w:sz w:val="21"/>
          <w:szCs w:val="21"/>
        </w:rPr>
      </w:pPr>
      <w:r w:rsidRPr="00D159A1">
        <w:rPr>
          <w:rStyle w:val="ListNum"/>
          <w:rFonts w:asciiTheme="minorHAnsi" w:hAnsiTheme="minorHAnsi" w:cs="Arial"/>
          <w:color w:val="auto"/>
          <w:sz w:val="21"/>
          <w:szCs w:val="21"/>
        </w:rPr>
        <w:t>3</w:t>
      </w:r>
      <w:r w:rsidRPr="00D159A1">
        <w:rPr>
          <w:rStyle w:val="ListNum"/>
          <w:rFonts w:asciiTheme="minorHAnsi" w:hAnsiTheme="minorHAnsi" w:cs="Arial"/>
          <w:color w:val="auto"/>
          <w:sz w:val="21"/>
          <w:szCs w:val="21"/>
        </w:rPr>
        <w:tab/>
      </w:r>
      <w:r w:rsidRPr="00D159A1">
        <w:rPr>
          <w:rFonts w:asciiTheme="minorHAnsi" w:hAnsiTheme="minorHAnsi" w:cs="Arial"/>
          <w:color w:val="auto"/>
          <w:sz w:val="21"/>
          <w:szCs w:val="21"/>
        </w:rPr>
        <w:t>it is known that the advice so communicated is likely to be acted upon by the advisee for that purpose without independent inquiry; and</w:t>
      </w:r>
    </w:p>
    <w:p w:rsidR="00072C05" w:rsidRPr="00D159A1" w:rsidRDefault="00072C05" w:rsidP="00D159A1">
      <w:pPr>
        <w:pStyle w:val="NList2"/>
        <w:shd w:val="clear" w:color="auto" w:fill="E1EFF4" w:themeFill="accent3" w:themeFillTint="33"/>
        <w:tabs>
          <w:tab w:val="left" w:pos="380"/>
        </w:tabs>
        <w:spacing w:before="0" w:after="0" w:line="240" w:lineRule="auto"/>
        <w:ind w:left="720" w:hanging="360"/>
        <w:rPr>
          <w:rFonts w:asciiTheme="minorHAnsi" w:hAnsiTheme="minorHAnsi" w:cs="Arial"/>
          <w:color w:val="auto"/>
          <w:sz w:val="21"/>
          <w:szCs w:val="21"/>
        </w:rPr>
      </w:pPr>
      <w:r w:rsidRPr="00D159A1">
        <w:rPr>
          <w:rStyle w:val="ListNum"/>
          <w:rFonts w:asciiTheme="minorHAnsi" w:hAnsiTheme="minorHAnsi" w:cs="Arial"/>
          <w:color w:val="auto"/>
          <w:sz w:val="21"/>
          <w:szCs w:val="21"/>
        </w:rPr>
        <w:t>4</w:t>
      </w:r>
      <w:r w:rsidRPr="00D159A1">
        <w:rPr>
          <w:rStyle w:val="ListNum"/>
          <w:rFonts w:asciiTheme="minorHAnsi" w:hAnsiTheme="minorHAnsi" w:cs="Arial"/>
          <w:color w:val="auto"/>
          <w:sz w:val="21"/>
          <w:szCs w:val="21"/>
        </w:rPr>
        <w:tab/>
      </w:r>
      <w:r w:rsidRPr="00D159A1">
        <w:rPr>
          <w:rFonts w:asciiTheme="minorHAnsi" w:hAnsiTheme="minorHAnsi" w:cs="Arial"/>
          <w:color w:val="auto"/>
          <w:sz w:val="21"/>
          <w:szCs w:val="21"/>
        </w:rPr>
        <w:t>it is so acted upon by the advisee to his detriment.</w:t>
      </w:r>
    </w:p>
    <w:p w:rsidR="00072C05" w:rsidRPr="00D159A1" w:rsidRDefault="00072C05" w:rsidP="00D159A1">
      <w:pPr>
        <w:pStyle w:val="NList2"/>
        <w:shd w:val="clear" w:color="auto" w:fill="E1EFF4" w:themeFill="accent3" w:themeFillTint="33"/>
        <w:tabs>
          <w:tab w:val="left" w:pos="380"/>
        </w:tabs>
        <w:spacing w:before="0" w:after="0" w:line="240" w:lineRule="auto"/>
        <w:ind w:left="0"/>
        <w:rPr>
          <w:rFonts w:asciiTheme="minorHAnsi" w:hAnsiTheme="minorHAnsi" w:cs="Arial"/>
          <w:color w:val="auto"/>
          <w:sz w:val="21"/>
          <w:szCs w:val="21"/>
        </w:rPr>
      </w:pPr>
    </w:p>
    <w:p w:rsidR="00072C05" w:rsidRPr="00D159A1" w:rsidRDefault="00072C05" w:rsidP="00D159A1">
      <w:pPr>
        <w:pStyle w:val="Text"/>
        <w:widowControl/>
        <w:numPr>
          <w:ilvl w:val="0"/>
          <w:numId w:val="9"/>
        </w:numPr>
        <w:shd w:val="clear" w:color="auto" w:fill="E1EFF4" w:themeFill="accent3" w:themeFillTint="33"/>
        <w:spacing w:line="240" w:lineRule="auto"/>
        <w:ind w:left="360"/>
        <w:rPr>
          <w:rFonts w:asciiTheme="minorHAnsi" w:hAnsiTheme="minorHAnsi" w:cs="Arial"/>
          <w:color w:val="auto"/>
          <w:sz w:val="21"/>
          <w:szCs w:val="21"/>
        </w:rPr>
      </w:pPr>
      <w:r w:rsidRPr="00D159A1">
        <w:rPr>
          <w:rFonts w:asciiTheme="minorHAnsi" w:hAnsiTheme="minorHAnsi" w:cs="Arial"/>
          <w:color w:val="auto"/>
          <w:sz w:val="21"/>
          <w:szCs w:val="21"/>
        </w:rPr>
        <w:t xml:space="preserve">In </w:t>
      </w:r>
      <w:r w:rsidRPr="00D159A1">
        <w:rPr>
          <w:rStyle w:val="italic"/>
          <w:rFonts w:asciiTheme="minorHAnsi" w:hAnsiTheme="minorHAnsi" w:cs="Arial"/>
          <w:color w:val="auto"/>
          <w:sz w:val="21"/>
          <w:szCs w:val="21"/>
        </w:rPr>
        <w:t>Yorkshire Enterprise Ltd v Robson Rhodes</w:t>
      </w:r>
      <w:r w:rsidRPr="00D159A1">
        <w:rPr>
          <w:rFonts w:asciiTheme="minorHAnsi" w:hAnsiTheme="minorHAnsi" w:cs="Arial"/>
          <w:color w:val="auto"/>
          <w:sz w:val="21"/>
          <w:szCs w:val="21"/>
        </w:rPr>
        <w:t>, it was held the following points should be considered before establishing liability:</w:t>
      </w:r>
    </w:p>
    <w:p w:rsidR="00896E8C" w:rsidRPr="00D159A1" w:rsidRDefault="00896E8C" w:rsidP="00D159A1">
      <w:pPr>
        <w:pStyle w:val="Text"/>
        <w:widowControl/>
        <w:shd w:val="clear" w:color="auto" w:fill="E1EFF4" w:themeFill="accent3" w:themeFillTint="33"/>
        <w:spacing w:line="240" w:lineRule="auto"/>
        <w:rPr>
          <w:rFonts w:asciiTheme="minorHAnsi" w:hAnsiTheme="minorHAnsi" w:cs="Arial"/>
          <w:color w:val="auto"/>
          <w:sz w:val="21"/>
          <w:szCs w:val="21"/>
        </w:rPr>
      </w:pPr>
    </w:p>
    <w:p w:rsidR="00072C05" w:rsidRPr="00D159A1" w:rsidRDefault="00072C05" w:rsidP="00D159A1">
      <w:pPr>
        <w:pStyle w:val="NList1"/>
        <w:shd w:val="clear" w:color="auto" w:fill="E1EFF4" w:themeFill="accent3" w:themeFillTint="33"/>
        <w:tabs>
          <w:tab w:val="left" w:pos="380"/>
        </w:tabs>
        <w:spacing w:before="0" w:line="240" w:lineRule="auto"/>
        <w:ind w:left="720" w:hanging="360"/>
        <w:rPr>
          <w:rFonts w:asciiTheme="minorHAnsi" w:hAnsiTheme="minorHAnsi" w:cs="Arial"/>
          <w:color w:val="auto"/>
          <w:sz w:val="21"/>
          <w:szCs w:val="21"/>
        </w:rPr>
      </w:pPr>
      <w:r w:rsidRPr="00D159A1">
        <w:rPr>
          <w:rStyle w:val="ListNum"/>
          <w:rFonts w:asciiTheme="minorHAnsi" w:hAnsiTheme="minorHAnsi" w:cs="Arial"/>
          <w:color w:val="auto"/>
          <w:sz w:val="21"/>
          <w:szCs w:val="21"/>
        </w:rPr>
        <w:t>1</w:t>
      </w:r>
      <w:r w:rsidRPr="00D159A1">
        <w:rPr>
          <w:rStyle w:val="ListNum"/>
          <w:rFonts w:asciiTheme="minorHAnsi" w:hAnsiTheme="minorHAnsi" w:cs="Arial"/>
          <w:color w:val="auto"/>
          <w:sz w:val="21"/>
          <w:szCs w:val="21"/>
        </w:rPr>
        <w:tab/>
      </w:r>
      <w:r w:rsidRPr="00D159A1">
        <w:rPr>
          <w:rFonts w:asciiTheme="minorHAnsi" w:hAnsiTheme="minorHAnsi" w:cs="Arial"/>
          <w:color w:val="auto"/>
          <w:sz w:val="21"/>
          <w:szCs w:val="21"/>
        </w:rPr>
        <w:t>There must have been negligence when the statement was made.</w:t>
      </w:r>
    </w:p>
    <w:p w:rsidR="00072C05" w:rsidRPr="00D159A1" w:rsidRDefault="00072C05" w:rsidP="00D159A1">
      <w:pPr>
        <w:pStyle w:val="NList"/>
        <w:shd w:val="clear" w:color="auto" w:fill="E1EFF4" w:themeFill="accent3" w:themeFillTint="33"/>
        <w:tabs>
          <w:tab w:val="left" w:pos="380"/>
        </w:tabs>
        <w:spacing w:before="0" w:line="240" w:lineRule="auto"/>
        <w:ind w:left="720" w:hanging="360"/>
        <w:rPr>
          <w:rFonts w:asciiTheme="minorHAnsi" w:hAnsiTheme="minorHAnsi" w:cs="Arial"/>
          <w:color w:val="auto"/>
          <w:sz w:val="21"/>
          <w:szCs w:val="21"/>
        </w:rPr>
      </w:pPr>
      <w:r w:rsidRPr="00D159A1">
        <w:rPr>
          <w:rStyle w:val="ListNum"/>
          <w:rFonts w:asciiTheme="minorHAnsi" w:hAnsiTheme="minorHAnsi" w:cs="Arial"/>
          <w:color w:val="auto"/>
          <w:sz w:val="21"/>
          <w:szCs w:val="21"/>
        </w:rPr>
        <w:t>2</w:t>
      </w:r>
      <w:r w:rsidRPr="00D159A1">
        <w:rPr>
          <w:rStyle w:val="ListNum"/>
          <w:rFonts w:asciiTheme="minorHAnsi" w:hAnsiTheme="minorHAnsi" w:cs="Arial"/>
          <w:color w:val="auto"/>
          <w:sz w:val="21"/>
          <w:szCs w:val="21"/>
        </w:rPr>
        <w:tab/>
      </w:r>
      <w:r w:rsidRPr="00D159A1">
        <w:rPr>
          <w:rFonts w:asciiTheme="minorHAnsi" w:hAnsiTheme="minorHAnsi" w:cs="Arial"/>
          <w:color w:val="auto"/>
          <w:sz w:val="21"/>
          <w:szCs w:val="21"/>
        </w:rPr>
        <w:t>The statement must be given by an expert acting in the course of his/her expertise.</w:t>
      </w:r>
    </w:p>
    <w:p w:rsidR="00072C05" w:rsidRPr="00D159A1" w:rsidRDefault="00072C05" w:rsidP="00D159A1">
      <w:pPr>
        <w:pStyle w:val="NList"/>
        <w:shd w:val="clear" w:color="auto" w:fill="E1EFF4" w:themeFill="accent3" w:themeFillTint="33"/>
        <w:tabs>
          <w:tab w:val="left" w:pos="380"/>
        </w:tabs>
        <w:spacing w:before="0" w:line="240" w:lineRule="auto"/>
        <w:ind w:left="720" w:hanging="360"/>
        <w:rPr>
          <w:rFonts w:asciiTheme="minorHAnsi" w:hAnsiTheme="minorHAnsi" w:cs="Arial"/>
          <w:color w:val="auto"/>
          <w:sz w:val="21"/>
          <w:szCs w:val="21"/>
        </w:rPr>
      </w:pPr>
      <w:r w:rsidRPr="00D159A1">
        <w:rPr>
          <w:rStyle w:val="ListNum"/>
          <w:rFonts w:asciiTheme="minorHAnsi" w:hAnsiTheme="minorHAnsi" w:cs="Arial"/>
          <w:color w:val="auto"/>
          <w:sz w:val="21"/>
          <w:szCs w:val="21"/>
        </w:rPr>
        <w:t>3</w:t>
      </w:r>
      <w:r w:rsidRPr="00D159A1">
        <w:rPr>
          <w:rStyle w:val="ListNum"/>
          <w:rFonts w:asciiTheme="minorHAnsi" w:hAnsiTheme="minorHAnsi" w:cs="Arial"/>
          <w:color w:val="auto"/>
          <w:sz w:val="21"/>
          <w:szCs w:val="21"/>
        </w:rPr>
        <w:tab/>
      </w:r>
      <w:r w:rsidRPr="00D159A1">
        <w:rPr>
          <w:rFonts w:asciiTheme="minorHAnsi" w:hAnsiTheme="minorHAnsi" w:cs="Arial"/>
          <w:color w:val="auto"/>
          <w:sz w:val="21"/>
          <w:szCs w:val="21"/>
        </w:rPr>
        <w:t>There must be a duty of care owed to the person who acts on the statement–an assumption of responsibility.</w:t>
      </w:r>
    </w:p>
    <w:p w:rsidR="00072C05" w:rsidRPr="00D159A1" w:rsidRDefault="00072C05" w:rsidP="00D159A1">
      <w:pPr>
        <w:pStyle w:val="NList"/>
        <w:shd w:val="clear" w:color="auto" w:fill="E1EFF4" w:themeFill="accent3" w:themeFillTint="33"/>
        <w:tabs>
          <w:tab w:val="left" w:pos="380"/>
        </w:tabs>
        <w:spacing w:before="0" w:line="240" w:lineRule="auto"/>
        <w:ind w:left="720" w:hanging="360"/>
        <w:rPr>
          <w:rFonts w:asciiTheme="minorHAnsi" w:hAnsiTheme="minorHAnsi" w:cs="Arial"/>
          <w:color w:val="auto"/>
          <w:sz w:val="21"/>
          <w:szCs w:val="21"/>
        </w:rPr>
      </w:pPr>
      <w:r w:rsidRPr="00D159A1">
        <w:rPr>
          <w:rStyle w:val="ListNum"/>
          <w:rFonts w:asciiTheme="minorHAnsi" w:hAnsiTheme="minorHAnsi" w:cs="Arial"/>
          <w:color w:val="auto"/>
          <w:sz w:val="21"/>
          <w:szCs w:val="21"/>
        </w:rPr>
        <w:t>4</w:t>
      </w:r>
      <w:r w:rsidRPr="00D159A1">
        <w:rPr>
          <w:rStyle w:val="ListNum"/>
          <w:rFonts w:asciiTheme="minorHAnsi" w:hAnsiTheme="minorHAnsi" w:cs="Arial"/>
          <w:color w:val="auto"/>
          <w:sz w:val="21"/>
          <w:szCs w:val="21"/>
        </w:rPr>
        <w:tab/>
      </w:r>
      <w:r w:rsidRPr="00D159A1">
        <w:rPr>
          <w:rFonts w:asciiTheme="minorHAnsi" w:hAnsiTheme="minorHAnsi" w:cs="Arial"/>
          <w:color w:val="auto"/>
          <w:sz w:val="21"/>
          <w:szCs w:val="21"/>
        </w:rPr>
        <w:t>There must be reliance on the statement by the persons to whom it was addressed.</w:t>
      </w:r>
    </w:p>
    <w:p w:rsidR="00072C05" w:rsidRPr="00D159A1" w:rsidRDefault="00072C05" w:rsidP="00D159A1">
      <w:pPr>
        <w:pStyle w:val="NList"/>
        <w:shd w:val="clear" w:color="auto" w:fill="E1EFF4" w:themeFill="accent3" w:themeFillTint="33"/>
        <w:tabs>
          <w:tab w:val="left" w:pos="380"/>
        </w:tabs>
        <w:spacing w:before="0" w:line="240" w:lineRule="auto"/>
        <w:ind w:left="720" w:hanging="360"/>
        <w:rPr>
          <w:rFonts w:asciiTheme="minorHAnsi" w:hAnsiTheme="minorHAnsi" w:cs="Arial"/>
          <w:color w:val="auto"/>
          <w:sz w:val="21"/>
          <w:szCs w:val="21"/>
        </w:rPr>
      </w:pPr>
      <w:r w:rsidRPr="00D159A1">
        <w:rPr>
          <w:rStyle w:val="ListNum"/>
          <w:rFonts w:asciiTheme="minorHAnsi" w:hAnsiTheme="minorHAnsi" w:cs="Arial"/>
          <w:color w:val="auto"/>
          <w:sz w:val="21"/>
          <w:szCs w:val="21"/>
        </w:rPr>
        <w:t>5</w:t>
      </w:r>
      <w:r w:rsidRPr="00D159A1">
        <w:rPr>
          <w:rStyle w:val="ListNum"/>
          <w:rFonts w:asciiTheme="minorHAnsi" w:hAnsiTheme="minorHAnsi" w:cs="Arial"/>
          <w:color w:val="auto"/>
          <w:sz w:val="21"/>
          <w:szCs w:val="21"/>
        </w:rPr>
        <w:tab/>
      </w:r>
      <w:r w:rsidRPr="00D159A1">
        <w:rPr>
          <w:rFonts w:asciiTheme="minorHAnsi" w:hAnsiTheme="minorHAnsi" w:cs="Arial"/>
          <w:color w:val="auto"/>
          <w:sz w:val="21"/>
          <w:szCs w:val="21"/>
        </w:rPr>
        <w:t>There must be foreseeable loss arising out of the reliance.</w:t>
      </w:r>
    </w:p>
    <w:p w:rsidR="00072C05" w:rsidRPr="00D159A1" w:rsidRDefault="00072C05" w:rsidP="00D159A1">
      <w:pPr>
        <w:pStyle w:val="NList2"/>
        <w:shd w:val="clear" w:color="auto" w:fill="E1EFF4" w:themeFill="accent3" w:themeFillTint="33"/>
        <w:tabs>
          <w:tab w:val="left" w:pos="380"/>
        </w:tabs>
        <w:spacing w:before="0" w:after="0" w:line="240" w:lineRule="auto"/>
        <w:ind w:left="720" w:hanging="360"/>
        <w:rPr>
          <w:rFonts w:asciiTheme="minorHAnsi" w:hAnsiTheme="minorHAnsi" w:cs="Arial"/>
          <w:color w:val="auto"/>
          <w:sz w:val="21"/>
          <w:szCs w:val="21"/>
        </w:rPr>
      </w:pPr>
      <w:r w:rsidRPr="00D159A1">
        <w:rPr>
          <w:rStyle w:val="ListNum"/>
          <w:rFonts w:asciiTheme="minorHAnsi" w:hAnsiTheme="minorHAnsi" w:cs="Arial"/>
          <w:color w:val="auto"/>
          <w:sz w:val="21"/>
          <w:szCs w:val="21"/>
        </w:rPr>
        <w:t>6</w:t>
      </w:r>
      <w:r w:rsidRPr="00D159A1">
        <w:rPr>
          <w:rStyle w:val="ListNum"/>
          <w:rFonts w:asciiTheme="minorHAnsi" w:hAnsiTheme="minorHAnsi" w:cs="Arial"/>
          <w:color w:val="auto"/>
          <w:sz w:val="21"/>
          <w:szCs w:val="21"/>
        </w:rPr>
        <w:tab/>
      </w:r>
      <w:r w:rsidRPr="00D159A1">
        <w:rPr>
          <w:rFonts w:asciiTheme="minorHAnsi" w:hAnsiTheme="minorHAnsi" w:cs="Arial"/>
          <w:color w:val="auto"/>
          <w:sz w:val="21"/>
          <w:szCs w:val="21"/>
        </w:rPr>
        <w:t xml:space="preserve">Following </w:t>
      </w:r>
      <w:r w:rsidRPr="00D159A1">
        <w:rPr>
          <w:rStyle w:val="italic"/>
          <w:rFonts w:asciiTheme="minorHAnsi" w:hAnsiTheme="minorHAnsi" w:cs="Arial"/>
          <w:color w:val="auto"/>
          <w:sz w:val="21"/>
          <w:szCs w:val="21"/>
        </w:rPr>
        <w:t>Caparo</w:t>
      </w:r>
      <w:r w:rsidRPr="00D159A1">
        <w:rPr>
          <w:rFonts w:asciiTheme="minorHAnsi" w:hAnsiTheme="minorHAnsi" w:cs="Arial"/>
          <w:color w:val="auto"/>
          <w:sz w:val="21"/>
          <w:szCs w:val="21"/>
        </w:rPr>
        <w:t>, it must be fair, just, and equitable to impose the duty.</w:t>
      </w:r>
    </w:p>
    <w:p w:rsidR="00896E8C" w:rsidRPr="00D159A1" w:rsidRDefault="00896E8C" w:rsidP="00D159A1">
      <w:pPr>
        <w:pStyle w:val="NList2"/>
        <w:shd w:val="clear" w:color="auto" w:fill="E1EFF4" w:themeFill="accent3" w:themeFillTint="33"/>
        <w:tabs>
          <w:tab w:val="left" w:pos="380"/>
        </w:tabs>
        <w:spacing w:before="0" w:after="0" w:line="240" w:lineRule="auto"/>
        <w:ind w:left="720" w:hanging="360"/>
        <w:rPr>
          <w:rFonts w:asciiTheme="minorHAnsi" w:hAnsiTheme="minorHAnsi" w:cs="Arial"/>
          <w:color w:val="auto"/>
          <w:sz w:val="21"/>
          <w:szCs w:val="21"/>
        </w:rPr>
      </w:pPr>
    </w:p>
    <w:p w:rsidR="00072C05" w:rsidRPr="00D159A1" w:rsidRDefault="00072C05" w:rsidP="00D159A1">
      <w:pPr>
        <w:pStyle w:val="Text"/>
        <w:widowControl/>
        <w:numPr>
          <w:ilvl w:val="0"/>
          <w:numId w:val="9"/>
        </w:numPr>
        <w:shd w:val="clear" w:color="auto" w:fill="E1EFF4" w:themeFill="accent3" w:themeFillTint="33"/>
        <w:spacing w:line="240" w:lineRule="auto"/>
        <w:ind w:left="360"/>
        <w:rPr>
          <w:rFonts w:asciiTheme="minorHAnsi" w:hAnsiTheme="minorHAnsi" w:cs="Arial"/>
          <w:color w:val="auto"/>
          <w:sz w:val="21"/>
          <w:szCs w:val="21"/>
        </w:rPr>
      </w:pPr>
      <w:r w:rsidRPr="00D159A1">
        <w:rPr>
          <w:rFonts w:asciiTheme="minorHAnsi" w:hAnsiTheme="minorHAnsi" w:cs="Arial"/>
          <w:color w:val="auto"/>
          <w:sz w:val="21"/>
          <w:szCs w:val="21"/>
        </w:rPr>
        <w:t xml:space="preserve">Note, however, that the Lords stated in </w:t>
      </w:r>
      <w:r w:rsidRPr="00D159A1">
        <w:rPr>
          <w:rStyle w:val="italic"/>
          <w:rFonts w:asciiTheme="minorHAnsi" w:hAnsiTheme="minorHAnsi" w:cs="Arial"/>
          <w:color w:val="auto"/>
          <w:sz w:val="21"/>
          <w:szCs w:val="21"/>
        </w:rPr>
        <w:t>Commissioners for Customs and Excise v Barclays Bank Plc</w:t>
      </w:r>
      <w:r w:rsidRPr="00D159A1">
        <w:rPr>
          <w:rFonts w:asciiTheme="minorHAnsi" w:hAnsiTheme="minorHAnsi" w:cs="Arial"/>
          <w:color w:val="auto"/>
          <w:sz w:val="21"/>
          <w:szCs w:val="21"/>
        </w:rPr>
        <w:t xml:space="preserve"> that the tests established in the cases above were correct and had led to justice being served, but they are specific to the cases to which they relate, and sweeping statements regarding the application of tests are not possible. The cases have to be considered on their facts.</w:t>
      </w:r>
    </w:p>
    <w:p w:rsidR="00072C05" w:rsidRPr="00D159A1" w:rsidRDefault="00072C05" w:rsidP="00D159A1">
      <w:pPr>
        <w:pStyle w:val="sum-nl-p1"/>
        <w:spacing w:line="240" w:lineRule="auto"/>
        <w:ind w:left="0" w:firstLine="0"/>
        <w:jc w:val="both"/>
        <w:rPr>
          <w:rFonts w:asciiTheme="minorHAnsi" w:hAnsiTheme="minorHAnsi" w:cs="Arial"/>
          <w:sz w:val="21"/>
          <w:szCs w:val="21"/>
        </w:rPr>
      </w:pPr>
    </w:p>
    <w:p w:rsidR="00072C05" w:rsidRPr="00D159A1" w:rsidRDefault="00072C05" w:rsidP="00896E8C">
      <w:pPr>
        <w:pStyle w:val="sum-nl"/>
        <w:spacing w:line="240" w:lineRule="auto"/>
        <w:jc w:val="both"/>
        <w:rPr>
          <w:rFonts w:asciiTheme="minorHAnsi" w:hAnsiTheme="minorHAnsi" w:cs="Arial"/>
          <w:sz w:val="21"/>
          <w:szCs w:val="21"/>
        </w:rPr>
      </w:pPr>
      <w:r w:rsidRPr="00D159A1">
        <w:rPr>
          <w:rStyle w:val="ColorBold"/>
          <w:rFonts w:asciiTheme="minorHAnsi" w:hAnsiTheme="minorHAnsi" w:cs="Arial"/>
          <w:sz w:val="21"/>
          <w:szCs w:val="21"/>
        </w:rPr>
        <w:t>2.</w:t>
      </w:r>
      <w:r w:rsidRPr="00D159A1">
        <w:rPr>
          <w:rStyle w:val="ColorBold"/>
          <w:rFonts w:asciiTheme="minorHAnsi" w:hAnsiTheme="minorHAnsi" w:cs="Arial"/>
          <w:sz w:val="21"/>
          <w:szCs w:val="21"/>
        </w:rPr>
        <w:tab/>
      </w:r>
      <w:r w:rsidRPr="00D159A1">
        <w:rPr>
          <w:rFonts w:asciiTheme="minorHAnsi" w:hAnsiTheme="minorHAnsi" w:cs="Arial"/>
          <w:sz w:val="21"/>
          <w:szCs w:val="21"/>
        </w:rPr>
        <w:t>Esteban and Jerry are commuters. They regularly caught the same train together. In this way they had become friends socially. One Monday morning, Esteban, a stockbroker, remarked to Jerry that British Bailout Ltd were an extremely attractive proposition on the stockmarket. Being a teacher, Jerry knew little about the state of the market, but expressed interest in the company’s shares. Esteban assured him that the investment would ‘make money hand over fist’. As a result, Jerry invested £1,000 in the company, which has just gone into liquidation. Jerry has lost his investment.</w:t>
      </w:r>
    </w:p>
    <w:p w:rsidR="003B6F35" w:rsidRPr="00D159A1" w:rsidRDefault="003B6F35" w:rsidP="003B6F35">
      <w:pPr>
        <w:pStyle w:val="sum-nl-p1"/>
        <w:spacing w:line="240" w:lineRule="auto"/>
        <w:ind w:left="0" w:firstLine="0"/>
        <w:jc w:val="both"/>
        <w:rPr>
          <w:rFonts w:asciiTheme="minorHAnsi" w:hAnsiTheme="minorHAnsi" w:cs="Arial"/>
          <w:sz w:val="21"/>
          <w:szCs w:val="21"/>
        </w:rPr>
      </w:pPr>
    </w:p>
    <w:p w:rsidR="00072C05" w:rsidRPr="00D159A1" w:rsidRDefault="00072C05" w:rsidP="003B6F35">
      <w:pPr>
        <w:pStyle w:val="sum-nl-p1"/>
        <w:spacing w:line="240" w:lineRule="auto"/>
        <w:ind w:left="0"/>
        <w:jc w:val="both"/>
        <w:rPr>
          <w:rFonts w:asciiTheme="minorHAnsi" w:hAnsiTheme="minorHAnsi" w:cs="Arial"/>
          <w:sz w:val="21"/>
          <w:szCs w:val="21"/>
        </w:rPr>
      </w:pPr>
      <w:r w:rsidRPr="00D159A1">
        <w:rPr>
          <w:rFonts w:asciiTheme="minorHAnsi" w:hAnsiTheme="minorHAnsi" w:cs="Arial"/>
          <w:sz w:val="21"/>
          <w:szCs w:val="21"/>
        </w:rPr>
        <w:t>Explain the potential liability of Esteban for Jerry’s economic losses.</w:t>
      </w:r>
    </w:p>
    <w:p w:rsidR="00072C05" w:rsidRPr="00D159A1" w:rsidRDefault="00072C05" w:rsidP="00896E8C">
      <w:pPr>
        <w:pStyle w:val="sum-nl-p1"/>
        <w:spacing w:line="240" w:lineRule="auto"/>
        <w:jc w:val="both"/>
        <w:rPr>
          <w:rFonts w:asciiTheme="minorHAnsi" w:hAnsiTheme="minorHAnsi" w:cs="Arial"/>
          <w:sz w:val="21"/>
          <w:szCs w:val="21"/>
        </w:rPr>
      </w:pPr>
    </w:p>
    <w:p w:rsidR="00072C05" w:rsidRPr="00D159A1" w:rsidRDefault="00072C05" w:rsidP="00D159A1">
      <w:pPr>
        <w:shd w:val="clear" w:color="auto" w:fill="E1EFF4" w:themeFill="accent3" w:themeFillTint="33"/>
        <w:jc w:val="both"/>
        <w:rPr>
          <w:rFonts w:cs="Arial"/>
          <w:b/>
          <w:sz w:val="21"/>
          <w:szCs w:val="21"/>
        </w:rPr>
      </w:pPr>
      <w:r w:rsidRPr="00D159A1">
        <w:rPr>
          <w:rFonts w:cs="Arial"/>
          <w:b/>
          <w:sz w:val="21"/>
          <w:szCs w:val="21"/>
        </w:rPr>
        <w:t>Indicative content outline answer:</w:t>
      </w:r>
    </w:p>
    <w:p w:rsidR="00072C05" w:rsidRPr="00D159A1" w:rsidRDefault="00072C05" w:rsidP="00D159A1">
      <w:pPr>
        <w:numPr>
          <w:ilvl w:val="0"/>
          <w:numId w:val="9"/>
        </w:numPr>
        <w:shd w:val="clear" w:color="auto" w:fill="E1EFF4" w:themeFill="accent3" w:themeFillTint="33"/>
        <w:ind w:left="360"/>
        <w:contextualSpacing/>
        <w:jc w:val="both"/>
        <w:rPr>
          <w:rFonts w:cs="Arial"/>
          <w:sz w:val="21"/>
          <w:szCs w:val="21"/>
        </w:rPr>
      </w:pPr>
      <w:r w:rsidRPr="00D159A1">
        <w:rPr>
          <w:rFonts w:cs="Arial"/>
          <w:sz w:val="21"/>
          <w:szCs w:val="21"/>
        </w:rPr>
        <w:t xml:space="preserve">The case is based on </w:t>
      </w:r>
      <w:r w:rsidRPr="00D159A1">
        <w:rPr>
          <w:rFonts w:cs="Arial"/>
          <w:i/>
          <w:sz w:val="21"/>
          <w:szCs w:val="21"/>
        </w:rPr>
        <w:t>Derry v Peek</w:t>
      </w:r>
      <w:r w:rsidRPr="00D159A1">
        <w:rPr>
          <w:rFonts w:cs="Arial"/>
          <w:sz w:val="21"/>
          <w:szCs w:val="21"/>
        </w:rPr>
        <w:t xml:space="preserve"> and the limitations to claiming for losses as a result of negligent misstatements.</w:t>
      </w:r>
    </w:p>
    <w:p w:rsidR="00072C05" w:rsidRPr="00D159A1" w:rsidRDefault="00072C05" w:rsidP="00D159A1">
      <w:pPr>
        <w:numPr>
          <w:ilvl w:val="0"/>
          <w:numId w:val="9"/>
        </w:numPr>
        <w:shd w:val="clear" w:color="auto" w:fill="E1EFF4" w:themeFill="accent3" w:themeFillTint="33"/>
        <w:ind w:left="360"/>
        <w:contextualSpacing/>
        <w:jc w:val="both"/>
        <w:rPr>
          <w:rFonts w:cs="Arial"/>
          <w:sz w:val="21"/>
          <w:szCs w:val="21"/>
        </w:rPr>
      </w:pPr>
      <w:r w:rsidRPr="00D159A1">
        <w:rPr>
          <w:rFonts w:cs="Arial"/>
          <w:sz w:val="21"/>
          <w:szCs w:val="21"/>
        </w:rPr>
        <w:t xml:space="preserve">In </w:t>
      </w:r>
      <w:r w:rsidRPr="00D159A1">
        <w:rPr>
          <w:rFonts w:cs="Arial"/>
          <w:i/>
          <w:sz w:val="21"/>
          <w:szCs w:val="21"/>
        </w:rPr>
        <w:t>Derry</w:t>
      </w:r>
      <w:r w:rsidRPr="00D159A1">
        <w:rPr>
          <w:rFonts w:cs="Arial"/>
          <w:sz w:val="21"/>
          <w:szCs w:val="21"/>
        </w:rPr>
        <w:t>, the directors of a company issued a prospectus stating the company was empowered to run steam trams, although the statement had been made before the Board of Trade (the regulating authority) had granted this permission.</w:t>
      </w:r>
    </w:p>
    <w:p w:rsidR="00072C05" w:rsidRPr="00D159A1" w:rsidRDefault="00072C05" w:rsidP="00D159A1">
      <w:pPr>
        <w:numPr>
          <w:ilvl w:val="0"/>
          <w:numId w:val="9"/>
        </w:numPr>
        <w:shd w:val="clear" w:color="auto" w:fill="E1EFF4" w:themeFill="accent3" w:themeFillTint="33"/>
        <w:ind w:left="360"/>
        <w:contextualSpacing/>
        <w:jc w:val="both"/>
        <w:rPr>
          <w:rFonts w:cs="Arial"/>
          <w:sz w:val="21"/>
          <w:szCs w:val="21"/>
        </w:rPr>
      </w:pPr>
      <w:r w:rsidRPr="00D159A1">
        <w:rPr>
          <w:rFonts w:cs="Arial"/>
          <w:sz w:val="21"/>
          <w:szCs w:val="21"/>
        </w:rPr>
        <w:t>The directors had acted as though the permission was a formality when it was not. When the authority refused the running of steam trams losses were incurred by people who relied on the statement – who then brought a claim for their losses.</w:t>
      </w:r>
    </w:p>
    <w:p w:rsidR="00072C05" w:rsidRPr="00D159A1" w:rsidRDefault="00072C05" w:rsidP="00D159A1">
      <w:pPr>
        <w:numPr>
          <w:ilvl w:val="0"/>
          <w:numId w:val="9"/>
        </w:numPr>
        <w:shd w:val="clear" w:color="auto" w:fill="E1EFF4" w:themeFill="accent3" w:themeFillTint="33"/>
        <w:ind w:left="360"/>
        <w:contextualSpacing/>
        <w:jc w:val="both"/>
        <w:rPr>
          <w:rFonts w:cs="Arial"/>
          <w:sz w:val="21"/>
          <w:szCs w:val="21"/>
        </w:rPr>
      </w:pPr>
      <w:r w:rsidRPr="00D159A1">
        <w:rPr>
          <w:rFonts w:cs="Arial"/>
          <w:sz w:val="21"/>
          <w:szCs w:val="21"/>
        </w:rPr>
        <w:t>The House of Lords held that the action for damages must fail. The directors honestly believed in the truth of the statement made.</w:t>
      </w:r>
    </w:p>
    <w:p w:rsidR="00072C05" w:rsidRPr="00D159A1" w:rsidRDefault="00072C05" w:rsidP="00D159A1">
      <w:pPr>
        <w:numPr>
          <w:ilvl w:val="0"/>
          <w:numId w:val="9"/>
        </w:numPr>
        <w:shd w:val="clear" w:color="auto" w:fill="E1EFF4" w:themeFill="accent3" w:themeFillTint="33"/>
        <w:ind w:left="360"/>
        <w:contextualSpacing/>
        <w:jc w:val="both"/>
        <w:rPr>
          <w:rFonts w:cs="Arial"/>
          <w:sz w:val="21"/>
          <w:szCs w:val="21"/>
        </w:rPr>
      </w:pPr>
      <w:r w:rsidRPr="00D159A1">
        <w:rPr>
          <w:rFonts w:cs="Arial"/>
          <w:sz w:val="21"/>
          <w:szCs w:val="21"/>
        </w:rPr>
        <w:t>They had not made it recklessly or without a reasonable belief in its truthfulness.</w:t>
      </w:r>
    </w:p>
    <w:p w:rsidR="00C17408" w:rsidRPr="00D159A1" w:rsidRDefault="00867E5E" w:rsidP="00D159A1">
      <w:pPr>
        <w:numPr>
          <w:ilvl w:val="0"/>
          <w:numId w:val="7"/>
        </w:numPr>
        <w:shd w:val="clear" w:color="auto" w:fill="E1EFF4" w:themeFill="accent3" w:themeFillTint="33"/>
        <w:ind w:left="360"/>
        <w:jc w:val="both"/>
        <w:rPr>
          <w:rFonts w:cs="Arial"/>
          <w:sz w:val="21"/>
          <w:szCs w:val="21"/>
        </w:rPr>
      </w:pPr>
      <w:r w:rsidRPr="00D159A1">
        <w:rPr>
          <w:rFonts w:cs="Arial"/>
          <w:sz w:val="21"/>
          <w:szCs w:val="21"/>
        </w:rPr>
        <w:t>Estaban</w:t>
      </w:r>
      <w:r w:rsidR="00072C05" w:rsidRPr="00D159A1">
        <w:rPr>
          <w:rFonts w:cs="Arial"/>
          <w:sz w:val="21"/>
          <w:szCs w:val="21"/>
        </w:rPr>
        <w:t xml:space="preserve"> did not know what Jerry would do with the information and certainly there ca</w:t>
      </w:r>
      <w:r w:rsidRPr="00D159A1">
        <w:rPr>
          <w:rFonts w:cs="Arial"/>
          <w:sz w:val="21"/>
          <w:szCs w:val="21"/>
        </w:rPr>
        <w:t>n be no liability imposed on Estaban</w:t>
      </w:r>
      <w:r w:rsidR="00072C05" w:rsidRPr="00D159A1">
        <w:rPr>
          <w:rFonts w:cs="Arial"/>
          <w:sz w:val="21"/>
          <w:szCs w:val="21"/>
        </w:rPr>
        <w:t xml:space="preserve"> for Jerry using the information provided in a social setting as ‘financial advice’ or to have established a ‘special relationship’.</w:t>
      </w:r>
    </w:p>
    <w:sectPr w:rsidR="00C17408" w:rsidRPr="00D159A1" w:rsidSect="0019209C">
      <w:headerReference w:type="default"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C47" w:rsidRDefault="00682C47" w:rsidP="00B0695D">
      <w:r>
        <w:separator/>
      </w:r>
    </w:p>
  </w:endnote>
  <w:endnote w:type="continuationSeparator" w:id="0">
    <w:p w:rsidR="00682C47" w:rsidRDefault="00682C47" w:rsidP="00B06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undo Sans Std Light Italic">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nionPro-Regular">
    <w:altName w:val="Cambria"/>
    <w:panose1 w:val="00000000000000000000"/>
    <w:charset w:val="00"/>
    <w:family w:val="auto"/>
    <w:notTrueType/>
    <w:pitch w:val="default"/>
    <w:sig w:usb0="00000003" w:usb1="00000000" w:usb2="00000000" w:usb3="00000000" w:csb0="00000001" w:csb1="00000000"/>
  </w:font>
  <w:font w:name="MinionPro-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OUP Swift">
    <w:altName w:val="Andale Mono"/>
    <w:panose1 w:val="02000503080000020004"/>
    <w:charset w:val="00"/>
    <w:family w:val="auto"/>
    <w:pitch w:val="variable"/>
    <w:sig w:usb0="80000027" w:usb1="0000004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9A1" w:rsidRPr="002F1D02" w:rsidRDefault="00D159A1" w:rsidP="00D159A1">
    <w:pPr>
      <w:tabs>
        <w:tab w:val="center" w:pos="4153"/>
        <w:tab w:val="right" w:pos="8306"/>
      </w:tabs>
      <w:jc w:val="right"/>
      <w:rPr>
        <w:rFonts w:ascii="OUP Swift" w:eastAsia="Times New Roman" w:hAnsi="OUP Swift" w:cs="Times New Roman"/>
        <w:color w:val="808080"/>
        <w:sz w:val="20"/>
        <w:szCs w:val="20"/>
        <w:lang w:eastAsia="en-GB"/>
      </w:rPr>
    </w:pPr>
    <w:r w:rsidRPr="002F1D02">
      <w:rPr>
        <w:rFonts w:ascii="OUP Swift" w:eastAsia="Times New Roman" w:hAnsi="OUP Swift" w:cs="Times New Roman"/>
        <w:noProof/>
        <w:color w:val="808080"/>
        <w:sz w:val="20"/>
        <w:szCs w:val="20"/>
        <w:lang w:eastAsia="en-GB"/>
      </w:rPr>
      <w:drawing>
        <wp:inline distT="0" distB="0" distL="0" distR="0" wp14:anchorId="04F7E1B7" wp14:editId="349AD637">
          <wp:extent cx="122301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010" cy="457200"/>
                  </a:xfrm>
                  <a:prstGeom prst="rect">
                    <a:avLst/>
                  </a:prstGeom>
                  <a:noFill/>
                  <a:ln>
                    <a:noFill/>
                  </a:ln>
                </pic:spPr>
              </pic:pic>
            </a:graphicData>
          </a:graphic>
        </wp:inline>
      </w:drawing>
    </w:r>
  </w:p>
  <w:p w:rsidR="00B0695D" w:rsidRPr="00D159A1" w:rsidRDefault="00D159A1" w:rsidP="00D159A1">
    <w:pPr>
      <w:tabs>
        <w:tab w:val="center" w:pos="4153"/>
        <w:tab w:val="right" w:pos="8306"/>
      </w:tabs>
      <w:rPr>
        <w:rFonts w:ascii="Calibri" w:eastAsia="Times New Roman" w:hAnsi="Calibri" w:cs="Times New Roman"/>
        <w:color w:val="808080"/>
        <w:sz w:val="20"/>
        <w:szCs w:val="20"/>
        <w:lang w:eastAsia="en-GB"/>
      </w:rPr>
    </w:pPr>
    <w:r w:rsidRPr="002F1D02">
      <w:rPr>
        <w:rFonts w:ascii="Calibri" w:eastAsia="Times New Roman" w:hAnsi="Calibri" w:cs="Times New Roman"/>
        <w:color w:val="808080"/>
        <w:sz w:val="20"/>
        <w:szCs w:val="20"/>
        <w:lang w:eastAsia="en-GB"/>
      </w:rPr>
      <w:t xml:space="preserve">© </w:t>
    </w:r>
    <w:r>
      <w:rPr>
        <w:rFonts w:ascii="Calibri" w:eastAsia="Times New Roman" w:hAnsi="Calibri" w:cs="Times New Roman"/>
        <w:color w:val="808080"/>
        <w:sz w:val="20"/>
        <w:szCs w:val="20"/>
        <w:lang w:eastAsia="en-GB"/>
      </w:rPr>
      <w:t>Oxford University Press</w:t>
    </w:r>
    <w:r w:rsidRPr="002F1D02">
      <w:rPr>
        <w:rFonts w:ascii="Calibri" w:eastAsia="Times New Roman" w:hAnsi="Calibri" w:cs="Times New Roman"/>
        <w:color w:val="808080"/>
        <w:sz w:val="20"/>
        <w:szCs w:val="20"/>
        <w:lang w:eastAsia="en-GB"/>
      </w:rPr>
      <w:t xml:space="preserve">, </w:t>
    </w:r>
    <w:r w:rsidR="00002F86">
      <w:rPr>
        <w:rFonts w:ascii="Calibri" w:eastAsia="Times New Roman" w:hAnsi="Calibri" w:cs="Times New Roman"/>
        <w:color w:val="808080"/>
        <w:sz w:val="20"/>
        <w:szCs w:val="20"/>
        <w:lang w:eastAsia="en-GB"/>
      </w:rPr>
      <w:t>2020</w:t>
    </w:r>
    <w:r w:rsidRPr="002F1D02">
      <w:rPr>
        <w:rFonts w:ascii="Calibri" w:eastAsia="Times New Roman" w:hAnsi="Calibri" w:cs="Times New Roman"/>
        <w:color w:val="808080"/>
        <w:sz w:val="20"/>
        <w:szCs w:val="20"/>
        <w:lang w:eastAsia="en-GB"/>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C47" w:rsidRDefault="00682C47" w:rsidP="00B0695D">
      <w:r>
        <w:separator/>
      </w:r>
    </w:p>
  </w:footnote>
  <w:footnote w:type="continuationSeparator" w:id="0">
    <w:p w:rsidR="00682C47" w:rsidRDefault="00682C47" w:rsidP="00B06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B8C" w:rsidRDefault="00F66B8C" w:rsidP="00F66B8C">
    <w:pPr>
      <w:pStyle w:val="Header"/>
      <w:jc w:val="center"/>
      <w:rPr>
        <w:color w:val="808080"/>
        <w:sz w:val="16"/>
      </w:rPr>
    </w:pPr>
    <w:r>
      <w:rPr>
        <w:color w:val="808080"/>
        <w:sz w:val="16"/>
      </w:rPr>
      <w:t xml:space="preserve">Marson and Ferris, </w:t>
    </w:r>
    <w:r>
      <w:rPr>
        <w:i/>
        <w:color w:val="808080"/>
        <w:sz w:val="16"/>
      </w:rPr>
      <w:t>Business Law</w:t>
    </w:r>
    <w:r>
      <w:rPr>
        <w:color w:val="808080"/>
        <w:sz w:val="16"/>
      </w:rPr>
      <w:t>, 6</w:t>
    </w:r>
    <w:r>
      <w:rPr>
        <w:color w:val="808080"/>
        <w:sz w:val="16"/>
        <w:vertAlign w:val="superscript"/>
      </w:rPr>
      <w:t>th</w:t>
    </w:r>
    <w:r>
      <w:rPr>
        <w:color w:val="808080"/>
        <w:sz w:val="16"/>
      </w:rPr>
      <w:t xml:space="preserve"> edition</w:t>
    </w:r>
  </w:p>
  <w:p w:rsidR="00896E8C" w:rsidRPr="00D159A1" w:rsidRDefault="00896E8C" w:rsidP="00896E8C">
    <w:pPr>
      <w:pStyle w:val="Header"/>
      <w:jc w:val="center"/>
      <w:rPr>
        <w:sz w:val="16"/>
      </w:rPr>
    </w:pPr>
    <w:r w:rsidRPr="00D159A1">
      <w:rPr>
        <w:color w:val="808080"/>
        <w:sz w:val="16"/>
      </w:rPr>
      <w:t>Chapter 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208E0"/>
    <w:multiLevelType w:val="hybridMultilevel"/>
    <w:tmpl w:val="EDBCD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9E62727"/>
    <w:multiLevelType w:val="hybridMultilevel"/>
    <w:tmpl w:val="609EE89E"/>
    <w:lvl w:ilvl="0" w:tplc="FFFFFFFF">
      <w:start w:val="1"/>
      <w:numFmt w:val="decimal"/>
      <w:lvlText w:val="%1)"/>
      <w:lvlJc w:val="left"/>
      <w:pPr>
        <w:tabs>
          <w:tab w:val="num" w:pos="1440"/>
        </w:tabs>
        <w:ind w:left="1440" w:hanging="360"/>
      </w:p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2" w15:restartNumberingAfterBreak="0">
    <w:nsid w:val="2E547F2F"/>
    <w:multiLevelType w:val="hybridMultilevel"/>
    <w:tmpl w:val="70807F88"/>
    <w:lvl w:ilvl="0" w:tplc="F7D07984">
      <w:start w:val="1"/>
      <w:numFmt w:val="decimal"/>
      <w:lvlText w:val="%1)"/>
      <w:lvlJc w:val="left"/>
      <w:pPr>
        <w:tabs>
          <w:tab w:val="num" w:pos="1080"/>
        </w:tabs>
        <w:ind w:left="1080" w:hanging="360"/>
      </w:pPr>
    </w:lvl>
    <w:lvl w:ilvl="1" w:tplc="630E773A">
      <w:start w:val="1"/>
      <w:numFmt w:val="lowerLetter"/>
      <w:lvlText w:val="%2."/>
      <w:lvlJc w:val="left"/>
      <w:pPr>
        <w:tabs>
          <w:tab w:val="num" w:pos="1800"/>
        </w:tabs>
        <w:ind w:left="1800" w:hanging="360"/>
      </w:pPr>
    </w:lvl>
    <w:lvl w:ilvl="2" w:tplc="79B0C078">
      <w:start w:val="1"/>
      <w:numFmt w:val="lowerRoman"/>
      <w:lvlText w:val="%3."/>
      <w:lvlJc w:val="right"/>
      <w:pPr>
        <w:tabs>
          <w:tab w:val="num" w:pos="2520"/>
        </w:tabs>
        <w:ind w:left="2520" w:hanging="180"/>
      </w:pPr>
    </w:lvl>
    <w:lvl w:ilvl="3" w:tplc="431E380E">
      <w:start w:val="1"/>
      <w:numFmt w:val="decimal"/>
      <w:lvlText w:val="%4."/>
      <w:lvlJc w:val="left"/>
      <w:pPr>
        <w:tabs>
          <w:tab w:val="num" w:pos="3240"/>
        </w:tabs>
        <w:ind w:left="3240" w:hanging="360"/>
      </w:pPr>
    </w:lvl>
    <w:lvl w:ilvl="4" w:tplc="BE1814E0">
      <w:start w:val="1"/>
      <w:numFmt w:val="lowerLetter"/>
      <w:lvlText w:val="%5."/>
      <w:lvlJc w:val="left"/>
      <w:pPr>
        <w:tabs>
          <w:tab w:val="num" w:pos="3960"/>
        </w:tabs>
        <w:ind w:left="3960" w:hanging="360"/>
      </w:pPr>
    </w:lvl>
    <w:lvl w:ilvl="5" w:tplc="22C43E30">
      <w:start w:val="1"/>
      <w:numFmt w:val="lowerRoman"/>
      <w:lvlText w:val="%6."/>
      <w:lvlJc w:val="right"/>
      <w:pPr>
        <w:tabs>
          <w:tab w:val="num" w:pos="4680"/>
        </w:tabs>
        <w:ind w:left="4680" w:hanging="180"/>
      </w:pPr>
    </w:lvl>
    <w:lvl w:ilvl="6" w:tplc="457AACF2">
      <w:start w:val="1"/>
      <w:numFmt w:val="decimal"/>
      <w:lvlText w:val="%7."/>
      <w:lvlJc w:val="left"/>
      <w:pPr>
        <w:tabs>
          <w:tab w:val="num" w:pos="5400"/>
        </w:tabs>
        <w:ind w:left="5400" w:hanging="360"/>
      </w:pPr>
    </w:lvl>
    <w:lvl w:ilvl="7" w:tplc="6110029C">
      <w:start w:val="1"/>
      <w:numFmt w:val="lowerLetter"/>
      <w:lvlText w:val="%8."/>
      <w:lvlJc w:val="left"/>
      <w:pPr>
        <w:tabs>
          <w:tab w:val="num" w:pos="6120"/>
        </w:tabs>
        <w:ind w:left="6120" w:hanging="360"/>
      </w:pPr>
    </w:lvl>
    <w:lvl w:ilvl="8" w:tplc="577455CE">
      <w:start w:val="1"/>
      <w:numFmt w:val="lowerRoman"/>
      <w:lvlText w:val="%9."/>
      <w:lvlJc w:val="right"/>
      <w:pPr>
        <w:tabs>
          <w:tab w:val="num" w:pos="6840"/>
        </w:tabs>
        <w:ind w:left="6840" w:hanging="180"/>
      </w:pPr>
    </w:lvl>
  </w:abstractNum>
  <w:abstractNum w:abstractNumId="3" w15:restartNumberingAfterBreak="0">
    <w:nsid w:val="3782220D"/>
    <w:multiLevelType w:val="hybridMultilevel"/>
    <w:tmpl w:val="2FFC4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8617E24"/>
    <w:multiLevelType w:val="hybridMultilevel"/>
    <w:tmpl w:val="DE388C88"/>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5289250C"/>
    <w:multiLevelType w:val="hybridMultilevel"/>
    <w:tmpl w:val="DF56A688"/>
    <w:lvl w:ilvl="0" w:tplc="FFFFFFFF">
      <w:start w:val="1"/>
      <w:numFmt w:val="decimal"/>
      <w:lvlText w:val="%1)"/>
      <w:lvlJc w:val="left"/>
      <w:pPr>
        <w:tabs>
          <w:tab w:val="num" w:pos="1440"/>
        </w:tabs>
        <w:ind w:left="1440" w:hanging="360"/>
      </w:p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6" w15:restartNumberingAfterBreak="0">
    <w:nsid w:val="58201E59"/>
    <w:multiLevelType w:val="hybridMultilevel"/>
    <w:tmpl w:val="A8D2E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A860CAE"/>
    <w:multiLevelType w:val="hybridMultilevel"/>
    <w:tmpl w:val="33E414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5F7B2BD6"/>
    <w:multiLevelType w:val="hybridMultilevel"/>
    <w:tmpl w:val="0D386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27C8F"/>
    <w:multiLevelType w:val="hybridMultilevel"/>
    <w:tmpl w:val="B9EE8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C05"/>
    <w:rsid w:val="00002F86"/>
    <w:rsid w:val="00047DE0"/>
    <w:rsid w:val="00072C05"/>
    <w:rsid w:val="00091578"/>
    <w:rsid w:val="0019209C"/>
    <w:rsid w:val="001F78C0"/>
    <w:rsid w:val="003B6F35"/>
    <w:rsid w:val="00555FA0"/>
    <w:rsid w:val="00682C47"/>
    <w:rsid w:val="00867E5E"/>
    <w:rsid w:val="00896E8C"/>
    <w:rsid w:val="0093498F"/>
    <w:rsid w:val="00950978"/>
    <w:rsid w:val="00B0695D"/>
    <w:rsid w:val="00D159A1"/>
    <w:rsid w:val="00F66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efaultImageDpi w14:val="32767"/>
  <w15:docId w15:val="{A63775B5-FB0A-497A-A916-4A3D1DD8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rsid w:val="00072C05"/>
    <w:pPr>
      <w:keepNext/>
      <w:keepLines/>
      <w:spacing w:before="200"/>
      <w:outlineLvl w:val="1"/>
    </w:pPr>
    <w:rPr>
      <w:rFonts w:ascii="Calibri" w:eastAsia="Times New Roman" w:hAnsi="Calibri"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Bold">
    <w:name w:val="ColorBold"/>
    <w:uiPriority w:val="99"/>
    <w:rsid w:val="00072C05"/>
    <w:rPr>
      <w:b/>
      <w:bCs/>
      <w:color w:val="auto"/>
      <w:lang w:val="en-GB"/>
    </w:rPr>
  </w:style>
  <w:style w:type="character" w:customStyle="1" w:styleId="lightitalic">
    <w:name w:val="lightitalic"/>
    <w:uiPriority w:val="99"/>
    <w:rsid w:val="00072C05"/>
    <w:rPr>
      <w:rFonts w:ascii="Times New Roman" w:hAnsi="Times New Roman" w:cs="Mundo Sans Std Light Italic"/>
      <w:i/>
      <w:iCs/>
    </w:rPr>
  </w:style>
  <w:style w:type="paragraph" w:customStyle="1" w:styleId="sum-bl">
    <w:name w:val="sum-bl"/>
    <w:basedOn w:val="Normal"/>
    <w:qFormat/>
    <w:rsid w:val="00072C05"/>
    <w:pPr>
      <w:spacing w:line="480" w:lineRule="auto"/>
      <w:ind w:left="720" w:hanging="720"/>
    </w:pPr>
    <w:rPr>
      <w:rFonts w:ascii="Times New Roman" w:eastAsia="Calibri" w:hAnsi="Times New Roman" w:cs="Times New Roman"/>
      <w:lang w:val="en-US"/>
    </w:rPr>
  </w:style>
  <w:style w:type="paragraph" w:customStyle="1" w:styleId="sum-nl">
    <w:name w:val="sum-nl"/>
    <w:basedOn w:val="sum-bl"/>
    <w:qFormat/>
    <w:rsid w:val="00072C05"/>
  </w:style>
  <w:style w:type="paragraph" w:customStyle="1" w:styleId="sum-nl-p1">
    <w:name w:val="sum-nl-p1"/>
    <w:basedOn w:val="Normal"/>
    <w:qFormat/>
    <w:rsid w:val="00072C05"/>
    <w:pPr>
      <w:spacing w:line="480" w:lineRule="auto"/>
      <w:ind w:left="720" w:firstLine="720"/>
    </w:pPr>
    <w:rPr>
      <w:rFonts w:ascii="Times New Roman" w:eastAsia="Calibri" w:hAnsi="Times New Roman" w:cs="Times New Roman"/>
      <w:lang w:val="en-US"/>
    </w:rPr>
  </w:style>
  <w:style w:type="character" w:customStyle="1" w:styleId="Heading2Char">
    <w:name w:val="Heading 2 Char"/>
    <w:basedOn w:val="DefaultParagraphFont"/>
    <w:link w:val="Heading2"/>
    <w:uiPriority w:val="9"/>
    <w:rsid w:val="00072C05"/>
    <w:rPr>
      <w:rFonts w:ascii="Calibri" w:eastAsia="Times New Roman" w:hAnsi="Calibri" w:cs="Times New Roman"/>
      <w:b/>
      <w:bCs/>
      <w:color w:val="4F81BD"/>
      <w:sz w:val="26"/>
      <w:szCs w:val="26"/>
    </w:rPr>
  </w:style>
  <w:style w:type="paragraph" w:styleId="NormalWeb">
    <w:name w:val="Normal (Web)"/>
    <w:basedOn w:val="Normal"/>
    <w:uiPriority w:val="99"/>
    <w:rsid w:val="00072C05"/>
    <w:pPr>
      <w:spacing w:before="100" w:beforeAutospacing="1" w:after="100" w:afterAutospacing="1"/>
    </w:pPr>
    <w:rPr>
      <w:rFonts w:ascii="Times New Roman" w:eastAsia="SimSun" w:hAnsi="Times New Roman" w:cs="Times New Roman"/>
      <w:lang w:eastAsia="zh-CN"/>
    </w:rPr>
  </w:style>
  <w:style w:type="paragraph" w:styleId="BodyText">
    <w:name w:val="Body Text"/>
    <w:basedOn w:val="Normal"/>
    <w:link w:val="BodyTextChar"/>
    <w:rsid w:val="00072C05"/>
    <w:pPr>
      <w:spacing w:after="120"/>
    </w:pPr>
    <w:rPr>
      <w:rFonts w:ascii="Times New Roman" w:eastAsia="SimSun" w:hAnsi="Times New Roman" w:cs="Times New Roman"/>
      <w:lang w:eastAsia="zh-CN"/>
    </w:rPr>
  </w:style>
  <w:style w:type="character" w:customStyle="1" w:styleId="BodyTextChar">
    <w:name w:val="Body Text Char"/>
    <w:basedOn w:val="DefaultParagraphFont"/>
    <w:link w:val="BodyText"/>
    <w:rsid w:val="00072C05"/>
    <w:rPr>
      <w:rFonts w:ascii="Times New Roman" w:eastAsia="SimSun" w:hAnsi="Times New Roman" w:cs="Times New Roman"/>
      <w:lang w:eastAsia="zh-CN"/>
    </w:rPr>
  </w:style>
  <w:style w:type="paragraph" w:styleId="BodyText3">
    <w:name w:val="Body Text 3"/>
    <w:basedOn w:val="Normal"/>
    <w:link w:val="BodyText3Char"/>
    <w:uiPriority w:val="99"/>
    <w:semiHidden/>
    <w:unhideWhenUsed/>
    <w:rsid w:val="00072C05"/>
    <w:pPr>
      <w:spacing w:after="120"/>
    </w:pPr>
    <w:rPr>
      <w:sz w:val="16"/>
      <w:szCs w:val="16"/>
    </w:rPr>
  </w:style>
  <w:style w:type="character" w:customStyle="1" w:styleId="BodyText3Char">
    <w:name w:val="Body Text 3 Char"/>
    <w:basedOn w:val="DefaultParagraphFont"/>
    <w:link w:val="BodyText3"/>
    <w:uiPriority w:val="99"/>
    <w:semiHidden/>
    <w:rsid w:val="00072C05"/>
    <w:rPr>
      <w:sz w:val="16"/>
      <w:szCs w:val="16"/>
    </w:rPr>
  </w:style>
  <w:style w:type="paragraph" w:customStyle="1" w:styleId="Text">
    <w:name w:val="Text"/>
    <w:basedOn w:val="Normal"/>
    <w:rsid w:val="00072C05"/>
    <w:pPr>
      <w:widowControl w:val="0"/>
      <w:autoSpaceDE w:val="0"/>
      <w:autoSpaceDN w:val="0"/>
      <w:adjustRightInd w:val="0"/>
      <w:spacing w:line="240" w:lineRule="atLeast"/>
      <w:jc w:val="both"/>
    </w:pPr>
    <w:rPr>
      <w:rFonts w:ascii="MinionPro-Regular" w:eastAsia="Times New Roman" w:hAnsi="MinionPro-Regular" w:cs="MinionPro-Regular"/>
      <w:color w:val="000000"/>
      <w:sz w:val="19"/>
      <w:szCs w:val="19"/>
    </w:rPr>
  </w:style>
  <w:style w:type="paragraph" w:customStyle="1" w:styleId="TextInd">
    <w:name w:val="TextInd"/>
    <w:basedOn w:val="Normal"/>
    <w:rsid w:val="00072C05"/>
    <w:pPr>
      <w:widowControl w:val="0"/>
      <w:autoSpaceDE w:val="0"/>
      <w:autoSpaceDN w:val="0"/>
      <w:adjustRightInd w:val="0"/>
      <w:spacing w:line="240" w:lineRule="atLeast"/>
      <w:ind w:firstLine="190"/>
      <w:jc w:val="both"/>
    </w:pPr>
    <w:rPr>
      <w:rFonts w:ascii="MinionPro-Regular" w:eastAsia="Times New Roman" w:hAnsi="MinionPro-Regular" w:cs="MinionPro-Regular"/>
      <w:color w:val="000000"/>
      <w:sz w:val="19"/>
      <w:szCs w:val="19"/>
    </w:rPr>
  </w:style>
  <w:style w:type="character" w:customStyle="1" w:styleId="italic">
    <w:name w:val="_italic"/>
    <w:rsid w:val="00072C05"/>
    <w:rPr>
      <w:i/>
      <w:iCs/>
    </w:rPr>
  </w:style>
  <w:style w:type="paragraph" w:customStyle="1" w:styleId="NList1">
    <w:name w:val="NList1"/>
    <w:basedOn w:val="Normal"/>
    <w:rsid w:val="00072C05"/>
    <w:pPr>
      <w:autoSpaceDE w:val="0"/>
      <w:autoSpaceDN w:val="0"/>
      <w:adjustRightInd w:val="0"/>
      <w:spacing w:before="120" w:line="240" w:lineRule="atLeast"/>
      <w:ind w:left="360"/>
      <w:jc w:val="both"/>
    </w:pPr>
    <w:rPr>
      <w:rFonts w:ascii="MinionPro-Regular" w:eastAsia="Times New Roman" w:hAnsi="MinionPro-Regular" w:cs="MinionPro-Regular"/>
      <w:color w:val="000000"/>
      <w:sz w:val="19"/>
      <w:szCs w:val="19"/>
    </w:rPr>
  </w:style>
  <w:style w:type="paragraph" w:customStyle="1" w:styleId="NList">
    <w:name w:val="NList"/>
    <w:basedOn w:val="Normal"/>
    <w:rsid w:val="00072C05"/>
    <w:pPr>
      <w:autoSpaceDE w:val="0"/>
      <w:autoSpaceDN w:val="0"/>
      <w:adjustRightInd w:val="0"/>
      <w:spacing w:before="60" w:line="240" w:lineRule="atLeast"/>
      <w:ind w:left="360"/>
      <w:jc w:val="both"/>
    </w:pPr>
    <w:rPr>
      <w:rFonts w:ascii="MinionPro-Regular" w:eastAsia="Times New Roman" w:hAnsi="MinionPro-Regular" w:cs="MinionPro-Regular"/>
      <w:color w:val="000000"/>
      <w:sz w:val="19"/>
      <w:szCs w:val="19"/>
    </w:rPr>
  </w:style>
  <w:style w:type="paragraph" w:customStyle="1" w:styleId="NList2">
    <w:name w:val="NList2"/>
    <w:basedOn w:val="Normal"/>
    <w:rsid w:val="00072C05"/>
    <w:pPr>
      <w:autoSpaceDE w:val="0"/>
      <w:autoSpaceDN w:val="0"/>
      <w:adjustRightInd w:val="0"/>
      <w:spacing w:before="60" w:after="120" w:line="240" w:lineRule="atLeast"/>
      <w:ind w:left="360"/>
      <w:jc w:val="both"/>
    </w:pPr>
    <w:rPr>
      <w:rFonts w:ascii="MinionPro-Regular" w:eastAsia="Times New Roman" w:hAnsi="MinionPro-Regular" w:cs="MinionPro-Regular"/>
      <w:color w:val="000000"/>
      <w:sz w:val="19"/>
      <w:szCs w:val="19"/>
    </w:rPr>
  </w:style>
  <w:style w:type="character" w:customStyle="1" w:styleId="ListNum">
    <w:name w:val="ListNum"/>
    <w:rsid w:val="00072C05"/>
    <w:rPr>
      <w:rFonts w:ascii="MinionPro-Bold" w:hAnsi="MinionPro-Bold" w:cs="MinionPro-Bold" w:hint="default"/>
      <w:b/>
      <w:bCs/>
      <w:color w:val="362E7D"/>
    </w:rPr>
  </w:style>
  <w:style w:type="paragraph" w:styleId="Header">
    <w:name w:val="header"/>
    <w:basedOn w:val="Normal"/>
    <w:link w:val="HeaderChar"/>
    <w:unhideWhenUsed/>
    <w:rsid w:val="00B0695D"/>
    <w:pPr>
      <w:tabs>
        <w:tab w:val="center" w:pos="4513"/>
        <w:tab w:val="right" w:pos="9026"/>
      </w:tabs>
    </w:pPr>
  </w:style>
  <w:style w:type="character" w:customStyle="1" w:styleId="HeaderChar">
    <w:name w:val="Header Char"/>
    <w:basedOn w:val="DefaultParagraphFont"/>
    <w:link w:val="Header"/>
    <w:rsid w:val="00B0695D"/>
  </w:style>
  <w:style w:type="paragraph" w:styleId="Footer">
    <w:name w:val="footer"/>
    <w:basedOn w:val="Normal"/>
    <w:link w:val="FooterChar"/>
    <w:unhideWhenUsed/>
    <w:rsid w:val="00B0695D"/>
    <w:pPr>
      <w:tabs>
        <w:tab w:val="center" w:pos="4513"/>
        <w:tab w:val="right" w:pos="9026"/>
      </w:tabs>
    </w:pPr>
  </w:style>
  <w:style w:type="character" w:customStyle="1" w:styleId="FooterChar">
    <w:name w:val="Footer Char"/>
    <w:basedOn w:val="DefaultParagraphFont"/>
    <w:link w:val="Footer"/>
    <w:rsid w:val="00B0695D"/>
  </w:style>
  <w:style w:type="paragraph" w:styleId="BalloonText">
    <w:name w:val="Balloon Text"/>
    <w:basedOn w:val="Normal"/>
    <w:link w:val="BalloonTextChar"/>
    <w:uiPriority w:val="99"/>
    <w:semiHidden/>
    <w:unhideWhenUsed/>
    <w:rsid w:val="00D159A1"/>
    <w:rPr>
      <w:rFonts w:ascii="Tahoma" w:hAnsi="Tahoma" w:cs="Tahoma"/>
      <w:sz w:val="16"/>
      <w:szCs w:val="16"/>
    </w:rPr>
  </w:style>
  <w:style w:type="character" w:customStyle="1" w:styleId="BalloonTextChar">
    <w:name w:val="Balloon Text Char"/>
    <w:basedOn w:val="DefaultParagraphFont"/>
    <w:link w:val="BalloonText"/>
    <w:uiPriority w:val="99"/>
    <w:semiHidden/>
    <w:rsid w:val="00D159A1"/>
    <w:rPr>
      <w:rFonts w:ascii="Tahoma" w:hAnsi="Tahoma" w:cs="Tahoma"/>
      <w:sz w:val="16"/>
      <w:szCs w:val="16"/>
    </w:rPr>
  </w:style>
  <w:style w:type="paragraph" w:styleId="ListParagraph">
    <w:name w:val="List Paragraph"/>
    <w:basedOn w:val="Normal"/>
    <w:uiPriority w:val="34"/>
    <w:qFormat/>
    <w:rsid w:val="00D159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14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1992</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Marson, James</dc:creator>
  <cp:lastModifiedBy>SHEFFIELD, Emma</cp:lastModifiedBy>
  <cp:revision>4</cp:revision>
  <dcterms:created xsi:type="dcterms:W3CDTF">2018-05-08T15:25:00Z</dcterms:created>
  <dcterms:modified xsi:type="dcterms:W3CDTF">2020-05-11T15:54:00Z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2020-05-11T15:42:58Z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f3d311dc-c9ce-49c3-899a-000062d72383</vt:lpwstr>
  </property>
  <property fmtid="{D5CDD505-2E9C-101B-9397-08002B2CF9AE}" pid="8" name="MSIP_Label_89f61502-7731-4690-a118-333634878cc9_ContentBits">
    <vt:lpwstr>0</vt:lpwstr>
  </property>
</Properties>
</file>