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991EC" w14:textId="33C68286" w:rsidR="00761150" w:rsidRPr="004936F1" w:rsidRDefault="00761150" w:rsidP="00761150">
      <w:pPr>
        <w:pStyle w:val="q"/>
        <w:jc w:val="center"/>
        <w:rPr>
          <w:rFonts w:asciiTheme="minorHAnsi" w:hAnsiTheme="minorHAnsi" w:cstheme="minorHAnsi"/>
          <w:b/>
          <w:bCs/>
          <w:sz w:val="28"/>
          <w:szCs w:val="28"/>
          <w:lang w:val="en-GB"/>
        </w:rPr>
      </w:pPr>
      <w:r w:rsidRPr="004936F1">
        <w:rPr>
          <w:rFonts w:asciiTheme="minorHAnsi" w:hAnsiTheme="minorHAnsi" w:cstheme="minorHAnsi"/>
          <w:b/>
          <w:bCs/>
          <w:sz w:val="28"/>
          <w:szCs w:val="28"/>
          <w:lang w:val="en-GB"/>
        </w:rPr>
        <w:t xml:space="preserve">Chapter 9 </w:t>
      </w:r>
    </w:p>
    <w:p w14:paraId="1AFAB756" w14:textId="7E74EDE9" w:rsidR="00761150" w:rsidRPr="004936F1" w:rsidRDefault="004936F1" w:rsidP="004936F1">
      <w:pPr>
        <w:pStyle w:val="q"/>
        <w:ind w:left="0" w:firstLine="0"/>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Question 1: </w:t>
      </w:r>
      <w:r w:rsidR="00761150" w:rsidRPr="004936F1">
        <w:rPr>
          <w:rFonts w:asciiTheme="minorHAnsi" w:hAnsiTheme="minorHAnsi" w:cstheme="minorHAnsi"/>
          <w:b/>
          <w:bCs/>
          <w:sz w:val="21"/>
          <w:szCs w:val="21"/>
          <w:lang w:val="en-GB"/>
        </w:rPr>
        <w:t xml:space="preserve">When does an easement </w:t>
      </w:r>
      <w:r w:rsidR="00761150" w:rsidRPr="004936F1">
        <w:rPr>
          <w:rFonts w:asciiTheme="minorHAnsi" w:hAnsiTheme="minorHAnsi" w:cstheme="minorHAnsi"/>
          <w:b/>
          <w:bCs/>
          <w:sz w:val="21"/>
          <w:szCs w:val="21"/>
          <w:highlight w:val="white"/>
          <w:lang w:val="en-GB"/>
        </w:rPr>
        <w:t>‘accommodate’</w:t>
      </w:r>
      <w:r w:rsidR="00761150" w:rsidRPr="004936F1">
        <w:rPr>
          <w:rFonts w:asciiTheme="minorHAnsi" w:hAnsiTheme="minorHAnsi" w:cstheme="minorHAnsi"/>
          <w:b/>
          <w:bCs/>
          <w:sz w:val="21"/>
          <w:szCs w:val="21"/>
          <w:lang w:val="en-GB"/>
        </w:rPr>
        <w:t xml:space="preserve"> the dominant land?</w:t>
      </w:r>
    </w:p>
    <w:p w14:paraId="053837EA" w14:textId="7DC15A39" w:rsidR="003F6CA2" w:rsidRPr="004936F1" w:rsidRDefault="00074EA7"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 xml:space="preserve">An easement is a right over the land of another. </w:t>
      </w:r>
      <w:r w:rsidR="00253FF7" w:rsidRPr="004936F1">
        <w:rPr>
          <w:rFonts w:asciiTheme="minorHAnsi" w:hAnsiTheme="minorHAnsi" w:cstheme="minorHAnsi"/>
          <w:sz w:val="21"/>
          <w:szCs w:val="21"/>
          <w:lang w:val="en-GB"/>
        </w:rPr>
        <w:t xml:space="preserve">There must thus be two pieces of land </w:t>
      </w:r>
      <w:r w:rsidR="00653F0E" w:rsidRPr="004936F1">
        <w:rPr>
          <w:rFonts w:asciiTheme="minorHAnsi" w:hAnsiTheme="minorHAnsi" w:cstheme="minorHAnsi"/>
          <w:sz w:val="21"/>
          <w:szCs w:val="21"/>
          <w:lang w:val="en-GB"/>
        </w:rPr>
        <w:t xml:space="preserve">held in separate ownership – the dominant land to which the easement is attached and the servient land </w:t>
      </w:r>
      <w:r w:rsidR="00C33080" w:rsidRPr="004936F1">
        <w:rPr>
          <w:rFonts w:asciiTheme="minorHAnsi" w:hAnsiTheme="minorHAnsi" w:cstheme="minorHAnsi"/>
          <w:sz w:val="21"/>
          <w:szCs w:val="21"/>
          <w:lang w:val="en-GB"/>
        </w:rPr>
        <w:t xml:space="preserve">- </w:t>
      </w:r>
      <w:r w:rsidR="00653F0E" w:rsidRPr="004936F1">
        <w:rPr>
          <w:rFonts w:asciiTheme="minorHAnsi" w:hAnsiTheme="minorHAnsi" w:cstheme="minorHAnsi"/>
          <w:sz w:val="21"/>
          <w:szCs w:val="21"/>
          <w:lang w:val="en-GB"/>
        </w:rPr>
        <w:t xml:space="preserve">over which the right is enjoyed. </w:t>
      </w:r>
      <w:r w:rsidR="00C33080" w:rsidRPr="004936F1">
        <w:rPr>
          <w:rFonts w:asciiTheme="minorHAnsi" w:hAnsiTheme="minorHAnsi" w:cstheme="minorHAnsi"/>
          <w:sz w:val="21"/>
          <w:szCs w:val="21"/>
          <w:lang w:val="en-GB"/>
        </w:rPr>
        <w:t>In addition, t</w:t>
      </w:r>
      <w:r w:rsidRPr="004936F1">
        <w:rPr>
          <w:rFonts w:asciiTheme="minorHAnsi" w:hAnsiTheme="minorHAnsi" w:cstheme="minorHAnsi"/>
          <w:sz w:val="21"/>
          <w:szCs w:val="21"/>
          <w:lang w:val="en-GB"/>
        </w:rPr>
        <w:t xml:space="preserve">o qualify as an easement that right must </w:t>
      </w:r>
      <w:r w:rsidR="00253FF7" w:rsidRPr="004936F1">
        <w:rPr>
          <w:rFonts w:asciiTheme="minorHAnsi" w:hAnsiTheme="minorHAnsi" w:cstheme="minorHAnsi"/>
          <w:sz w:val="21"/>
          <w:szCs w:val="21"/>
          <w:lang w:val="en-GB"/>
        </w:rPr>
        <w:t>accommodate the dominant land to which it is attached</w:t>
      </w:r>
      <w:r w:rsidR="00504419" w:rsidRPr="004936F1">
        <w:rPr>
          <w:rFonts w:asciiTheme="minorHAnsi" w:hAnsiTheme="minorHAnsi" w:cstheme="minorHAnsi"/>
          <w:sz w:val="21"/>
          <w:szCs w:val="21"/>
          <w:lang w:val="en-GB"/>
        </w:rPr>
        <w:t xml:space="preserve"> and must be the subject matter of a grant – a requirement examined in the next question. </w:t>
      </w:r>
      <w:r w:rsidR="007E24F1" w:rsidRPr="004936F1">
        <w:rPr>
          <w:rFonts w:asciiTheme="minorHAnsi" w:hAnsiTheme="minorHAnsi" w:cstheme="minorHAnsi"/>
          <w:sz w:val="21"/>
          <w:szCs w:val="21"/>
          <w:lang w:val="en-GB"/>
        </w:rPr>
        <w:t>A</w:t>
      </w:r>
      <w:r w:rsidR="00F739CA" w:rsidRPr="004936F1">
        <w:rPr>
          <w:rFonts w:asciiTheme="minorHAnsi" w:hAnsiTheme="minorHAnsi" w:cstheme="minorHAnsi"/>
          <w:sz w:val="21"/>
          <w:szCs w:val="21"/>
          <w:lang w:val="en-GB"/>
        </w:rPr>
        <w:t>ccommodation is thus</w:t>
      </w:r>
      <w:bookmarkStart w:id="0" w:name="_GoBack"/>
      <w:bookmarkEnd w:id="0"/>
      <w:r w:rsidR="00F739CA" w:rsidRPr="004936F1">
        <w:rPr>
          <w:rFonts w:asciiTheme="minorHAnsi" w:hAnsiTheme="minorHAnsi" w:cstheme="minorHAnsi"/>
          <w:sz w:val="21"/>
          <w:szCs w:val="21"/>
          <w:lang w:val="en-GB"/>
        </w:rPr>
        <w:t xml:space="preserve"> a key requirement </w:t>
      </w:r>
      <w:r w:rsidR="00597757" w:rsidRPr="004936F1">
        <w:rPr>
          <w:rFonts w:asciiTheme="minorHAnsi" w:hAnsiTheme="minorHAnsi" w:cstheme="minorHAnsi"/>
          <w:sz w:val="21"/>
          <w:szCs w:val="21"/>
          <w:lang w:val="en-GB"/>
        </w:rPr>
        <w:t xml:space="preserve">to distinguish </w:t>
      </w:r>
      <w:r w:rsidR="00F739CA" w:rsidRPr="004936F1">
        <w:rPr>
          <w:rFonts w:asciiTheme="minorHAnsi" w:hAnsiTheme="minorHAnsi" w:cstheme="minorHAnsi"/>
          <w:sz w:val="21"/>
          <w:szCs w:val="21"/>
          <w:lang w:val="en-GB"/>
        </w:rPr>
        <w:t xml:space="preserve">an easement </w:t>
      </w:r>
      <w:r w:rsidR="00DA0ECC" w:rsidRPr="004936F1">
        <w:rPr>
          <w:rFonts w:asciiTheme="minorHAnsi" w:hAnsiTheme="minorHAnsi" w:cstheme="minorHAnsi"/>
          <w:sz w:val="21"/>
          <w:szCs w:val="21"/>
          <w:lang w:val="en-GB"/>
        </w:rPr>
        <w:t xml:space="preserve">from a mere permission, or licence. It </w:t>
      </w:r>
      <w:r w:rsidR="00F739CA" w:rsidRPr="004936F1">
        <w:rPr>
          <w:rFonts w:asciiTheme="minorHAnsi" w:hAnsiTheme="minorHAnsi" w:cstheme="minorHAnsi"/>
          <w:sz w:val="21"/>
          <w:szCs w:val="21"/>
          <w:lang w:val="en-GB"/>
        </w:rPr>
        <w:t xml:space="preserve">is discussed in Paragraphs </w:t>
      </w:r>
      <w:r w:rsidR="001C3F10" w:rsidRPr="004936F1">
        <w:rPr>
          <w:rFonts w:asciiTheme="minorHAnsi" w:hAnsiTheme="minorHAnsi" w:cstheme="minorHAnsi"/>
          <w:sz w:val="21"/>
          <w:szCs w:val="21"/>
          <w:lang w:val="en-GB"/>
        </w:rPr>
        <w:t>9.15-</w:t>
      </w:r>
      <w:r w:rsidR="00597757" w:rsidRPr="004936F1">
        <w:rPr>
          <w:rFonts w:asciiTheme="minorHAnsi" w:hAnsiTheme="minorHAnsi" w:cstheme="minorHAnsi"/>
          <w:sz w:val="21"/>
          <w:szCs w:val="21"/>
          <w:lang w:val="en-GB"/>
        </w:rPr>
        <w:t xml:space="preserve">9.19. </w:t>
      </w:r>
      <w:r w:rsidR="00253FF7" w:rsidRPr="004936F1">
        <w:rPr>
          <w:rFonts w:asciiTheme="minorHAnsi" w:hAnsiTheme="minorHAnsi" w:cstheme="minorHAnsi"/>
          <w:sz w:val="21"/>
          <w:szCs w:val="21"/>
          <w:lang w:val="en-GB"/>
        </w:rPr>
        <w:t xml:space="preserve"> </w:t>
      </w:r>
      <w:r w:rsidRPr="004936F1">
        <w:rPr>
          <w:rFonts w:asciiTheme="minorHAnsi" w:hAnsiTheme="minorHAnsi" w:cstheme="minorHAnsi"/>
          <w:sz w:val="21"/>
          <w:szCs w:val="21"/>
          <w:lang w:val="en-GB"/>
        </w:rPr>
        <w:t xml:space="preserve"> </w:t>
      </w:r>
    </w:p>
    <w:p w14:paraId="7DAF34BD" w14:textId="45873690" w:rsidR="007E24F1" w:rsidRPr="004936F1" w:rsidRDefault="007E24F1" w:rsidP="007E24F1">
      <w:pPr>
        <w:pStyle w:val="q"/>
        <w:spacing w:line="240" w:lineRule="auto"/>
        <w:ind w:left="357" w:firstLine="0"/>
        <w:rPr>
          <w:rFonts w:asciiTheme="minorHAnsi" w:hAnsiTheme="minorHAnsi" w:cstheme="minorHAnsi"/>
          <w:sz w:val="21"/>
          <w:szCs w:val="21"/>
          <w:lang w:val="en-GB"/>
        </w:rPr>
      </w:pPr>
    </w:p>
    <w:p w14:paraId="6F450E8C" w14:textId="764213C8" w:rsidR="007E24F1" w:rsidRPr="004936F1" w:rsidRDefault="007E24F1"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 xml:space="preserve">Accommodation </w:t>
      </w:r>
      <w:r w:rsidR="002D199D" w:rsidRPr="004936F1">
        <w:rPr>
          <w:rFonts w:asciiTheme="minorHAnsi" w:hAnsiTheme="minorHAnsi" w:cstheme="minorHAnsi"/>
          <w:sz w:val="21"/>
          <w:szCs w:val="21"/>
          <w:lang w:val="en-GB"/>
        </w:rPr>
        <w:t xml:space="preserve">requires that the dominant land </w:t>
      </w:r>
      <w:r w:rsidR="007227DF" w:rsidRPr="004936F1">
        <w:rPr>
          <w:rFonts w:asciiTheme="minorHAnsi" w:hAnsiTheme="minorHAnsi" w:cstheme="minorHAnsi"/>
          <w:sz w:val="21"/>
          <w:szCs w:val="21"/>
          <w:lang w:val="en-GB"/>
        </w:rPr>
        <w:t xml:space="preserve">itself </w:t>
      </w:r>
      <w:r w:rsidR="002D199D" w:rsidRPr="004936F1">
        <w:rPr>
          <w:rFonts w:asciiTheme="minorHAnsi" w:hAnsiTheme="minorHAnsi" w:cstheme="minorHAnsi"/>
          <w:sz w:val="21"/>
          <w:szCs w:val="21"/>
          <w:lang w:val="en-GB"/>
        </w:rPr>
        <w:t xml:space="preserve">benefits in some way from the </w:t>
      </w:r>
      <w:r w:rsidR="007227DF" w:rsidRPr="004936F1">
        <w:rPr>
          <w:rFonts w:asciiTheme="minorHAnsi" w:hAnsiTheme="minorHAnsi" w:cstheme="minorHAnsi"/>
          <w:sz w:val="21"/>
          <w:szCs w:val="21"/>
          <w:lang w:val="en-GB"/>
        </w:rPr>
        <w:t xml:space="preserve">right rather than merely conferring a personal advantage on a particular owner of the dominant </w:t>
      </w:r>
      <w:r w:rsidR="00F44F36" w:rsidRPr="004936F1">
        <w:rPr>
          <w:rFonts w:asciiTheme="minorHAnsi" w:hAnsiTheme="minorHAnsi" w:cstheme="minorHAnsi"/>
          <w:sz w:val="21"/>
          <w:szCs w:val="21"/>
          <w:lang w:val="en-GB"/>
        </w:rPr>
        <w:t xml:space="preserve">land. </w:t>
      </w:r>
      <w:r w:rsidR="00502D6E" w:rsidRPr="004936F1">
        <w:rPr>
          <w:rFonts w:asciiTheme="minorHAnsi" w:hAnsiTheme="minorHAnsi" w:cstheme="minorHAnsi"/>
          <w:sz w:val="21"/>
          <w:szCs w:val="21"/>
          <w:lang w:val="en-GB"/>
        </w:rPr>
        <w:t xml:space="preserve">That benefit may be reflected in the increased economic value of the land but </w:t>
      </w:r>
      <w:r w:rsidR="005732DF" w:rsidRPr="004936F1">
        <w:rPr>
          <w:rFonts w:asciiTheme="minorHAnsi" w:hAnsiTheme="minorHAnsi" w:cstheme="minorHAnsi"/>
          <w:sz w:val="21"/>
          <w:szCs w:val="21"/>
          <w:lang w:val="en-GB"/>
        </w:rPr>
        <w:t xml:space="preserve">that is not a defining feature of accommodation. </w:t>
      </w:r>
      <w:r w:rsidR="00085F6D" w:rsidRPr="004936F1">
        <w:rPr>
          <w:rFonts w:asciiTheme="minorHAnsi" w:hAnsiTheme="minorHAnsi" w:cstheme="minorHAnsi"/>
          <w:sz w:val="21"/>
          <w:szCs w:val="21"/>
          <w:lang w:val="en-GB"/>
        </w:rPr>
        <w:t>It is rather that the</w:t>
      </w:r>
      <w:r w:rsidR="00CC7C5D" w:rsidRPr="004936F1">
        <w:rPr>
          <w:rFonts w:asciiTheme="minorHAnsi" w:hAnsiTheme="minorHAnsi" w:cstheme="minorHAnsi"/>
          <w:sz w:val="21"/>
          <w:szCs w:val="21"/>
          <w:lang w:val="en-GB"/>
        </w:rPr>
        <w:t xml:space="preserve"> normal enjoyment </w:t>
      </w:r>
      <w:r w:rsidR="00E80E5D" w:rsidRPr="004936F1">
        <w:rPr>
          <w:rFonts w:asciiTheme="minorHAnsi" w:hAnsiTheme="minorHAnsi" w:cstheme="minorHAnsi"/>
          <w:sz w:val="21"/>
          <w:szCs w:val="21"/>
          <w:lang w:val="en-GB"/>
        </w:rPr>
        <w:t xml:space="preserve">and user </w:t>
      </w:r>
      <w:r w:rsidR="00CC7C5D" w:rsidRPr="004936F1">
        <w:rPr>
          <w:rFonts w:asciiTheme="minorHAnsi" w:hAnsiTheme="minorHAnsi" w:cstheme="minorHAnsi"/>
          <w:sz w:val="21"/>
          <w:szCs w:val="21"/>
          <w:lang w:val="en-GB"/>
        </w:rPr>
        <w:t xml:space="preserve">of the dominant land is enhanced. </w:t>
      </w:r>
      <w:r w:rsidR="00085F6D" w:rsidRPr="004936F1">
        <w:rPr>
          <w:rFonts w:asciiTheme="minorHAnsi" w:hAnsiTheme="minorHAnsi" w:cstheme="minorHAnsi"/>
          <w:sz w:val="21"/>
          <w:szCs w:val="21"/>
          <w:lang w:val="en-GB"/>
        </w:rPr>
        <w:t xml:space="preserve"> </w:t>
      </w:r>
    </w:p>
    <w:p w14:paraId="080FCDE5" w14:textId="77777777" w:rsidR="004936F1" w:rsidRPr="004936F1" w:rsidRDefault="004936F1" w:rsidP="007E24F1">
      <w:pPr>
        <w:pStyle w:val="q"/>
        <w:spacing w:line="240" w:lineRule="auto"/>
        <w:ind w:left="357" w:firstLine="0"/>
        <w:rPr>
          <w:rFonts w:asciiTheme="minorHAnsi" w:hAnsiTheme="minorHAnsi" w:cstheme="minorHAnsi"/>
          <w:sz w:val="21"/>
          <w:szCs w:val="21"/>
          <w:lang w:val="en-GB"/>
        </w:rPr>
      </w:pPr>
    </w:p>
    <w:p w14:paraId="1510D823" w14:textId="0A19EEA7" w:rsidR="007E24F1" w:rsidRPr="004936F1" w:rsidRDefault="00E80E5D"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 xml:space="preserve">Most recently, the question of whether </w:t>
      </w:r>
      <w:r w:rsidR="00BC6A39" w:rsidRPr="004936F1">
        <w:rPr>
          <w:rFonts w:asciiTheme="minorHAnsi" w:hAnsiTheme="minorHAnsi" w:cstheme="minorHAnsi"/>
          <w:sz w:val="21"/>
          <w:szCs w:val="21"/>
          <w:lang w:val="en-GB"/>
        </w:rPr>
        <w:t xml:space="preserve">a </w:t>
      </w:r>
      <w:r w:rsidRPr="004936F1">
        <w:rPr>
          <w:rFonts w:asciiTheme="minorHAnsi" w:hAnsiTheme="minorHAnsi" w:cstheme="minorHAnsi"/>
          <w:sz w:val="21"/>
          <w:szCs w:val="21"/>
          <w:lang w:val="en-GB"/>
        </w:rPr>
        <w:t xml:space="preserve">right of recreation </w:t>
      </w:r>
      <w:r w:rsidR="00BC6A39" w:rsidRPr="004936F1">
        <w:rPr>
          <w:rFonts w:asciiTheme="minorHAnsi" w:hAnsiTheme="minorHAnsi" w:cstheme="minorHAnsi"/>
          <w:sz w:val="21"/>
          <w:szCs w:val="21"/>
          <w:lang w:val="en-GB"/>
        </w:rPr>
        <w:t xml:space="preserve">can accommodate </w:t>
      </w:r>
      <w:r w:rsidRPr="004936F1">
        <w:rPr>
          <w:rFonts w:asciiTheme="minorHAnsi" w:hAnsiTheme="minorHAnsi" w:cstheme="minorHAnsi"/>
          <w:sz w:val="21"/>
          <w:szCs w:val="21"/>
          <w:lang w:val="en-GB"/>
        </w:rPr>
        <w:t xml:space="preserve">the </w:t>
      </w:r>
      <w:r w:rsidR="00BC6A39" w:rsidRPr="004936F1">
        <w:rPr>
          <w:rFonts w:asciiTheme="minorHAnsi" w:hAnsiTheme="minorHAnsi" w:cstheme="minorHAnsi"/>
          <w:sz w:val="21"/>
          <w:szCs w:val="21"/>
          <w:lang w:val="en-GB"/>
        </w:rPr>
        <w:t>dominant land has occupied the courts</w:t>
      </w:r>
      <w:r w:rsidR="00722285" w:rsidRPr="004936F1">
        <w:rPr>
          <w:rFonts w:asciiTheme="minorHAnsi" w:hAnsiTheme="minorHAnsi" w:cstheme="minorHAnsi"/>
          <w:sz w:val="21"/>
          <w:szCs w:val="21"/>
          <w:lang w:val="en-GB"/>
        </w:rPr>
        <w:t xml:space="preserve"> – </w:t>
      </w:r>
      <w:r w:rsidR="007C1D06" w:rsidRPr="004936F1">
        <w:rPr>
          <w:rFonts w:asciiTheme="minorHAnsi" w:hAnsiTheme="minorHAnsi" w:cstheme="minorHAnsi"/>
          <w:sz w:val="21"/>
          <w:szCs w:val="21"/>
          <w:lang w:val="en-GB"/>
        </w:rPr>
        <w:t>see</w:t>
      </w:r>
      <w:r w:rsidR="007C1D06" w:rsidRPr="004936F1">
        <w:rPr>
          <w:rFonts w:asciiTheme="minorHAnsi" w:hAnsiTheme="minorHAnsi" w:cstheme="minorHAnsi"/>
          <w:i/>
          <w:iCs/>
          <w:sz w:val="21"/>
          <w:szCs w:val="21"/>
          <w:lang w:val="en-GB"/>
        </w:rPr>
        <w:t xml:space="preserve"> </w:t>
      </w:r>
      <w:r w:rsidR="00722285" w:rsidRPr="004936F1">
        <w:rPr>
          <w:rFonts w:asciiTheme="minorHAnsi" w:hAnsiTheme="minorHAnsi" w:cstheme="minorHAnsi"/>
          <w:i/>
          <w:iCs/>
          <w:sz w:val="21"/>
          <w:szCs w:val="21"/>
          <w:lang w:val="en-GB"/>
        </w:rPr>
        <w:t xml:space="preserve">Regent Villas </w:t>
      </w:r>
      <w:r w:rsidR="007C1D06" w:rsidRPr="004936F1">
        <w:rPr>
          <w:rFonts w:asciiTheme="minorHAnsi" w:hAnsiTheme="minorHAnsi" w:cstheme="minorHAnsi"/>
          <w:i/>
          <w:iCs/>
          <w:sz w:val="21"/>
          <w:szCs w:val="21"/>
          <w:lang w:val="en-GB"/>
        </w:rPr>
        <w:t xml:space="preserve">Title Ltd </w:t>
      </w:r>
      <w:r w:rsidR="00722285" w:rsidRPr="004936F1">
        <w:rPr>
          <w:rFonts w:asciiTheme="minorHAnsi" w:hAnsiTheme="minorHAnsi" w:cstheme="minorHAnsi"/>
          <w:i/>
          <w:iCs/>
          <w:sz w:val="21"/>
          <w:szCs w:val="21"/>
          <w:lang w:val="en-GB"/>
        </w:rPr>
        <w:t>v Diamond Resorts</w:t>
      </w:r>
      <w:r w:rsidR="007C1D06" w:rsidRPr="004936F1">
        <w:rPr>
          <w:rFonts w:asciiTheme="minorHAnsi" w:hAnsiTheme="minorHAnsi" w:cstheme="minorHAnsi"/>
          <w:i/>
          <w:iCs/>
          <w:sz w:val="21"/>
          <w:szCs w:val="21"/>
          <w:lang w:val="en-GB"/>
        </w:rPr>
        <w:t xml:space="preserve"> (Europe) Ltd</w:t>
      </w:r>
      <w:r w:rsidR="00BC6A39" w:rsidRPr="004936F1">
        <w:rPr>
          <w:rFonts w:asciiTheme="minorHAnsi" w:hAnsiTheme="minorHAnsi" w:cstheme="minorHAnsi"/>
          <w:sz w:val="21"/>
          <w:szCs w:val="21"/>
          <w:lang w:val="en-GB"/>
        </w:rPr>
        <w:t xml:space="preserve">. </w:t>
      </w:r>
      <w:r w:rsidR="00380D5B" w:rsidRPr="004936F1">
        <w:rPr>
          <w:rFonts w:asciiTheme="minorHAnsi" w:hAnsiTheme="minorHAnsi" w:cstheme="minorHAnsi"/>
          <w:sz w:val="21"/>
          <w:szCs w:val="21"/>
          <w:lang w:val="en-GB"/>
        </w:rPr>
        <w:t xml:space="preserve">There had been hesitation in accepting rights of recreation for two </w:t>
      </w:r>
      <w:r w:rsidR="004309CC" w:rsidRPr="004936F1">
        <w:rPr>
          <w:rFonts w:asciiTheme="minorHAnsi" w:hAnsiTheme="minorHAnsi" w:cstheme="minorHAnsi"/>
          <w:sz w:val="21"/>
          <w:szCs w:val="21"/>
          <w:lang w:val="en-GB"/>
        </w:rPr>
        <w:t xml:space="preserve">reasons. First, was whether it could truly be said to benefit the land </w:t>
      </w:r>
      <w:r w:rsidR="00273BAE" w:rsidRPr="004936F1">
        <w:rPr>
          <w:rFonts w:asciiTheme="minorHAnsi" w:hAnsiTheme="minorHAnsi" w:cstheme="minorHAnsi"/>
          <w:sz w:val="21"/>
          <w:szCs w:val="21"/>
          <w:lang w:val="en-GB"/>
        </w:rPr>
        <w:t xml:space="preserve">rather than </w:t>
      </w:r>
      <w:r w:rsidR="004309CC" w:rsidRPr="004936F1">
        <w:rPr>
          <w:rFonts w:asciiTheme="minorHAnsi" w:hAnsiTheme="minorHAnsi" w:cstheme="minorHAnsi"/>
          <w:sz w:val="21"/>
          <w:szCs w:val="21"/>
          <w:lang w:val="en-GB"/>
        </w:rPr>
        <w:t xml:space="preserve">benefit the individual dominant owner </w:t>
      </w:r>
      <w:r w:rsidR="00D235AA" w:rsidRPr="004936F1">
        <w:rPr>
          <w:rFonts w:asciiTheme="minorHAnsi" w:hAnsiTheme="minorHAnsi" w:cstheme="minorHAnsi"/>
          <w:sz w:val="21"/>
          <w:szCs w:val="21"/>
          <w:lang w:val="en-GB"/>
        </w:rPr>
        <w:t xml:space="preserve">as a means of </w:t>
      </w:r>
      <w:r w:rsidR="00C002E1" w:rsidRPr="004936F1">
        <w:rPr>
          <w:rFonts w:asciiTheme="minorHAnsi" w:hAnsiTheme="minorHAnsi" w:cstheme="minorHAnsi"/>
          <w:sz w:val="21"/>
          <w:szCs w:val="21"/>
          <w:lang w:val="en-GB"/>
        </w:rPr>
        <w:t xml:space="preserve">fun </w:t>
      </w:r>
      <w:r w:rsidR="006D6944" w:rsidRPr="004936F1">
        <w:rPr>
          <w:rFonts w:asciiTheme="minorHAnsi" w:hAnsiTheme="minorHAnsi" w:cstheme="minorHAnsi"/>
          <w:sz w:val="21"/>
          <w:szCs w:val="21"/>
          <w:lang w:val="en-GB"/>
        </w:rPr>
        <w:t xml:space="preserve">or engaging </w:t>
      </w:r>
      <w:r w:rsidR="00C002E1" w:rsidRPr="004936F1">
        <w:rPr>
          <w:rFonts w:asciiTheme="minorHAnsi" w:hAnsiTheme="minorHAnsi" w:cstheme="minorHAnsi"/>
          <w:sz w:val="21"/>
          <w:szCs w:val="21"/>
          <w:lang w:val="en-GB"/>
        </w:rPr>
        <w:t>pursuit. Secondly</w:t>
      </w:r>
      <w:r w:rsidR="00146B54" w:rsidRPr="004936F1">
        <w:rPr>
          <w:rFonts w:asciiTheme="minorHAnsi" w:hAnsiTheme="minorHAnsi" w:cstheme="minorHAnsi"/>
          <w:sz w:val="21"/>
          <w:szCs w:val="21"/>
          <w:lang w:val="en-GB"/>
        </w:rPr>
        <w:t>,</w:t>
      </w:r>
      <w:r w:rsidR="00C002E1" w:rsidRPr="004936F1">
        <w:rPr>
          <w:rFonts w:asciiTheme="minorHAnsi" w:hAnsiTheme="minorHAnsi" w:cstheme="minorHAnsi"/>
          <w:sz w:val="21"/>
          <w:szCs w:val="21"/>
          <w:lang w:val="en-GB"/>
        </w:rPr>
        <w:t xml:space="preserve"> there was concern that it </w:t>
      </w:r>
      <w:r w:rsidR="00146B54" w:rsidRPr="004936F1">
        <w:rPr>
          <w:rFonts w:asciiTheme="minorHAnsi" w:hAnsiTheme="minorHAnsi" w:cstheme="minorHAnsi"/>
          <w:sz w:val="21"/>
          <w:szCs w:val="21"/>
          <w:lang w:val="en-GB"/>
        </w:rPr>
        <w:t xml:space="preserve">would be difficult to define the scope of the right </w:t>
      </w:r>
      <w:r w:rsidR="00B83F96" w:rsidRPr="004936F1">
        <w:rPr>
          <w:rFonts w:asciiTheme="minorHAnsi" w:hAnsiTheme="minorHAnsi" w:cstheme="minorHAnsi"/>
          <w:sz w:val="21"/>
          <w:szCs w:val="21"/>
          <w:lang w:val="en-GB"/>
        </w:rPr>
        <w:t>and thus place an undue burden on the servient land.  These two objections were overcome i</w:t>
      </w:r>
      <w:r w:rsidR="00433F52" w:rsidRPr="004936F1">
        <w:rPr>
          <w:rFonts w:asciiTheme="minorHAnsi" w:hAnsiTheme="minorHAnsi" w:cstheme="minorHAnsi"/>
          <w:sz w:val="21"/>
          <w:szCs w:val="21"/>
          <w:lang w:val="en-GB"/>
        </w:rPr>
        <w:t>n this case</w:t>
      </w:r>
      <w:r w:rsidR="005E1A28" w:rsidRPr="004936F1">
        <w:rPr>
          <w:rFonts w:asciiTheme="minorHAnsi" w:hAnsiTheme="minorHAnsi" w:cstheme="minorHAnsi"/>
          <w:sz w:val="21"/>
          <w:szCs w:val="21"/>
          <w:lang w:val="en-GB"/>
        </w:rPr>
        <w:t>.</w:t>
      </w:r>
      <w:r w:rsidR="00B83F96" w:rsidRPr="004936F1">
        <w:rPr>
          <w:rFonts w:asciiTheme="minorHAnsi" w:hAnsiTheme="minorHAnsi" w:cstheme="minorHAnsi"/>
          <w:sz w:val="21"/>
          <w:szCs w:val="21"/>
          <w:lang w:val="en-GB"/>
        </w:rPr>
        <w:t xml:space="preserve"> </w:t>
      </w:r>
      <w:r w:rsidR="005E1A28" w:rsidRPr="004936F1">
        <w:rPr>
          <w:rFonts w:asciiTheme="minorHAnsi" w:hAnsiTheme="minorHAnsi" w:cstheme="minorHAnsi"/>
          <w:sz w:val="21"/>
          <w:szCs w:val="21"/>
          <w:lang w:val="en-GB"/>
        </w:rPr>
        <w:t>L</w:t>
      </w:r>
      <w:r w:rsidR="00B83F96" w:rsidRPr="004936F1">
        <w:rPr>
          <w:rFonts w:asciiTheme="minorHAnsi" w:hAnsiTheme="minorHAnsi" w:cstheme="minorHAnsi"/>
          <w:sz w:val="21"/>
          <w:szCs w:val="21"/>
          <w:lang w:val="en-GB"/>
        </w:rPr>
        <w:t xml:space="preserve">ooking to the earlier case of </w:t>
      </w:r>
      <w:r w:rsidR="00BD2056" w:rsidRPr="004936F1">
        <w:rPr>
          <w:rFonts w:asciiTheme="minorHAnsi" w:hAnsiTheme="minorHAnsi" w:cstheme="minorHAnsi"/>
          <w:i/>
          <w:iCs/>
          <w:sz w:val="21"/>
          <w:szCs w:val="21"/>
          <w:lang w:val="en-GB"/>
        </w:rPr>
        <w:t>R</w:t>
      </w:r>
      <w:r w:rsidR="00B83F96" w:rsidRPr="004936F1">
        <w:rPr>
          <w:rFonts w:asciiTheme="minorHAnsi" w:hAnsiTheme="minorHAnsi" w:cstheme="minorHAnsi"/>
          <w:i/>
          <w:iCs/>
          <w:sz w:val="21"/>
          <w:szCs w:val="21"/>
          <w:lang w:val="en-GB"/>
        </w:rPr>
        <w:t>e Ellenborough Park</w:t>
      </w:r>
      <w:r w:rsidR="00BD2056" w:rsidRPr="004936F1">
        <w:rPr>
          <w:rFonts w:asciiTheme="minorHAnsi" w:hAnsiTheme="minorHAnsi" w:cstheme="minorHAnsi"/>
          <w:sz w:val="21"/>
          <w:szCs w:val="21"/>
          <w:lang w:val="en-GB"/>
        </w:rPr>
        <w:t>, which found accommodation to residential house of a right to use a nearby park</w:t>
      </w:r>
      <w:r w:rsidR="005E1A28" w:rsidRPr="004936F1">
        <w:rPr>
          <w:rFonts w:asciiTheme="minorHAnsi" w:hAnsiTheme="minorHAnsi" w:cstheme="minorHAnsi"/>
          <w:sz w:val="21"/>
          <w:szCs w:val="21"/>
          <w:lang w:val="en-GB"/>
        </w:rPr>
        <w:t xml:space="preserve">, </w:t>
      </w:r>
      <w:r w:rsidR="00B83F96" w:rsidRPr="004936F1">
        <w:rPr>
          <w:rFonts w:asciiTheme="minorHAnsi" w:hAnsiTheme="minorHAnsi" w:cstheme="minorHAnsi"/>
          <w:i/>
          <w:iCs/>
          <w:sz w:val="21"/>
          <w:szCs w:val="21"/>
          <w:lang w:val="en-GB"/>
        </w:rPr>
        <w:t xml:space="preserve"> </w:t>
      </w:r>
      <w:r w:rsidR="00433F52" w:rsidRPr="004936F1">
        <w:rPr>
          <w:rFonts w:asciiTheme="minorHAnsi" w:hAnsiTheme="minorHAnsi" w:cstheme="minorHAnsi"/>
          <w:sz w:val="21"/>
          <w:szCs w:val="21"/>
          <w:lang w:val="en-GB"/>
        </w:rPr>
        <w:t xml:space="preserve"> </w:t>
      </w:r>
      <w:r w:rsidR="005E1A28" w:rsidRPr="004936F1">
        <w:rPr>
          <w:rFonts w:asciiTheme="minorHAnsi" w:hAnsiTheme="minorHAnsi" w:cstheme="minorHAnsi"/>
          <w:sz w:val="21"/>
          <w:szCs w:val="21"/>
          <w:lang w:val="en-GB"/>
        </w:rPr>
        <w:t xml:space="preserve">the Supreme Court </w:t>
      </w:r>
      <w:r w:rsidR="003C37FA" w:rsidRPr="004936F1">
        <w:rPr>
          <w:rFonts w:asciiTheme="minorHAnsi" w:hAnsiTheme="minorHAnsi" w:cstheme="minorHAnsi"/>
          <w:sz w:val="21"/>
          <w:szCs w:val="21"/>
          <w:lang w:val="en-GB"/>
        </w:rPr>
        <w:t xml:space="preserve">found </w:t>
      </w:r>
      <w:r w:rsidR="00433F52" w:rsidRPr="004936F1">
        <w:rPr>
          <w:rFonts w:asciiTheme="minorHAnsi" w:hAnsiTheme="minorHAnsi" w:cstheme="minorHAnsi"/>
          <w:sz w:val="21"/>
          <w:szCs w:val="21"/>
          <w:lang w:val="en-GB"/>
        </w:rPr>
        <w:t xml:space="preserve">accommodation </w:t>
      </w:r>
      <w:r w:rsidR="007410D6" w:rsidRPr="004936F1">
        <w:rPr>
          <w:rFonts w:asciiTheme="minorHAnsi" w:hAnsiTheme="minorHAnsi" w:cstheme="minorHAnsi"/>
          <w:sz w:val="21"/>
          <w:szCs w:val="21"/>
          <w:lang w:val="en-GB"/>
        </w:rPr>
        <w:t xml:space="preserve">where the dominant land was time share apartments </w:t>
      </w:r>
      <w:r w:rsidR="007919A1" w:rsidRPr="004936F1">
        <w:rPr>
          <w:rFonts w:asciiTheme="minorHAnsi" w:hAnsiTheme="minorHAnsi" w:cstheme="minorHAnsi"/>
          <w:sz w:val="21"/>
          <w:szCs w:val="21"/>
          <w:lang w:val="en-GB"/>
        </w:rPr>
        <w:t xml:space="preserve">and the right </w:t>
      </w:r>
      <w:r w:rsidR="003C37FA" w:rsidRPr="004936F1">
        <w:rPr>
          <w:rFonts w:asciiTheme="minorHAnsi" w:hAnsiTheme="minorHAnsi" w:cstheme="minorHAnsi"/>
          <w:sz w:val="21"/>
          <w:szCs w:val="21"/>
          <w:lang w:val="en-GB"/>
        </w:rPr>
        <w:t xml:space="preserve">of recreation </w:t>
      </w:r>
      <w:r w:rsidR="00F968AC" w:rsidRPr="004936F1">
        <w:rPr>
          <w:rFonts w:asciiTheme="minorHAnsi" w:hAnsiTheme="minorHAnsi" w:cstheme="minorHAnsi"/>
          <w:sz w:val="21"/>
          <w:szCs w:val="21"/>
          <w:lang w:val="en-GB"/>
        </w:rPr>
        <w:t xml:space="preserve">was to use extensive recreation facilities for the time to time provided at the resort including a golf course, swimming pool and </w:t>
      </w:r>
      <w:r w:rsidR="00B40CE9" w:rsidRPr="004936F1">
        <w:rPr>
          <w:rFonts w:asciiTheme="minorHAnsi" w:hAnsiTheme="minorHAnsi" w:cstheme="minorHAnsi"/>
          <w:sz w:val="21"/>
          <w:szCs w:val="21"/>
          <w:lang w:val="en-GB"/>
        </w:rPr>
        <w:t xml:space="preserve">gardens. </w:t>
      </w:r>
      <w:r w:rsidR="00F62E37" w:rsidRPr="004936F1">
        <w:rPr>
          <w:rFonts w:asciiTheme="minorHAnsi" w:hAnsiTheme="minorHAnsi" w:cstheme="minorHAnsi"/>
          <w:sz w:val="21"/>
          <w:szCs w:val="21"/>
          <w:lang w:val="en-GB"/>
        </w:rPr>
        <w:t xml:space="preserve">The fact that the dominant land was time share apartments forming part of a holiday resort </w:t>
      </w:r>
      <w:r w:rsidR="00275676" w:rsidRPr="004936F1">
        <w:rPr>
          <w:rFonts w:asciiTheme="minorHAnsi" w:hAnsiTheme="minorHAnsi" w:cstheme="minorHAnsi"/>
          <w:sz w:val="21"/>
          <w:szCs w:val="21"/>
          <w:lang w:val="en-GB"/>
        </w:rPr>
        <w:t xml:space="preserve">providing recreational facilities was an important feature. </w:t>
      </w:r>
      <w:r w:rsidR="00F62E37" w:rsidRPr="004936F1">
        <w:rPr>
          <w:rFonts w:asciiTheme="minorHAnsi" w:hAnsiTheme="minorHAnsi" w:cstheme="minorHAnsi"/>
          <w:sz w:val="21"/>
          <w:szCs w:val="21"/>
          <w:lang w:val="en-GB"/>
        </w:rPr>
        <w:t xml:space="preserve"> </w:t>
      </w:r>
    </w:p>
    <w:p w14:paraId="4D43BF4A" w14:textId="3B0E49C2" w:rsidR="00B40CE9" w:rsidRPr="004936F1" w:rsidRDefault="00B40CE9" w:rsidP="00433F52">
      <w:pPr>
        <w:pStyle w:val="q"/>
        <w:spacing w:line="240" w:lineRule="auto"/>
        <w:ind w:left="360" w:firstLine="0"/>
        <w:rPr>
          <w:rFonts w:asciiTheme="minorHAnsi" w:hAnsiTheme="minorHAnsi" w:cstheme="minorHAnsi"/>
          <w:sz w:val="21"/>
          <w:szCs w:val="21"/>
          <w:lang w:val="en-GB"/>
        </w:rPr>
      </w:pPr>
    </w:p>
    <w:p w14:paraId="2E306315" w14:textId="77777777" w:rsidR="00B40CE9" w:rsidRPr="004936F1" w:rsidRDefault="00B40CE9" w:rsidP="00433F52">
      <w:pPr>
        <w:pStyle w:val="q"/>
        <w:spacing w:line="240" w:lineRule="auto"/>
        <w:ind w:left="360" w:firstLine="0"/>
        <w:rPr>
          <w:rFonts w:asciiTheme="minorHAnsi" w:hAnsiTheme="minorHAnsi" w:cstheme="minorHAnsi"/>
          <w:sz w:val="21"/>
          <w:szCs w:val="21"/>
          <w:lang w:val="en-GB"/>
        </w:rPr>
      </w:pPr>
    </w:p>
    <w:p w14:paraId="1F582E91" w14:textId="518B3F83" w:rsidR="00761150" w:rsidRPr="004936F1" w:rsidRDefault="004936F1" w:rsidP="00465AD7">
      <w:pPr>
        <w:pStyle w:val="q"/>
        <w:spacing w:line="240" w:lineRule="auto"/>
        <w:ind w:left="0" w:firstLine="0"/>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Question 2: </w:t>
      </w:r>
      <w:r w:rsidR="00761150" w:rsidRPr="004936F1">
        <w:rPr>
          <w:rFonts w:asciiTheme="minorHAnsi" w:hAnsiTheme="minorHAnsi" w:cstheme="minorHAnsi"/>
          <w:b/>
          <w:bCs/>
          <w:sz w:val="21"/>
          <w:szCs w:val="21"/>
          <w:lang w:val="en-GB"/>
        </w:rPr>
        <w:t xml:space="preserve">What does the requirement that to qualify as an easement a right over the land of another </w:t>
      </w:r>
      <w:r w:rsidR="00761150" w:rsidRPr="004936F1">
        <w:rPr>
          <w:rFonts w:asciiTheme="minorHAnsi" w:hAnsiTheme="minorHAnsi" w:cstheme="minorHAnsi"/>
          <w:b/>
          <w:bCs/>
          <w:sz w:val="21"/>
          <w:szCs w:val="21"/>
          <w:highlight w:val="white"/>
          <w:lang w:val="en-GB"/>
        </w:rPr>
        <w:t>‘must be capable of being the subject matter of a grant’</w:t>
      </w:r>
      <w:r w:rsidR="00761150" w:rsidRPr="004936F1">
        <w:rPr>
          <w:rFonts w:asciiTheme="minorHAnsi" w:hAnsiTheme="minorHAnsi" w:cstheme="minorHAnsi"/>
          <w:b/>
          <w:bCs/>
          <w:sz w:val="21"/>
          <w:szCs w:val="21"/>
          <w:lang w:val="en-GB"/>
        </w:rPr>
        <w:t xml:space="preserve"> encompass?</w:t>
      </w:r>
    </w:p>
    <w:p w14:paraId="3D754822" w14:textId="2921A2B7" w:rsidR="00543AB3" w:rsidRPr="004936F1" w:rsidRDefault="00543AB3" w:rsidP="00543AB3">
      <w:pPr>
        <w:pStyle w:val="q"/>
        <w:spacing w:line="240" w:lineRule="auto"/>
        <w:ind w:left="570" w:firstLine="0"/>
        <w:rPr>
          <w:rFonts w:asciiTheme="minorHAnsi" w:hAnsiTheme="minorHAnsi" w:cstheme="minorHAnsi"/>
          <w:b/>
          <w:bCs/>
          <w:sz w:val="21"/>
          <w:szCs w:val="21"/>
          <w:lang w:val="en-GB"/>
        </w:rPr>
      </w:pPr>
    </w:p>
    <w:p w14:paraId="0A6C2079" w14:textId="52CB97C1" w:rsidR="00543AB3" w:rsidRPr="004936F1" w:rsidRDefault="001674B8"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 xml:space="preserve">The </w:t>
      </w:r>
      <w:r w:rsidR="005457DA" w:rsidRPr="004936F1">
        <w:rPr>
          <w:rFonts w:asciiTheme="minorHAnsi" w:hAnsiTheme="minorHAnsi" w:cstheme="minorHAnsi"/>
          <w:sz w:val="21"/>
          <w:szCs w:val="21"/>
          <w:lang w:val="en-GB"/>
        </w:rPr>
        <w:t xml:space="preserve">meaning and import of the requirement that an easement must be capable of being the subject matter of a grant is consider in Paragraphs </w:t>
      </w:r>
      <w:r w:rsidR="00432D41" w:rsidRPr="004936F1">
        <w:rPr>
          <w:rFonts w:asciiTheme="minorHAnsi" w:hAnsiTheme="minorHAnsi" w:cstheme="minorHAnsi"/>
          <w:sz w:val="21"/>
          <w:szCs w:val="21"/>
          <w:lang w:val="en-GB"/>
        </w:rPr>
        <w:t>9.20-</w:t>
      </w:r>
      <w:r w:rsidR="00B31586" w:rsidRPr="004936F1">
        <w:rPr>
          <w:rFonts w:asciiTheme="minorHAnsi" w:hAnsiTheme="minorHAnsi" w:cstheme="minorHAnsi"/>
          <w:sz w:val="21"/>
          <w:szCs w:val="21"/>
          <w:lang w:val="en-GB"/>
        </w:rPr>
        <w:t>9.28.</w:t>
      </w:r>
    </w:p>
    <w:p w14:paraId="6789A1C6" w14:textId="261020E4" w:rsidR="00B31586" w:rsidRPr="004936F1" w:rsidRDefault="00B31586" w:rsidP="00543AB3">
      <w:pPr>
        <w:pStyle w:val="q"/>
        <w:spacing w:line="240" w:lineRule="auto"/>
        <w:ind w:left="570" w:firstLine="0"/>
        <w:rPr>
          <w:rFonts w:asciiTheme="minorHAnsi" w:hAnsiTheme="minorHAnsi" w:cstheme="minorHAnsi"/>
          <w:sz w:val="21"/>
          <w:szCs w:val="21"/>
          <w:lang w:val="en-GB"/>
        </w:rPr>
      </w:pPr>
    </w:p>
    <w:p w14:paraId="03879399" w14:textId="77777777" w:rsidR="002922BE" w:rsidRPr="004936F1" w:rsidRDefault="00B31586"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It enc</w:t>
      </w:r>
      <w:r w:rsidR="0068437E" w:rsidRPr="004936F1">
        <w:rPr>
          <w:rFonts w:asciiTheme="minorHAnsi" w:hAnsiTheme="minorHAnsi" w:cstheme="minorHAnsi"/>
          <w:sz w:val="21"/>
          <w:szCs w:val="21"/>
          <w:lang w:val="en-GB"/>
        </w:rPr>
        <w:t>ompasses a number of different strands</w:t>
      </w:r>
      <w:r w:rsidR="00401B86" w:rsidRPr="004936F1">
        <w:rPr>
          <w:rFonts w:asciiTheme="minorHAnsi" w:hAnsiTheme="minorHAnsi" w:cstheme="minorHAnsi"/>
          <w:sz w:val="21"/>
          <w:szCs w:val="21"/>
          <w:lang w:val="en-GB"/>
        </w:rPr>
        <w:t>,</w:t>
      </w:r>
      <w:r w:rsidR="0068437E" w:rsidRPr="004936F1">
        <w:rPr>
          <w:rFonts w:asciiTheme="minorHAnsi" w:hAnsiTheme="minorHAnsi" w:cstheme="minorHAnsi"/>
          <w:sz w:val="21"/>
          <w:szCs w:val="21"/>
          <w:lang w:val="en-GB"/>
        </w:rPr>
        <w:t xml:space="preserve"> which do not appear </w:t>
      </w:r>
      <w:r w:rsidR="00CE6280" w:rsidRPr="004936F1">
        <w:rPr>
          <w:rFonts w:asciiTheme="minorHAnsi" w:hAnsiTheme="minorHAnsi" w:cstheme="minorHAnsi"/>
          <w:sz w:val="21"/>
          <w:szCs w:val="21"/>
          <w:lang w:val="en-GB"/>
        </w:rPr>
        <w:t>connected</w:t>
      </w:r>
      <w:r w:rsidR="00401B86" w:rsidRPr="004936F1">
        <w:rPr>
          <w:rFonts w:asciiTheme="minorHAnsi" w:hAnsiTheme="minorHAnsi" w:cstheme="minorHAnsi"/>
          <w:sz w:val="21"/>
          <w:szCs w:val="21"/>
          <w:lang w:val="en-GB"/>
        </w:rPr>
        <w:t>,</w:t>
      </w:r>
      <w:r w:rsidR="00CE6280" w:rsidRPr="004936F1">
        <w:rPr>
          <w:rFonts w:asciiTheme="minorHAnsi" w:hAnsiTheme="minorHAnsi" w:cstheme="minorHAnsi"/>
          <w:sz w:val="21"/>
          <w:szCs w:val="21"/>
          <w:lang w:val="en-GB"/>
        </w:rPr>
        <w:t xml:space="preserve"> but which do </w:t>
      </w:r>
      <w:r w:rsidR="00401B86" w:rsidRPr="004936F1">
        <w:rPr>
          <w:rFonts w:asciiTheme="minorHAnsi" w:hAnsiTheme="minorHAnsi" w:cstheme="minorHAnsi"/>
          <w:sz w:val="21"/>
          <w:szCs w:val="21"/>
          <w:lang w:val="en-GB"/>
        </w:rPr>
        <w:t xml:space="preserve">focus upon </w:t>
      </w:r>
      <w:r w:rsidR="00CE6280" w:rsidRPr="004936F1">
        <w:rPr>
          <w:rFonts w:asciiTheme="minorHAnsi" w:hAnsiTheme="minorHAnsi" w:cstheme="minorHAnsi"/>
          <w:sz w:val="21"/>
          <w:szCs w:val="21"/>
          <w:lang w:val="en-GB"/>
        </w:rPr>
        <w:t xml:space="preserve">limiting the adverse impact of an easement on the servient </w:t>
      </w:r>
      <w:proofErr w:type="gramStart"/>
      <w:r w:rsidR="00CE6280" w:rsidRPr="004936F1">
        <w:rPr>
          <w:rFonts w:asciiTheme="minorHAnsi" w:hAnsiTheme="minorHAnsi" w:cstheme="minorHAnsi"/>
          <w:sz w:val="21"/>
          <w:szCs w:val="21"/>
          <w:lang w:val="en-GB"/>
        </w:rPr>
        <w:t>owners</w:t>
      </w:r>
      <w:proofErr w:type="gramEnd"/>
      <w:r w:rsidR="00CE6280" w:rsidRPr="004936F1">
        <w:rPr>
          <w:rFonts w:asciiTheme="minorHAnsi" w:hAnsiTheme="minorHAnsi" w:cstheme="minorHAnsi"/>
          <w:sz w:val="21"/>
          <w:szCs w:val="21"/>
          <w:lang w:val="en-GB"/>
        </w:rPr>
        <w:t xml:space="preserve"> ability to continue to use their own land. </w:t>
      </w:r>
      <w:r w:rsidR="00644921" w:rsidRPr="004936F1">
        <w:rPr>
          <w:rFonts w:asciiTheme="minorHAnsi" w:hAnsiTheme="minorHAnsi" w:cstheme="minorHAnsi"/>
          <w:sz w:val="21"/>
          <w:szCs w:val="21"/>
          <w:lang w:val="en-GB"/>
        </w:rPr>
        <w:t>These strands are that</w:t>
      </w:r>
      <w:r w:rsidR="002922BE" w:rsidRPr="004936F1">
        <w:rPr>
          <w:rFonts w:asciiTheme="minorHAnsi" w:hAnsiTheme="minorHAnsi" w:cstheme="minorHAnsi"/>
          <w:sz w:val="21"/>
          <w:szCs w:val="21"/>
          <w:lang w:val="en-GB"/>
        </w:rPr>
        <w:t>:</w:t>
      </w:r>
    </w:p>
    <w:p w14:paraId="480B99B6" w14:textId="77777777" w:rsidR="002922BE" w:rsidRPr="004936F1" w:rsidRDefault="002922BE" w:rsidP="00543AB3">
      <w:pPr>
        <w:pStyle w:val="q"/>
        <w:spacing w:line="240" w:lineRule="auto"/>
        <w:ind w:left="570" w:firstLine="0"/>
        <w:rPr>
          <w:rFonts w:asciiTheme="minorHAnsi" w:hAnsiTheme="minorHAnsi" w:cstheme="minorHAnsi"/>
          <w:sz w:val="21"/>
          <w:szCs w:val="21"/>
          <w:lang w:val="en-GB"/>
        </w:rPr>
      </w:pPr>
    </w:p>
    <w:p w14:paraId="53CA9D40" w14:textId="10A9612B" w:rsidR="00B31586" w:rsidRPr="004936F1" w:rsidRDefault="00644921" w:rsidP="002922BE">
      <w:pPr>
        <w:pStyle w:val="q"/>
        <w:numPr>
          <w:ilvl w:val="0"/>
          <w:numId w:val="2"/>
        </w:numPr>
        <w:spacing w:line="240" w:lineRule="auto"/>
        <w:rPr>
          <w:rFonts w:asciiTheme="minorHAnsi" w:hAnsiTheme="minorHAnsi" w:cstheme="minorHAnsi"/>
          <w:sz w:val="21"/>
          <w:szCs w:val="21"/>
          <w:lang w:val="en-GB"/>
        </w:rPr>
      </w:pPr>
      <w:r w:rsidRPr="004936F1">
        <w:rPr>
          <w:rFonts w:asciiTheme="minorHAnsi" w:hAnsiTheme="minorHAnsi" w:cstheme="minorHAnsi"/>
          <w:sz w:val="21"/>
          <w:szCs w:val="21"/>
          <w:lang w:val="en-GB"/>
        </w:rPr>
        <w:t xml:space="preserve">the right must be sufficiently certain and defined to be capable of being </w:t>
      </w:r>
      <w:r w:rsidR="00914C3E" w:rsidRPr="004936F1">
        <w:rPr>
          <w:rFonts w:asciiTheme="minorHAnsi" w:hAnsiTheme="minorHAnsi" w:cstheme="minorHAnsi"/>
          <w:sz w:val="21"/>
          <w:szCs w:val="21"/>
          <w:lang w:val="en-GB"/>
        </w:rPr>
        <w:t>conferred by deed</w:t>
      </w:r>
      <w:r w:rsidR="008A542B" w:rsidRPr="004936F1">
        <w:rPr>
          <w:rFonts w:asciiTheme="minorHAnsi" w:hAnsiTheme="minorHAnsi" w:cstheme="minorHAnsi"/>
          <w:sz w:val="21"/>
          <w:szCs w:val="21"/>
          <w:lang w:val="en-GB"/>
        </w:rPr>
        <w:t xml:space="preserve"> so vague rights will not qualify;</w:t>
      </w:r>
    </w:p>
    <w:p w14:paraId="22C763D3" w14:textId="77777777" w:rsidR="00B118AA" w:rsidRPr="004936F1" w:rsidRDefault="007E33AF" w:rsidP="002922BE">
      <w:pPr>
        <w:pStyle w:val="q"/>
        <w:numPr>
          <w:ilvl w:val="0"/>
          <w:numId w:val="2"/>
        </w:numPr>
        <w:spacing w:line="240" w:lineRule="auto"/>
        <w:rPr>
          <w:rFonts w:asciiTheme="minorHAnsi" w:hAnsiTheme="minorHAnsi" w:cstheme="minorHAnsi"/>
          <w:sz w:val="21"/>
          <w:szCs w:val="21"/>
          <w:lang w:val="en-GB"/>
        </w:rPr>
      </w:pPr>
      <w:r w:rsidRPr="004936F1">
        <w:rPr>
          <w:rFonts w:asciiTheme="minorHAnsi" w:hAnsiTheme="minorHAnsi" w:cstheme="minorHAnsi"/>
          <w:sz w:val="21"/>
          <w:szCs w:val="21"/>
          <w:lang w:val="en-GB"/>
        </w:rPr>
        <w:t xml:space="preserve">the right should not impose a positive burden </w:t>
      </w:r>
      <w:proofErr w:type="spellStart"/>
      <w:r w:rsidRPr="004936F1">
        <w:rPr>
          <w:rFonts w:asciiTheme="minorHAnsi" w:hAnsiTheme="minorHAnsi" w:cstheme="minorHAnsi"/>
          <w:sz w:val="21"/>
          <w:szCs w:val="21"/>
          <w:lang w:val="en-GB"/>
        </w:rPr>
        <w:t>eg</w:t>
      </w:r>
      <w:proofErr w:type="spellEnd"/>
      <w:r w:rsidRPr="004936F1">
        <w:rPr>
          <w:rFonts w:asciiTheme="minorHAnsi" w:hAnsiTheme="minorHAnsi" w:cstheme="minorHAnsi"/>
          <w:sz w:val="21"/>
          <w:szCs w:val="21"/>
          <w:lang w:val="en-GB"/>
        </w:rPr>
        <w:t xml:space="preserve"> to repair on the servient owner although a servient owner may agree separately to undertake such an obligation</w:t>
      </w:r>
      <w:r w:rsidR="00B118AA" w:rsidRPr="004936F1">
        <w:rPr>
          <w:rFonts w:asciiTheme="minorHAnsi" w:hAnsiTheme="minorHAnsi" w:cstheme="minorHAnsi"/>
          <w:sz w:val="21"/>
          <w:szCs w:val="21"/>
          <w:lang w:val="en-GB"/>
        </w:rPr>
        <w:t>.</w:t>
      </w:r>
    </w:p>
    <w:p w14:paraId="52065E13" w14:textId="4E48C46E" w:rsidR="00676F85" w:rsidRPr="004936F1" w:rsidRDefault="00BC2681" w:rsidP="002922BE">
      <w:pPr>
        <w:pStyle w:val="q"/>
        <w:numPr>
          <w:ilvl w:val="0"/>
          <w:numId w:val="2"/>
        </w:numPr>
        <w:spacing w:line="240" w:lineRule="auto"/>
        <w:rPr>
          <w:rFonts w:asciiTheme="minorHAnsi" w:hAnsiTheme="minorHAnsi" w:cstheme="minorHAnsi"/>
          <w:sz w:val="21"/>
          <w:szCs w:val="21"/>
          <w:lang w:val="en-GB"/>
        </w:rPr>
      </w:pPr>
      <w:proofErr w:type="gramStart"/>
      <w:r w:rsidRPr="004936F1">
        <w:rPr>
          <w:rFonts w:asciiTheme="minorHAnsi" w:hAnsiTheme="minorHAnsi" w:cstheme="minorHAnsi"/>
          <w:sz w:val="21"/>
          <w:szCs w:val="21"/>
          <w:lang w:val="en-GB"/>
        </w:rPr>
        <w:t>t</w:t>
      </w:r>
      <w:r w:rsidR="00B118AA" w:rsidRPr="004936F1">
        <w:rPr>
          <w:rFonts w:asciiTheme="minorHAnsi" w:hAnsiTheme="minorHAnsi" w:cstheme="minorHAnsi"/>
          <w:sz w:val="21"/>
          <w:szCs w:val="21"/>
          <w:lang w:val="en-GB"/>
        </w:rPr>
        <w:t>he</w:t>
      </w:r>
      <w:proofErr w:type="gramEnd"/>
      <w:r w:rsidR="00B118AA" w:rsidRPr="004936F1">
        <w:rPr>
          <w:rFonts w:asciiTheme="minorHAnsi" w:hAnsiTheme="minorHAnsi" w:cstheme="minorHAnsi"/>
          <w:sz w:val="21"/>
          <w:szCs w:val="21"/>
          <w:lang w:val="en-GB"/>
        </w:rPr>
        <w:t xml:space="preserve"> right must not oust the servient owner from their </w:t>
      </w:r>
      <w:r w:rsidR="00F1636B" w:rsidRPr="004936F1">
        <w:rPr>
          <w:rFonts w:asciiTheme="minorHAnsi" w:hAnsiTheme="minorHAnsi" w:cstheme="minorHAnsi"/>
          <w:sz w:val="21"/>
          <w:szCs w:val="21"/>
          <w:lang w:val="en-GB"/>
        </w:rPr>
        <w:t xml:space="preserve"> own land for instance by in reality amounting to a claim for joint possession </w:t>
      </w:r>
      <w:r w:rsidR="00E007E6" w:rsidRPr="004936F1">
        <w:rPr>
          <w:rFonts w:asciiTheme="minorHAnsi" w:hAnsiTheme="minorHAnsi" w:cstheme="minorHAnsi"/>
          <w:sz w:val="21"/>
          <w:szCs w:val="21"/>
          <w:lang w:val="en-GB"/>
        </w:rPr>
        <w:t xml:space="preserve">or making it </w:t>
      </w:r>
      <w:r w:rsidR="00422B35" w:rsidRPr="004936F1">
        <w:rPr>
          <w:rFonts w:asciiTheme="minorHAnsi" w:hAnsiTheme="minorHAnsi" w:cstheme="minorHAnsi"/>
          <w:sz w:val="21"/>
          <w:szCs w:val="21"/>
          <w:lang w:val="en-GB"/>
        </w:rPr>
        <w:t xml:space="preserve">really difficult </w:t>
      </w:r>
      <w:r w:rsidR="00E007E6" w:rsidRPr="004936F1">
        <w:rPr>
          <w:rFonts w:asciiTheme="minorHAnsi" w:hAnsiTheme="minorHAnsi" w:cstheme="minorHAnsi"/>
          <w:sz w:val="21"/>
          <w:szCs w:val="21"/>
          <w:lang w:val="en-GB"/>
        </w:rPr>
        <w:t xml:space="preserve">for the servient owner </w:t>
      </w:r>
      <w:r w:rsidR="007E33AF" w:rsidRPr="004936F1">
        <w:rPr>
          <w:rFonts w:asciiTheme="minorHAnsi" w:hAnsiTheme="minorHAnsi" w:cstheme="minorHAnsi"/>
          <w:sz w:val="21"/>
          <w:szCs w:val="21"/>
          <w:lang w:val="en-GB"/>
        </w:rPr>
        <w:t xml:space="preserve"> </w:t>
      </w:r>
      <w:r w:rsidR="00422B35" w:rsidRPr="004936F1">
        <w:rPr>
          <w:rFonts w:asciiTheme="minorHAnsi" w:hAnsiTheme="minorHAnsi" w:cstheme="minorHAnsi"/>
          <w:sz w:val="21"/>
          <w:szCs w:val="21"/>
          <w:lang w:val="en-GB"/>
        </w:rPr>
        <w:t>to continue to derive</w:t>
      </w:r>
      <w:r w:rsidR="00D922AC" w:rsidRPr="004936F1">
        <w:rPr>
          <w:rFonts w:asciiTheme="minorHAnsi" w:hAnsiTheme="minorHAnsi" w:cstheme="minorHAnsi"/>
          <w:sz w:val="21"/>
          <w:szCs w:val="21"/>
          <w:lang w:val="en-GB"/>
        </w:rPr>
        <w:t xml:space="preserve"> continued reasonable enjoyment of their land</w:t>
      </w:r>
      <w:r w:rsidR="00384367" w:rsidRPr="004936F1">
        <w:rPr>
          <w:rFonts w:asciiTheme="minorHAnsi" w:hAnsiTheme="minorHAnsi" w:cstheme="minorHAnsi"/>
          <w:sz w:val="21"/>
          <w:szCs w:val="21"/>
          <w:lang w:val="en-GB"/>
        </w:rPr>
        <w:t xml:space="preserve">. Rights to park have presented a particular challenge to this element </w:t>
      </w:r>
      <w:r w:rsidR="008E15DE" w:rsidRPr="004936F1">
        <w:rPr>
          <w:rFonts w:asciiTheme="minorHAnsi" w:hAnsiTheme="minorHAnsi" w:cstheme="minorHAnsi"/>
          <w:sz w:val="21"/>
          <w:szCs w:val="21"/>
          <w:lang w:val="en-GB"/>
        </w:rPr>
        <w:t xml:space="preserve">which the courts have struggled to reconcile with the evident economic desirability of parking. </w:t>
      </w:r>
    </w:p>
    <w:p w14:paraId="4D017521" w14:textId="3C9694FA" w:rsidR="008A542B" w:rsidRPr="004936F1" w:rsidRDefault="00BC2681" w:rsidP="002922BE">
      <w:pPr>
        <w:pStyle w:val="q"/>
        <w:numPr>
          <w:ilvl w:val="0"/>
          <w:numId w:val="2"/>
        </w:numPr>
        <w:spacing w:line="240" w:lineRule="auto"/>
        <w:rPr>
          <w:rFonts w:asciiTheme="minorHAnsi" w:hAnsiTheme="minorHAnsi" w:cstheme="minorHAnsi"/>
          <w:sz w:val="21"/>
          <w:szCs w:val="21"/>
          <w:lang w:val="en-GB"/>
        </w:rPr>
      </w:pPr>
      <w:r w:rsidRPr="004936F1">
        <w:rPr>
          <w:rFonts w:asciiTheme="minorHAnsi" w:hAnsiTheme="minorHAnsi" w:cstheme="minorHAnsi"/>
          <w:sz w:val="21"/>
          <w:szCs w:val="21"/>
          <w:lang w:val="en-GB"/>
        </w:rPr>
        <w:lastRenderedPageBreak/>
        <w:t>new negative easements are unlikely to be recognised</w:t>
      </w:r>
      <w:r w:rsidR="001D0748" w:rsidRPr="004936F1">
        <w:rPr>
          <w:rFonts w:asciiTheme="minorHAnsi" w:hAnsiTheme="minorHAnsi" w:cstheme="minorHAnsi"/>
          <w:sz w:val="21"/>
          <w:szCs w:val="21"/>
          <w:lang w:val="en-GB"/>
        </w:rPr>
        <w:t>. We look at the nature of negative easements in the next question</w:t>
      </w:r>
      <w:r w:rsidR="008330C5" w:rsidRPr="004936F1">
        <w:rPr>
          <w:rFonts w:asciiTheme="minorHAnsi" w:hAnsiTheme="minorHAnsi" w:cstheme="minorHAnsi"/>
          <w:sz w:val="21"/>
          <w:szCs w:val="21"/>
          <w:lang w:val="en-GB"/>
        </w:rPr>
        <w:t xml:space="preserve"> and will see that the</w:t>
      </w:r>
      <w:r w:rsidR="00987157" w:rsidRPr="004936F1">
        <w:rPr>
          <w:rFonts w:asciiTheme="minorHAnsi" w:hAnsiTheme="minorHAnsi" w:cstheme="minorHAnsi"/>
          <w:sz w:val="21"/>
          <w:szCs w:val="21"/>
          <w:lang w:val="en-GB"/>
        </w:rPr>
        <w:t>ir</w:t>
      </w:r>
      <w:r w:rsidR="008330C5" w:rsidRPr="004936F1">
        <w:rPr>
          <w:rFonts w:asciiTheme="minorHAnsi" w:hAnsiTheme="minorHAnsi" w:cstheme="minorHAnsi"/>
          <w:sz w:val="21"/>
          <w:szCs w:val="21"/>
          <w:lang w:val="en-GB"/>
        </w:rPr>
        <w:t xml:space="preserve"> object </w:t>
      </w:r>
      <w:r w:rsidR="00987157" w:rsidRPr="004936F1">
        <w:rPr>
          <w:rFonts w:asciiTheme="minorHAnsi" w:hAnsiTheme="minorHAnsi" w:cstheme="minorHAnsi"/>
          <w:sz w:val="21"/>
          <w:szCs w:val="21"/>
          <w:lang w:val="en-GB"/>
        </w:rPr>
        <w:t xml:space="preserve">often </w:t>
      </w:r>
      <w:r w:rsidR="008330C5" w:rsidRPr="004936F1">
        <w:rPr>
          <w:rFonts w:asciiTheme="minorHAnsi" w:hAnsiTheme="minorHAnsi" w:cstheme="minorHAnsi"/>
          <w:sz w:val="21"/>
          <w:szCs w:val="21"/>
          <w:lang w:val="en-GB"/>
        </w:rPr>
        <w:t xml:space="preserve">can be achieved by a restrictive covenant </w:t>
      </w:r>
      <w:r w:rsidR="00987157" w:rsidRPr="004936F1">
        <w:rPr>
          <w:rFonts w:asciiTheme="minorHAnsi" w:hAnsiTheme="minorHAnsi" w:cstheme="minorHAnsi"/>
          <w:sz w:val="21"/>
          <w:szCs w:val="21"/>
          <w:lang w:val="en-GB"/>
        </w:rPr>
        <w:t xml:space="preserve">to which the servient owner </w:t>
      </w:r>
      <w:r w:rsidR="00BB63D5" w:rsidRPr="004936F1">
        <w:rPr>
          <w:rFonts w:asciiTheme="minorHAnsi" w:hAnsiTheme="minorHAnsi" w:cstheme="minorHAnsi"/>
          <w:sz w:val="21"/>
          <w:szCs w:val="21"/>
          <w:lang w:val="en-GB"/>
        </w:rPr>
        <w:t>must</w:t>
      </w:r>
      <w:r w:rsidR="00987157" w:rsidRPr="004936F1">
        <w:rPr>
          <w:rFonts w:asciiTheme="minorHAnsi" w:hAnsiTheme="minorHAnsi" w:cstheme="minorHAnsi"/>
          <w:sz w:val="21"/>
          <w:szCs w:val="21"/>
          <w:lang w:val="en-GB"/>
        </w:rPr>
        <w:t xml:space="preserve"> agree to </w:t>
      </w:r>
      <w:r w:rsidR="003648E2" w:rsidRPr="004936F1">
        <w:rPr>
          <w:rFonts w:asciiTheme="minorHAnsi" w:hAnsiTheme="minorHAnsi" w:cstheme="minorHAnsi"/>
          <w:sz w:val="21"/>
          <w:szCs w:val="21"/>
          <w:lang w:val="en-GB"/>
        </w:rPr>
        <w:t>create. A negative easement</w:t>
      </w:r>
      <w:r w:rsidR="00BB63D5" w:rsidRPr="004936F1">
        <w:rPr>
          <w:rFonts w:asciiTheme="minorHAnsi" w:hAnsiTheme="minorHAnsi" w:cstheme="minorHAnsi"/>
          <w:sz w:val="21"/>
          <w:szCs w:val="21"/>
          <w:lang w:val="en-GB"/>
        </w:rPr>
        <w:t>,</w:t>
      </w:r>
      <w:r w:rsidR="003648E2" w:rsidRPr="004936F1">
        <w:rPr>
          <w:rFonts w:asciiTheme="minorHAnsi" w:hAnsiTheme="minorHAnsi" w:cstheme="minorHAnsi"/>
          <w:sz w:val="21"/>
          <w:szCs w:val="21"/>
          <w:lang w:val="en-GB"/>
        </w:rPr>
        <w:t xml:space="preserve"> on the other hand</w:t>
      </w:r>
      <w:r w:rsidR="00BB63D5" w:rsidRPr="004936F1">
        <w:rPr>
          <w:rFonts w:asciiTheme="minorHAnsi" w:hAnsiTheme="minorHAnsi" w:cstheme="minorHAnsi"/>
          <w:sz w:val="21"/>
          <w:szCs w:val="21"/>
          <w:lang w:val="en-GB"/>
        </w:rPr>
        <w:t>,</w:t>
      </w:r>
      <w:r w:rsidR="003648E2" w:rsidRPr="004936F1">
        <w:rPr>
          <w:rFonts w:asciiTheme="minorHAnsi" w:hAnsiTheme="minorHAnsi" w:cstheme="minorHAnsi"/>
          <w:sz w:val="21"/>
          <w:szCs w:val="21"/>
          <w:lang w:val="en-GB"/>
        </w:rPr>
        <w:t xml:space="preserve"> can </w:t>
      </w:r>
      <w:r w:rsidR="00BB63D5" w:rsidRPr="004936F1">
        <w:rPr>
          <w:rFonts w:asciiTheme="minorHAnsi" w:hAnsiTheme="minorHAnsi" w:cstheme="minorHAnsi"/>
          <w:sz w:val="21"/>
          <w:szCs w:val="21"/>
          <w:lang w:val="en-GB"/>
        </w:rPr>
        <w:t xml:space="preserve">be implied </w:t>
      </w:r>
      <w:r w:rsidR="00A311C5" w:rsidRPr="004936F1">
        <w:rPr>
          <w:rFonts w:asciiTheme="minorHAnsi" w:hAnsiTheme="minorHAnsi" w:cstheme="minorHAnsi"/>
          <w:sz w:val="21"/>
          <w:szCs w:val="21"/>
          <w:lang w:val="en-GB"/>
        </w:rPr>
        <w:t xml:space="preserve">or be created </w:t>
      </w:r>
      <w:r w:rsidR="003648E2" w:rsidRPr="004936F1">
        <w:rPr>
          <w:rFonts w:asciiTheme="minorHAnsi" w:hAnsiTheme="minorHAnsi" w:cstheme="minorHAnsi"/>
          <w:sz w:val="21"/>
          <w:szCs w:val="21"/>
          <w:lang w:val="en-GB"/>
        </w:rPr>
        <w:t>by presumed grant through long user</w:t>
      </w:r>
      <w:r w:rsidR="00A311C5" w:rsidRPr="004936F1">
        <w:rPr>
          <w:rFonts w:asciiTheme="minorHAnsi" w:hAnsiTheme="minorHAnsi" w:cstheme="minorHAnsi"/>
          <w:sz w:val="21"/>
          <w:szCs w:val="21"/>
          <w:lang w:val="en-GB"/>
        </w:rPr>
        <w:t xml:space="preserve"> – see questions </w:t>
      </w:r>
      <w:r w:rsidR="000672C1" w:rsidRPr="004936F1">
        <w:rPr>
          <w:rFonts w:asciiTheme="minorHAnsi" w:hAnsiTheme="minorHAnsi" w:cstheme="minorHAnsi"/>
          <w:sz w:val="21"/>
          <w:szCs w:val="21"/>
          <w:lang w:val="en-GB"/>
        </w:rPr>
        <w:t>4</w:t>
      </w:r>
      <w:proofErr w:type="gramStart"/>
      <w:r w:rsidR="000672C1" w:rsidRPr="004936F1">
        <w:rPr>
          <w:rFonts w:asciiTheme="minorHAnsi" w:hAnsiTheme="minorHAnsi" w:cstheme="minorHAnsi"/>
          <w:sz w:val="21"/>
          <w:szCs w:val="21"/>
          <w:lang w:val="en-GB"/>
        </w:rPr>
        <w:t>,5</w:t>
      </w:r>
      <w:proofErr w:type="gramEnd"/>
      <w:r w:rsidR="000672C1" w:rsidRPr="004936F1">
        <w:rPr>
          <w:rFonts w:asciiTheme="minorHAnsi" w:hAnsiTheme="minorHAnsi" w:cstheme="minorHAnsi"/>
          <w:sz w:val="21"/>
          <w:szCs w:val="21"/>
          <w:lang w:val="en-GB"/>
        </w:rPr>
        <w:t xml:space="preserve"> and 6</w:t>
      </w:r>
      <w:r w:rsidR="00345D3D" w:rsidRPr="004936F1">
        <w:rPr>
          <w:rFonts w:asciiTheme="minorHAnsi" w:hAnsiTheme="minorHAnsi" w:cstheme="minorHAnsi"/>
          <w:sz w:val="21"/>
          <w:szCs w:val="21"/>
          <w:lang w:val="en-GB"/>
        </w:rPr>
        <w:t xml:space="preserve"> </w:t>
      </w:r>
      <w:r w:rsidR="003648E2" w:rsidRPr="004936F1">
        <w:rPr>
          <w:rFonts w:asciiTheme="minorHAnsi" w:hAnsiTheme="minorHAnsi" w:cstheme="minorHAnsi"/>
          <w:sz w:val="21"/>
          <w:szCs w:val="21"/>
          <w:lang w:val="en-GB"/>
        </w:rPr>
        <w:t xml:space="preserve">. </w:t>
      </w:r>
      <w:r w:rsidR="00D922AC" w:rsidRPr="004936F1">
        <w:rPr>
          <w:rFonts w:asciiTheme="minorHAnsi" w:hAnsiTheme="minorHAnsi" w:cstheme="minorHAnsi"/>
          <w:sz w:val="21"/>
          <w:szCs w:val="21"/>
          <w:lang w:val="en-GB"/>
        </w:rPr>
        <w:t xml:space="preserve"> </w:t>
      </w:r>
    </w:p>
    <w:p w14:paraId="38C9EDF6" w14:textId="35BACC03" w:rsidR="00CE6280" w:rsidRPr="004936F1" w:rsidRDefault="00CE6280" w:rsidP="00543AB3">
      <w:pPr>
        <w:pStyle w:val="q"/>
        <w:spacing w:line="240" w:lineRule="auto"/>
        <w:ind w:left="570" w:firstLine="0"/>
        <w:rPr>
          <w:rFonts w:asciiTheme="minorHAnsi" w:hAnsiTheme="minorHAnsi" w:cstheme="minorHAnsi"/>
          <w:sz w:val="21"/>
          <w:szCs w:val="21"/>
          <w:lang w:val="en-GB"/>
        </w:rPr>
      </w:pPr>
    </w:p>
    <w:p w14:paraId="5A315A2B" w14:textId="77777777" w:rsidR="00CE6280" w:rsidRPr="004936F1" w:rsidRDefault="00CE6280" w:rsidP="00543AB3">
      <w:pPr>
        <w:pStyle w:val="q"/>
        <w:spacing w:line="240" w:lineRule="auto"/>
        <w:ind w:left="570" w:firstLine="0"/>
        <w:rPr>
          <w:rFonts w:asciiTheme="minorHAnsi" w:hAnsiTheme="minorHAnsi" w:cstheme="minorHAnsi"/>
          <w:sz w:val="21"/>
          <w:szCs w:val="21"/>
          <w:lang w:val="en-GB"/>
        </w:rPr>
      </w:pPr>
    </w:p>
    <w:p w14:paraId="14FF3FBA" w14:textId="37681CA7" w:rsidR="00761150" w:rsidRPr="004936F1" w:rsidRDefault="004936F1" w:rsidP="00465AD7">
      <w:pPr>
        <w:pStyle w:val="q"/>
        <w:spacing w:line="240" w:lineRule="auto"/>
        <w:ind w:left="0" w:firstLine="0"/>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Question 3: </w:t>
      </w:r>
      <w:r w:rsidR="00761150" w:rsidRPr="004936F1">
        <w:rPr>
          <w:rFonts w:asciiTheme="minorHAnsi" w:hAnsiTheme="minorHAnsi" w:cstheme="minorHAnsi"/>
          <w:b/>
          <w:bCs/>
          <w:sz w:val="21"/>
          <w:szCs w:val="21"/>
          <w:lang w:val="en-GB"/>
        </w:rPr>
        <w:t xml:space="preserve">Explain the difference between a positive easement, a negative easement, and a profit </w:t>
      </w:r>
      <w:r w:rsidR="00761150" w:rsidRPr="004936F1">
        <w:rPr>
          <w:rFonts w:asciiTheme="minorHAnsi" w:hAnsiTheme="minorHAnsi" w:cstheme="minorHAnsi"/>
          <w:b/>
          <w:bCs/>
          <w:sz w:val="21"/>
          <w:szCs w:val="21"/>
          <w:shd w:val="clear" w:color="auto" w:fill="FF99CC"/>
          <w:lang w:val="en-GB"/>
        </w:rPr>
        <w:t>à</w:t>
      </w:r>
      <w:r w:rsidR="00761150" w:rsidRPr="004936F1">
        <w:rPr>
          <w:rFonts w:asciiTheme="minorHAnsi" w:hAnsiTheme="minorHAnsi" w:cstheme="minorHAnsi"/>
          <w:b/>
          <w:bCs/>
          <w:sz w:val="21"/>
          <w:szCs w:val="21"/>
          <w:lang w:val="en-GB"/>
        </w:rPr>
        <w:t xml:space="preserve"> </w:t>
      </w:r>
      <w:proofErr w:type="spellStart"/>
      <w:r w:rsidR="00761150" w:rsidRPr="004936F1">
        <w:rPr>
          <w:rFonts w:asciiTheme="minorHAnsi" w:hAnsiTheme="minorHAnsi" w:cstheme="minorHAnsi"/>
          <w:b/>
          <w:bCs/>
          <w:sz w:val="21"/>
          <w:szCs w:val="21"/>
          <w:lang w:val="en-GB"/>
        </w:rPr>
        <w:t>prendre</w:t>
      </w:r>
      <w:proofErr w:type="spellEnd"/>
      <w:r w:rsidR="00761150" w:rsidRPr="004936F1">
        <w:rPr>
          <w:rFonts w:asciiTheme="minorHAnsi" w:hAnsiTheme="minorHAnsi" w:cstheme="minorHAnsi"/>
          <w:b/>
          <w:bCs/>
          <w:sz w:val="21"/>
          <w:szCs w:val="21"/>
          <w:lang w:val="en-GB"/>
        </w:rPr>
        <w:t>.</w:t>
      </w:r>
    </w:p>
    <w:p w14:paraId="0689306F" w14:textId="698A7D03" w:rsidR="00A311C5" w:rsidRPr="004936F1" w:rsidRDefault="00A311C5" w:rsidP="00A311C5">
      <w:pPr>
        <w:pStyle w:val="q"/>
        <w:spacing w:line="240" w:lineRule="auto"/>
        <w:rPr>
          <w:rFonts w:asciiTheme="minorHAnsi" w:hAnsiTheme="minorHAnsi" w:cstheme="minorHAnsi"/>
          <w:b/>
          <w:bCs/>
          <w:sz w:val="21"/>
          <w:szCs w:val="21"/>
          <w:lang w:val="en-GB"/>
        </w:rPr>
      </w:pPr>
    </w:p>
    <w:p w14:paraId="24728726" w14:textId="77777777" w:rsidR="00250CE5" w:rsidRPr="004936F1" w:rsidRDefault="0015595C"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The different categorises of rights that may exist over another’s land are exp</w:t>
      </w:r>
      <w:r w:rsidR="00E34CAF" w:rsidRPr="004936F1">
        <w:rPr>
          <w:rFonts w:asciiTheme="minorHAnsi" w:hAnsiTheme="minorHAnsi" w:cstheme="minorHAnsi"/>
          <w:sz w:val="21"/>
          <w:szCs w:val="21"/>
          <w:lang w:val="en-GB"/>
        </w:rPr>
        <w:t xml:space="preserve">lained in Paragraphs 9.1-9.6 at the beginning of Chapter 9. </w:t>
      </w:r>
      <w:r w:rsidR="0090228E" w:rsidRPr="004936F1">
        <w:rPr>
          <w:rFonts w:asciiTheme="minorHAnsi" w:hAnsiTheme="minorHAnsi" w:cstheme="minorHAnsi"/>
          <w:sz w:val="21"/>
          <w:szCs w:val="21"/>
          <w:lang w:val="en-GB"/>
        </w:rPr>
        <w:t xml:space="preserve">We concentrate on the two categorises of easement in Chapter. The positive easement grants a right to use the land of another. The most common form of positive easement is the right of way over </w:t>
      </w:r>
      <w:r w:rsidR="00075C61" w:rsidRPr="004936F1">
        <w:rPr>
          <w:rFonts w:asciiTheme="minorHAnsi" w:hAnsiTheme="minorHAnsi" w:cstheme="minorHAnsi"/>
          <w:sz w:val="21"/>
          <w:szCs w:val="21"/>
          <w:lang w:val="en-GB"/>
        </w:rPr>
        <w:t xml:space="preserve">the servient land. </w:t>
      </w:r>
    </w:p>
    <w:p w14:paraId="11EDB9BA" w14:textId="77777777" w:rsidR="00250CE5" w:rsidRPr="004936F1" w:rsidRDefault="00250CE5" w:rsidP="00E34CAF">
      <w:pPr>
        <w:pStyle w:val="q"/>
        <w:spacing w:line="240" w:lineRule="auto"/>
        <w:ind w:firstLine="0"/>
        <w:rPr>
          <w:rFonts w:asciiTheme="minorHAnsi" w:hAnsiTheme="minorHAnsi" w:cstheme="minorHAnsi"/>
          <w:sz w:val="21"/>
          <w:szCs w:val="21"/>
          <w:lang w:val="en-GB"/>
        </w:rPr>
      </w:pPr>
    </w:p>
    <w:p w14:paraId="36A4DDA2" w14:textId="58B77AC5" w:rsidR="003641AB" w:rsidRPr="004936F1" w:rsidRDefault="00075C61"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A</w:t>
      </w:r>
      <w:r w:rsidR="0090228E" w:rsidRPr="004936F1">
        <w:rPr>
          <w:rFonts w:asciiTheme="minorHAnsi" w:hAnsiTheme="minorHAnsi" w:cstheme="minorHAnsi"/>
          <w:sz w:val="21"/>
          <w:szCs w:val="21"/>
          <w:lang w:val="en-GB"/>
        </w:rPr>
        <w:t xml:space="preserve"> negative easement</w:t>
      </w:r>
      <w:r w:rsidRPr="004936F1">
        <w:rPr>
          <w:rFonts w:asciiTheme="minorHAnsi" w:hAnsiTheme="minorHAnsi" w:cstheme="minorHAnsi"/>
          <w:sz w:val="21"/>
          <w:szCs w:val="21"/>
          <w:lang w:val="en-GB"/>
        </w:rPr>
        <w:t>, by contrast,</w:t>
      </w:r>
      <w:r w:rsidR="0090228E" w:rsidRPr="004936F1">
        <w:rPr>
          <w:rFonts w:asciiTheme="minorHAnsi" w:hAnsiTheme="minorHAnsi" w:cstheme="minorHAnsi"/>
          <w:sz w:val="21"/>
          <w:szCs w:val="21"/>
          <w:lang w:val="en-GB"/>
        </w:rPr>
        <w:t xml:space="preserve"> restricts what a servient owner can do on their land</w:t>
      </w:r>
      <w:r w:rsidRPr="004936F1">
        <w:rPr>
          <w:rFonts w:asciiTheme="minorHAnsi" w:hAnsiTheme="minorHAnsi" w:cstheme="minorHAnsi"/>
          <w:sz w:val="21"/>
          <w:szCs w:val="21"/>
          <w:lang w:val="en-GB"/>
        </w:rPr>
        <w:t>. Only a limited number of negative easements are recognised and as we have seen in 3 above the courts are reluctant to recognise more. The most common forms of negative easement are the right to light and to air</w:t>
      </w:r>
      <w:r w:rsidR="00E41708" w:rsidRPr="004936F1">
        <w:rPr>
          <w:rFonts w:asciiTheme="minorHAnsi" w:hAnsiTheme="minorHAnsi" w:cstheme="minorHAnsi"/>
          <w:sz w:val="21"/>
          <w:szCs w:val="21"/>
          <w:lang w:val="en-GB"/>
        </w:rPr>
        <w:t xml:space="preserve"> through a defined channel </w:t>
      </w:r>
      <w:r w:rsidR="00636C6B" w:rsidRPr="004936F1">
        <w:rPr>
          <w:rFonts w:asciiTheme="minorHAnsi" w:hAnsiTheme="minorHAnsi" w:cstheme="minorHAnsi"/>
          <w:sz w:val="21"/>
          <w:szCs w:val="21"/>
          <w:lang w:val="en-GB"/>
        </w:rPr>
        <w:t xml:space="preserve">- </w:t>
      </w:r>
      <w:r w:rsidR="00E41708" w:rsidRPr="004936F1">
        <w:rPr>
          <w:rFonts w:asciiTheme="minorHAnsi" w:hAnsiTheme="minorHAnsi" w:cstheme="minorHAnsi"/>
          <w:sz w:val="21"/>
          <w:szCs w:val="21"/>
          <w:lang w:val="en-GB"/>
        </w:rPr>
        <w:t>to pr</w:t>
      </w:r>
      <w:r w:rsidR="00636C6B" w:rsidRPr="004936F1">
        <w:rPr>
          <w:rFonts w:asciiTheme="minorHAnsi" w:hAnsiTheme="minorHAnsi" w:cstheme="minorHAnsi"/>
          <w:sz w:val="21"/>
          <w:szCs w:val="21"/>
          <w:lang w:val="en-GB"/>
        </w:rPr>
        <w:t>ovide the required certainty</w:t>
      </w:r>
      <w:r w:rsidRPr="004936F1">
        <w:rPr>
          <w:rFonts w:asciiTheme="minorHAnsi" w:hAnsiTheme="minorHAnsi" w:cstheme="minorHAnsi"/>
          <w:sz w:val="21"/>
          <w:szCs w:val="21"/>
          <w:lang w:val="en-GB"/>
        </w:rPr>
        <w:t xml:space="preserve">. </w:t>
      </w:r>
      <w:r w:rsidR="005D27ED" w:rsidRPr="004936F1">
        <w:rPr>
          <w:rFonts w:asciiTheme="minorHAnsi" w:hAnsiTheme="minorHAnsi" w:cstheme="minorHAnsi"/>
          <w:sz w:val="21"/>
          <w:szCs w:val="21"/>
          <w:lang w:val="en-GB"/>
        </w:rPr>
        <w:t>Th</w:t>
      </w:r>
      <w:r w:rsidR="00636C6B" w:rsidRPr="004936F1">
        <w:rPr>
          <w:rFonts w:asciiTheme="minorHAnsi" w:hAnsiTheme="minorHAnsi" w:cstheme="minorHAnsi"/>
          <w:sz w:val="21"/>
          <w:szCs w:val="21"/>
          <w:lang w:val="en-GB"/>
        </w:rPr>
        <w:t>e</w:t>
      </w:r>
      <w:r w:rsidR="005D27ED" w:rsidRPr="004936F1">
        <w:rPr>
          <w:rFonts w:asciiTheme="minorHAnsi" w:hAnsiTheme="minorHAnsi" w:cstheme="minorHAnsi"/>
          <w:sz w:val="21"/>
          <w:szCs w:val="21"/>
          <w:lang w:val="en-GB"/>
        </w:rPr>
        <w:t xml:space="preserve">y operate by preventing an owner for instance building to obstruct the </w:t>
      </w:r>
      <w:r w:rsidR="00E41708" w:rsidRPr="004936F1">
        <w:rPr>
          <w:rFonts w:asciiTheme="minorHAnsi" w:hAnsiTheme="minorHAnsi" w:cstheme="minorHAnsi"/>
          <w:sz w:val="21"/>
          <w:szCs w:val="21"/>
          <w:lang w:val="en-GB"/>
        </w:rPr>
        <w:t>light or air flowing from their land</w:t>
      </w:r>
      <w:r w:rsidR="00127E4B" w:rsidRPr="004936F1">
        <w:rPr>
          <w:rFonts w:asciiTheme="minorHAnsi" w:hAnsiTheme="minorHAnsi" w:cstheme="minorHAnsi"/>
          <w:sz w:val="21"/>
          <w:szCs w:val="21"/>
          <w:lang w:val="en-GB"/>
        </w:rPr>
        <w:t xml:space="preserve">. Such protection could equally be afforded if the servient and dominant owner agreed that the servient owner would not build on their land </w:t>
      </w:r>
      <w:r w:rsidR="00474D17" w:rsidRPr="004936F1">
        <w:rPr>
          <w:rFonts w:asciiTheme="minorHAnsi" w:hAnsiTheme="minorHAnsi" w:cstheme="minorHAnsi"/>
          <w:sz w:val="21"/>
          <w:szCs w:val="21"/>
          <w:lang w:val="en-GB"/>
        </w:rPr>
        <w:t xml:space="preserve">– at least without the prior consent of the dominant owner. </w:t>
      </w:r>
      <w:r w:rsidR="00CF6327" w:rsidRPr="004936F1">
        <w:rPr>
          <w:rFonts w:asciiTheme="minorHAnsi" w:hAnsiTheme="minorHAnsi" w:cstheme="minorHAnsi"/>
          <w:sz w:val="21"/>
          <w:szCs w:val="21"/>
          <w:lang w:val="en-GB"/>
        </w:rPr>
        <w:t>A right to support is also a common negative easement which restrict the ability of the servient owner to remove a feat</w:t>
      </w:r>
      <w:r w:rsidR="00800FCA" w:rsidRPr="004936F1">
        <w:rPr>
          <w:rFonts w:asciiTheme="minorHAnsi" w:hAnsiTheme="minorHAnsi" w:cstheme="minorHAnsi"/>
          <w:sz w:val="21"/>
          <w:szCs w:val="21"/>
          <w:lang w:val="en-GB"/>
        </w:rPr>
        <w:t xml:space="preserve">ure from their land which would jeopardise the stability of a structure on the dominant land. </w:t>
      </w:r>
    </w:p>
    <w:p w14:paraId="371C20BE" w14:textId="4D20E680" w:rsidR="005700C6" w:rsidRPr="004936F1" w:rsidRDefault="005700C6" w:rsidP="00E34CAF">
      <w:pPr>
        <w:pStyle w:val="q"/>
        <w:spacing w:line="240" w:lineRule="auto"/>
        <w:ind w:firstLine="0"/>
        <w:rPr>
          <w:rFonts w:asciiTheme="minorHAnsi" w:hAnsiTheme="minorHAnsi" w:cstheme="minorHAnsi"/>
          <w:sz w:val="21"/>
          <w:szCs w:val="21"/>
          <w:lang w:val="en-GB"/>
        </w:rPr>
      </w:pPr>
    </w:p>
    <w:p w14:paraId="02378F4D" w14:textId="4BA44D29" w:rsidR="005700C6" w:rsidRPr="004936F1" w:rsidRDefault="005700C6"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 xml:space="preserve">A profit a </w:t>
      </w:r>
      <w:proofErr w:type="spellStart"/>
      <w:r w:rsidRPr="004936F1">
        <w:rPr>
          <w:rFonts w:asciiTheme="minorHAnsi" w:hAnsiTheme="minorHAnsi" w:cstheme="minorHAnsi"/>
          <w:sz w:val="21"/>
          <w:szCs w:val="21"/>
          <w:lang w:val="en-GB"/>
        </w:rPr>
        <w:t>prendre</w:t>
      </w:r>
      <w:proofErr w:type="spellEnd"/>
      <w:r w:rsidRPr="004936F1">
        <w:rPr>
          <w:rFonts w:asciiTheme="minorHAnsi" w:hAnsiTheme="minorHAnsi" w:cstheme="minorHAnsi"/>
          <w:sz w:val="21"/>
          <w:szCs w:val="21"/>
          <w:lang w:val="en-GB"/>
        </w:rPr>
        <w:t xml:space="preserve"> also acts positively by granting the dominant owner to take some</w:t>
      </w:r>
      <w:r w:rsidR="006A12ED" w:rsidRPr="004936F1">
        <w:rPr>
          <w:rFonts w:asciiTheme="minorHAnsi" w:hAnsiTheme="minorHAnsi" w:cstheme="minorHAnsi"/>
          <w:sz w:val="21"/>
          <w:szCs w:val="21"/>
          <w:lang w:val="en-GB"/>
        </w:rPr>
        <w:t xml:space="preserve">, usually produce, from the servient land. Some of the most common forms of profits are the right to graze animals, to </w:t>
      </w:r>
      <w:r w:rsidR="00613975" w:rsidRPr="004936F1">
        <w:rPr>
          <w:rFonts w:asciiTheme="minorHAnsi" w:hAnsiTheme="minorHAnsi" w:cstheme="minorHAnsi"/>
          <w:sz w:val="21"/>
          <w:szCs w:val="21"/>
          <w:lang w:val="en-GB"/>
        </w:rPr>
        <w:t xml:space="preserve">take game or to fish. </w:t>
      </w:r>
    </w:p>
    <w:p w14:paraId="79359D0B" w14:textId="77777777" w:rsidR="003641AB" w:rsidRPr="004936F1" w:rsidRDefault="003641AB" w:rsidP="00E34CAF">
      <w:pPr>
        <w:pStyle w:val="q"/>
        <w:spacing w:line="240" w:lineRule="auto"/>
        <w:ind w:firstLine="0"/>
        <w:rPr>
          <w:rFonts w:asciiTheme="minorHAnsi" w:hAnsiTheme="minorHAnsi" w:cstheme="minorHAnsi"/>
          <w:sz w:val="21"/>
          <w:szCs w:val="21"/>
          <w:lang w:val="en-GB"/>
        </w:rPr>
      </w:pPr>
    </w:p>
    <w:p w14:paraId="00EAC931" w14:textId="6DD7571B" w:rsidR="002307BC" w:rsidRPr="004936F1" w:rsidRDefault="00E41708" w:rsidP="00E34CAF">
      <w:pPr>
        <w:pStyle w:val="q"/>
        <w:spacing w:line="240" w:lineRule="auto"/>
        <w:ind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 xml:space="preserve"> </w:t>
      </w:r>
      <w:r w:rsidR="00075C61" w:rsidRPr="004936F1">
        <w:rPr>
          <w:rFonts w:asciiTheme="minorHAnsi" w:hAnsiTheme="minorHAnsi" w:cstheme="minorHAnsi"/>
          <w:sz w:val="21"/>
          <w:szCs w:val="21"/>
          <w:lang w:val="en-GB"/>
        </w:rPr>
        <w:t xml:space="preserve"> </w:t>
      </w:r>
      <w:r w:rsidR="0090228E" w:rsidRPr="004936F1">
        <w:rPr>
          <w:rFonts w:asciiTheme="minorHAnsi" w:hAnsiTheme="minorHAnsi" w:cstheme="minorHAnsi"/>
          <w:sz w:val="21"/>
          <w:szCs w:val="21"/>
          <w:lang w:val="en-GB"/>
        </w:rPr>
        <w:t xml:space="preserve"> </w:t>
      </w:r>
    </w:p>
    <w:p w14:paraId="1F3C8E40" w14:textId="72522F32" w:rsidR="00761150" w:rsidRPr="004936F1" w:rsidRDefault="004936F1" w:rsidP="00465AD7">
      <w:pPr>
        <w:pStyle w:val="q"/>
        <w:spacing w:line="240" w:lineRule="auto"/>
        <w:ind w:left="0" w:firstLine="0"/>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Question 4: </w:t>
      </w:r>
      <w:r w:rsidR="00761150" w:rsidRPr="004936F1">
        <w:rPr>
          <w:rFonts w:asciiTheme="minorHAnsi" w:hAnsiTheme="minorHAnsi" w:cstheme="minorHAnsi"/>
          <w:b/>
          <w:bCs/>
          <w:sz w:val="21"/>
          <w:szCs w:val="21"/>
          <w:lang w:val="en-GB"/>
        </w:rPr>
        <w:t>Why, as a matter of policy, is it important to be able in particular circumstances to imply or presume the grant of an easement?</w:t>
      </w:r>
    </w:p>
    <w:p w14:paraId="17EAA392" w14:textId="3719BA0C" w:rsidR="00A03655" w:rsidRPr="004936F1" w:rsidRDefault="00A03655" w:rsidP="00A03655">
      <w:pPr>
        <w:pStyle w:val="q"/>
        <w:spacing w:line="240" w:lineRule="auto"/>
        <w:rPr>
          <w:rFonts w:asciiTheme="minorHAnsi" w:hAnsiTheme="minorHAnsi" w:cstheme="minorHAnsi"/>
          <w:b/>
          <w:bCs/>
          <w:sz w:val="21"/>
          <w:szCs w:val="21"/>
          <w:lang w:val="en-GB"/>
        </w:rPr>
      </w:pPr>
    </w:p>
    <w:p w14:paraId="3FC54980" w14:textId="41B2915A" w:rsidR="00B209EC" w:rsidRPr="004936F1" w:rsidRDefault="00826718" w:rsidP="00465AD7">
      <w:pPr>
        <w:spacing w:after="0" w:line="240" w:lineRule="auto"/>
        <w:jc w:val="both"/>
        <w:rPr>
          <w:rFonts w:cstheme="minorHAnsi"/>
          <w:sz w:val="21"/>
          <w:szCs w:val="21"/>
        </w:rPr>
      </w:pPr>
      <w:r w:rsidRPr="004936F1">
        <w:rPr>
          <w:rFonts w:cstheme="minorHAnsi"/>
          <w:sz w:val="21"/>
          <w:szCs w:val="21"/>
        </w:rPr>
        <w:t xml:space="preserve">In </w:t>
      </w:r>
      <w:r w:rsidR="00B209EC" w:rsidRPr="004936F1">
        <w:rPr>
          <w:rFonts w:cstheme="minorHAnsi"/>
          <w:sz w:val="21"/>
          <w:szCs w:val="21"/>
        </w:rPr>
        <w:t xml:space="preserve">Paragraph </w:t>
      </w:r>
      <w:r w:rsidR="00DE56CA" w:rsidRPr="004936F1">
        <w:rPr>
          <w:rFonts w:cstheme="minorHAnsi"/>
          <w:sz w:val="21"/>
          <w:szCs w:val="21"/>
        </w:rPr>
        <w:t>9.2 we touch on why easements have become important to facility the use of land</w:t>
      </w:r>
      <w:r w:rsidR="00832ACA" w:rsidRPr="004936F1">
        <w:rPr>
          <w:rFonts w:cstheme="minorHAnsi"/>
          <w:sz w:val="21"/>
          <w:szCs w:val="21"/>
        </w:rPr>
        <w:t xml:space="preserve"> and in Para</w:t>
      </w:r>
      <w:r w:rsidR="00121805" w:rsidRPr="004936F1">
        <w:rPr>
          <w:rFonts w:cstheme="minorHAnsi"/>
          <w:sz w:val="21"/>
          <w:szCs w:val="21"/>
        </w:rPr>
        <w:t xml:space="preserve">graphs </w:t>
      </w:r>
      <w:r w:rsidR="00634B3D" w:rsidRPr="004936F1">
        <w:rPr>
          <w:rFonts w:cstheme="minorHAnsi"/>
          <w:sz w:val="21"/>
          <w:szCs w:val="21"/>
        </w:rPr>
        <w:t>9.29-</w:t>
      </w:r>
      <w:r w:rsidR="00920B86" w:rsidRPr="004936F1">
        <w:rPr>
          <w:rFonts w:cstheme="minorHAnsi"/>
          <w:sz w:val="21"/>
          <w:szCs w:val="21"/>
        </w:rPr>
        <w:t xml:space="preserve">9.59 we look </w:t>
      </w:r>
      <w:r w:rsidR="00CA4CC2" w:rsidRPr="004936F1">
        <w:rPr>
          <w:rFonts w:cstheme="minorHAnsi"/>
          <w:sz w:val="21"/>
          <w:szCs w:val="21"/>
        </w:rPr>
        <w:t xml:space="preserve">at how easements are acquired noting that although many easements are created expressly by deed there are a number of rules by which easements can be implied </w:t>
      </w:r>
      <w:r w:rsidR="00DF5A69" w:rsidRPr="004936F1">
        <w:rPr>
          <w:rFonts w:cstheme="minorHAnsi"/>
          <w:sz w:val="21"/>
          <w:szCs w:val="21"/>
        </w:rPr>
        <w:t xml:space="preserve">and also presumed to have been created as a result of long user. </w:t>
      </w:r>
    </w:p>
    <w:p w14:paraId="7A7EFBF7" w14:textId="74951D80" w:rsidR="00276876" w:rsidRPr="004936F1" w:rsidRDefault="00276876" w:rsidP="00454ED4">
      <w:pPr>
        <w:spacing w:after="0" w:line="240" w:lineRule="auto"/>
        <w:ind w:left="570"/>
        <w:jc w:val="both"/>
        <w:rPr>
          <w:rFonts w:cstheme="minorHAnsi"/>
          <w:sz w:val="21"/>
          <w:szCs w:val="21"/>
        </w:rPr>
      </w:pPr>
    </w:p>
    <w:p w14:paraId="67EA3DA8" w14:textId="67A0EBA5" w:rsidR="00233075" w:rsidRPr="004936F1" w:rsidRDefault="00276876" w:rsidP="00465AD7">
      <w:pPr>
        <w:spacing w:after="0" w:line="240" w:lineRule="auto"/>
        <w:jc w:val="both"/>
        <w:rPr>
          <w:rFonts w:cstheme="minorHAnsi"/>
          <w:sz w:val="21"/>
          <w:szCs w:val="21"/>
        </w:rPr>
      </w:pPr>
      <w:r w:rsidRPr="004936F1">
        <w:rPr>
          <w:rFonts w:cstheme="minorHAnsi"/>
          <w:sz w:val="21"/>
          <w:szCs w:val="21"/>
        </w:rPr>
        <w:t xml:space="preserve">It might be thought that there are public policy reasons for recognising </w:t>
      </w:r>
      <w:r w:rsidR="0072455B" w:rsidRPr="004936F1">
        <w:rPr>
          <w:rFonts w:cstheme="minorHAnsi"/>
          <w:sz w:val="21"/>
          <w:szCs w:val="21"/>
        </w:rPr>
        <w:t xml:space="preserve">methods of </w:t>
      </w:r>
      <w:r w:rsidR="00937D64" w:rsidRPr="004936F1">
        <w:rPr>
          <w:rFonts w:cstheme="minorHAnsi"/>
          <w:sz w:val="21"/>
          <w:szCs w:val="21"/>
        </w:rPr>
        <w:t xml:space="preserve">implying a grant </w:t>
      </w:r>
      <w:r w:rsidR="0072455B" w:rsidRPr="004936F1">
        <w:rPr>
          <w:rFonts w:cstheme="minorHAnsi"/>
          <w:sz w:val="21"/>
          <w:szCs w:val="21"/>
        </w:rPr>
        <w:t xml:space="preserve">of an easement. </w:t>
      </w:r>
      <w:r w:rsidR="00E724F7" w:rsidRPr="004936F1">
        <w:rPr>
          <w:rFonts w:cstheme="minorHAnsi"/>
          <w:sz w:val="21"/>
          <w:szCs w:val="21"/>
        </w:rPr>
        <w:t>However, the rationale lies rather in the parties’ intention</w:t>
      </w:r>
      <w:r w:rsidR="00AF01A1" w:rsidRPr="004936F1">
        <w:rPr>
          <w:rFonts w:cstheme="minorHAnsi"/>
          <w:sz w:val="21"/>
          <w:szCs w:val="21"/>
        </w:rPr>
        <w:t xml:space="preserve"> and in particular that the servient owner</w:t>
      </w:r>
      <w:r w:rsidR="00165982" w:rsidRPr="004936F1">
        <w:rPr>
          <w:rFonts w:cstheme="minorHAnsi"/>
          <w:sz w:val="21"/>
          <w:szCs w:val="21"/>
        </w:rPr>
        <w:t>,</w:t>
      </w:r>
      <w:r w:rsidR="00AF01A1" w:rsidRPr="004936F1">
        <w:rPr>
          <w:rFonts w:cstheme="minorHAnsi"/>
          <w:sz w:val="21"/>
          <w:szCs w:val="21"/>
        </w:rPr>
        <w:t xml:space="preserve"> when selling off land to form the dominant land</w:t>
      </w:r>
      <w:r w:rsidR="00165982" w:rsidRPr="004936F1">
        <w:rPr>
          <w:rFonts w:cstheme="minorHAnsi"/>
          <w:sz w:val="21"/>
          <w:szCs w:val="21"/>
        </w:rPr>
        <w:t>,</w:t>
      </w:r>
      <w:r w:rsidR="00AF01A1" w:rsidRPr="004936F1">
        <w:rPr>
          <w:rFonts w:cstheme="minorHAnsi"/>
          <w:sz w:val="21"/>
          <w:szCs w:val="21"/>
        </w:rPr>
        <w:t xml:space="preserve"> should not derogate from their grant. </w:t>
      </w:r>
      <w:r w:rsidR="000147AA" w:rsidRPr="004936F1">
        <w:rPr>
          <w:rFonts w:cstheme="minorHAnsi"/>
          <w:sz w:val="21"/>
          <w:szCs w:val="21"/>
        </w:rPr>
        <w:t>For example</w:t>
      </w:r>
      <w:r w:rsidR="00D33D88" w:rsidRPr="004936F1">
        <w:rPr>
          <w:rFonts w:cstheme="minorHAnsi"/>
          <w:sz w:val="21"/>
          <w:szCs w:val="21"/>
        </w:rPr>
        <w:t>,</w:t>
      </w:r>
      <w:r w:rsidR="000147AA" w:rsidRPr="004936F1">
        <w:rPr>
          <w:rFonts w:cstheme="minorHAnsi"/>
          <w:sz w:val="21"/>
          <w:szCs w:val="21"/>
        </w:rPr>
        <w:t xml:space="preserve"> in t</w:t>
      </w:r>
      <w:r w:rsidR="0023494C" w:rsidRPr="004936F1">
        <w:rPr>
          <w:rFonts w:cstheme="minorHAnsi"/>
          <w:sz w:val="21"/>
          <w:szCs w:val="21"/>
        </w:rPr>
        <w:t xml:space="preserve">he case of </w:t>
      </w:r>
      <w:r w:rsidR="0023494C" w:rsidRPr="004936F1">
        <w:rPr>
          <w:rFonts w:cstheme="minorHAnsi"/>
          <w:i/>
          <w:sz w:val="21"/>
          <w:szCs w:val="21"/>
        </w:rPr>
        <w:t>Nickerson v Barraclough</w:t>
      </w:r>
      <w:r w:rsidR="0023494C" w:rsidRPr="004936F1">
        <w:rPr>
          <w:rFonts w:cstheme="minorHAnsi"/>
          <w:sz w:val="21"/>
          <w:szCs w:val="21"/>
        </w:rPr>
        <w:t xml:space="preserve"> </w:t>
      </w:r>
      <w:r w:rsidR="000147AA" w:rsidRPr="004936F1">
        <w:rPr>
          <w:rFonts w:cstheme="minorHAnsi"/>
          <w:sz w:val="21"/>
          <w:szCs w:val="21"/>
        </w:rPr>
        <w:t xml:space="preserve">it was </w:t>
      </w:r>
      <w:r w:rsidR="0023494C" w:rsidRPr="004936F1">
        <w:rPr>
          <w:rFonts w:cstheme="minorHAnsi"/>
          <w:sz w:val="21"/>
          <w:szCs w:val="21"/>
        </w:rPr>
        <w:t xml:space="preserve">decided that easements of necessity were not founded upon public policy but upon the intention of the parties and the underlying rationale of non-derogation from grant. Accordingly, an easement of necessity will not be implied where the parties have demonstrated a contrary intention or where there is no agreement upon which the parties’ intention can be derived, for instance where title to land is acquired by adverse possession.    </w:t>
      </w:r>
      <w:r w:rsidR="00233075" w:rsidRPr="004936F1">
        <w:rPr>
          <w:rFonts w:cstheme="minorHAnsi"/>
          <w:sz w:val="21"/>
          <w:szCs w:val="21"/>
        </w:rPr>
        <w:t>Likewise, intention also lies at the heart of Section 62 which will only operate to elevate a previous permission</w:t>
      </w:r>
      <w:r w:rsidR="002616DB" w:rsidRPr="004936F1">
        <w:rPr>
          <w:rFonts w:cstheme="minorHAnsi"/>
          <w:sz w:val="21"/>
          <w:szCs w:val="21"/>
        </w:rPr>
        <w:t>,</w:t>
      </w:r>
      <w:r w:rsidR="00233075" w:rsidRPr="004936F1">
        <w:rPr>
          <w:rFonts w:cstheme="minorHAnsi"/>
          <w:sz w:val="21"/>
          <w:szCs w:val="21"/>
        </w:rPr>
        <w:t xml:space="preserve"> </w:t>
      </w:r>
      <w:r w:rsidR="002616DB" w:rsidRPr="004936F1">
        <w:rPr>
          <w:rFonts w:cstheme="minorHAnsi"/>
          <w:sz w:val="21"/>
          <w:szCs w:val="21"/>
        </w:rPr>
        <w:t xml:space="preserve">regarding </w:t>
      </w:r>
      <w:r w:rsidR="00233075" w:rsidRPr="004936F1">
        <w:rPr>
          <w:rFonts w:cstheme="minorHAnsi"/>
          <w:sz w:val="21"/>
          <w:szCs w:val="21"/>
        </w:rPr>
        <w:t>the</w:t>
      </w:r>
      <w:r w:rsidR="002616DB" w:rsidRPr="004936F1">
        <w:rPr>
          <w:rFonts w:cstheme="minorHAnsi"/>
          <w:sz w:val="21"/>
          <w:szCs w:val="21"/>
        </w:rPr>
        <w:t xml:space="preserve"> use of the</w:t>
      </w:r>
      <w:r w:rsidR="00233075" w:rsidRPr="004936F1">
        <w:rPr>
          <w:rFonts w:cstheme="minorHAnsi"/>
          <w:sz w:val="21"/>
          <w:szCs w:val="21"/>
        </w:rPr>
        <w:t xml:space="preserve"> servient land</w:t>
      </w:r>
      <w:r w:rsidR="002616DB" w:rsidRPr="004936F1">
        <w:rPr>
          <w:rFonts w:cstheme="minorHAnsi"/>
          <w:sz w:val="21"/>
          <w:szCs w:val="21"/>
        </w:rPr>
        <w:t>,</w:t>
      </w:r>
      <w:r w:rsidR="00233075" w:rsidRPr="004936F1">
        <w:rPr>
          <w:rFonts w:cstheme="minorHAnsi"/>
          <w:sz w:val="21"/>
          <w:szCs w:val="21"/>
        </w:rPr>
        <w:t xml:space="preserve"> to an easement on the disposal of the dominant land where no contrary intention is expressed. </w:t>
      </w:r>
    </w:p>
    <w:p w14:paraId="5D29C0D7" w14:textId="204C4108" w:rsidR="0023494C" w:rsidRPr="004936F1" w:rsidRDefault="0023494C" w:rsidP="00454ED4">
      <w:pPr>
        <w:spacing w:after="0" w:line="240" w:lineRule="auto"/>
        <w:ind w:left="570"/>
        <w:jc w:val="both"/>
        <w:rPr>
          <w:rFonts w:cstheme="minorHAnsi"/>
          <w:sz w:val="21"/>
          <w:szCs w:val="21"/>
        </w:rPr>
      </w:pPr>
    </w:p>
    <w:p w14:paraId="25751449" w14:textId="1008F95D" w:rsidR="007324BE" w:rsidRPr="004936F1" w:rsidRDefault="002616DB" w:rsidP="00465AD7">
      <w:pPr>
        <w:spacing w:after="0" w:line="240" w:lineRule="auto"/>
        <w:jc w:val="both"/>
        <w:rPr>
          <w:rFonts w:cstheme="minorHAnsi"/>
          <w:sz w:val="21"/>
          <w:szCs w:val="21"/>
        </w:rPr>
      </w:pPr>
      <w:r w:rsidRPr="004936F1">
        <w:rPr>
          <w:rFonts w:cstheme="minorHAnsi"/>
          <w:sz w:val="21"/>
          <w:szCs w:val="21"/>
        </w:rPr>
        <w:t>T</w:t>
      </w:r>
      <w:r w:rsidR="00980AE1" w:rsidRPr="004936F1">
        <w:rPr>
          <w:rFonts w:cstheme="minorHAnsi"/>
          <w:sz w:val="21"/>
          <w:szCs w:val="21"/>
        </w:rPr>
        <w:t xml:space="preserve">he </w:t>
      </w:r>
      <w:r w:rsidR="00980AE1" w:rsidRPr="004936F1">
        <w:rPr>
          <w:rFonts w:cstheme="minorHAnsi"/>
          <w:i/>
          <w:iCs/>
          <w:sz w:val="21"/>
          <w:szCs w:val="21"/>
        </w:rPr>
        <w:t>Rule in</w:t>
      </w:r>
      <w:r w:rsidR="00980AE1" w:rsidRPr="004936F1">
        <w:rPr>
          <w:rFonts w:cstheme="minorHAnsi"/>
          <w:sz w:val="21"/>
          <w:szCs w:val="21"/>
        </w:rPr>
        <w:t xml:space="preserve"> </w:t>
      </w:r>
      <w:r w:rsidR="00980AE1" w:rsidRPr="004936F1">
        <w:rPr>
          <w:rFonts w:cstheme="minorHAnsi"/>
          <w:i/>
          <w:iCs/>
          <w:sz w:val="21"/>
          <w:szCs w:val="21"/>
        </w:rPr>
        <w:t xml:space="preserve">Wheeldon v Burrows </w:t>
      </w:r>
      <w:r w:rsidRPr="004936F1">
        <w:rPr>
          <w:rFonts w:cstheme="minorHAnsi"/>
          <w:sz w:val="21"/>
          <w:szCs w:val="21"/>
        </w:rPr>
        <w:t xml:space="preserve">also looks to intention. It </w:t>
      </w:r>
      <w:r w:rsidR="00FA3FD0" w:rsidRPr="004936F1">
        <w:rPr>
          <w:rFonts w:cstheme="minorHAnsi"/>
          <w:sz w:val="21"/>
          <w:szCs w:val="21"/>
        </w:rPr>
        <w:t xml:space="preserve">applies only </w:t>
      </w:r>
      <w:r w:rsidR="00EF6935" w:rsidRPr="004936F1">
        <w:rPr>
          <w:rFonts w:cstheme="minorHAnsi"/>
          <w:sz w:val="21"/>
          <w:szCs w:val="21"/>
        </w:rPr>
        <w:t xml:space="preserve">on the sale of the dominant land </w:t>
      </w:r>
      <w:r w:rsidR="00196AB2" w:rsidRPr="004936F1">
        <w:rPr>
          <w:rFonts w:cstheme="minorHAnsi"/>
          <w:sz w:val="21"/>
          <w:szCs w:val="21"/>
        </w:rPr>
        <w:t xml:space="preserve">by a common owner of both the servient and dominant land </w:t>
      </w:r>
      <w:r w:rsidR="00FA3FD0" w:rsidRPr="004936F1">
        <w:rPr>
          <w:rFonts w:cstheme="minorHAnsi"/>
          <w:sz w:val="21"/>
          <w:szCs w:val="21"/>
        </w:rPr>
        <w:t xml:space="preserve">to the grant </w:t>
      </w:r>
      <w:r w:rsidR="007B33AE" w:rsidRPr="004936F1">
        <w:rPr>
          <w:rFonts w:cstheme="minorHAnsi"/>
          <w:sz w:val="21"/>
          <w:szCs w:val="21"/>
        </w:rPr>
        <w:t xml:space="preserve">what would have been classified, as </w:t>
      </w:r>
      <w:r w:rsidR="007B33AE" w:rsidRPr="004936F1">
        <w:rPr>
          <w:rFonts w:cstheme="minorHAnsi"/>
          <w:sz w:val="21"/>
          <w:szCs w:val="21"/>
        </w:rPr>
        <w:lastRenderedPageBreak/>
        <w:t>a result of that common ownership, as a</w:t>
      </w:r>
      <w:r w:rsidR="007324BE" w:rsidRPr="004936F1">
        <w:rPr>
          <w:rFonts w:cstheme="minorHAnsi"/>
          <w:sz w:val="21"/>
          <w:szCs w:val="21"/>
        </w:rPr>
        <w:t xml:space="preserve"> quasi</w:t>
      </w:r>
      <w:r w:rsidR="007B33AE" w:rsidRPr="004936F1">
        <w:rPr>
          <w:rFonts w:cstheme="minorHAnsi"/>
          <w:sz w:val="21"/>
          <w:szCs w:val="21"/>
        </w:rPr>
        <w:t>-</w:t>
      </w:r>
      <w:r w:rsidR="00FA3FD0" w:rsidRPr="004936F1">
        <w:rPr>
          <w:rFonts w:cstheme="minorHAnsi"/>
          <w:sz w:val="21"/>
          <w:szCs w:val="21"/>
        </w:rPr>
        <w:t>easement</w:t>
      </w:r>
      <w:r w:rsidR="007B33AE" w:rsidRPr="004936F1">
        <w:rPr>
          <w:rFonts w:cstheme="minorHAnsi"/>
          <w:sz w:val="21"/>
          <w:szCs w:val="21"/>
        </w:rPr>
        <w:t xml:space="preserve">. </w:t>
      </w:r>
      <w:r w:rsidR="005B43FA" w:rsidRPr="004936F1">
        <w:rPr>
          <w:rFonts w:cstheme="minorHAnsi"/>
          <w:sz w:val="21"/>
          <w:szCs w:val="21"/>
        </w:rPr>
        <w:t xml:space="preserve"> </w:t>
      </w:r>
      <w:r w:rsidR="007B33AE" w:rsidRPr="004936F1">
        <w:rPr>
          <w:rFonts w:cstheme="minorHAnsi"/>
          <w:sz w:val="21"/>
          <w:szCs w:val="21"/>
        </w:rPr>
        <w:t xml:space="preserve">The rule does not apply to the </w:t>
      </w:r>
      <w:r w:rsidR="00FA3FD0" w:rsidRPr="004936F1">
        <w:rPr>
          <w:rFonts w:cstheme="minorHAnsi"/>
          <w:sz w:val="21"/>
          <w:szCs w:val="21"/>
        </w:rPr>
        <w:t>reservation</w:t>
      </w:r>
      <w:r w:rsidR="00AD1238" w:rsidRPr="004936F1">
        <w:rPr>
          <w:rFonts w:cstheme="minorHAnsi"/>
          <w:sz w:val="21"/>
          <w:szCs w:val="21"/>
        </w:rPr>
        <w:t xml:space="preserve"> of an easement for the benefit of dominant land retained by the seller</w:t>
      </w:r>
      <w:r w:rsidR="00416503" w:rsidRPr="004936F1">
        <w:rPr>
          <w:rFonts w:cstheme="minorHAnsi"/>
          <w:sz w:val="21"/>
          <w:szCs w:val="21"/>
        </w:rPr>
        <w:t xml:space="preserve">. It thus also </w:t>
      </w:r>
      <w:r w:rsidR="0006352C" w:rsidRPr="004936F1">
        <w:rPr>
          <w:rFonts w:cstheme="minorHAnsi"/>
          <w:sz w:val="21"/>
          <w:szCs w:val="21"/>
        </w:rPr>
        <w:t xml:space="preserve">demonstrates the rationale </w:t>
      </w:r>
      <w:r w:rsidR="007324BE" w:rsidRPr="004936F1">
        <w:rPr>
          <w:rFonts w:cstheme="minorHAnsi"/>
          <w:sz w:val="21"/>
          <w:szCs w:val="21"/>
        </w:rPr>
        <w:t xml:space="preserve">that the servient owner should not derogate from their grant. </w:t>
      </w:r>
    </w:p>
    <w:p w14:paraId="3D5DA8C3" w14:textId="77777777" w:rsidR="007324BE" w:rsidRPr="004936F1" w:rsidRDefault="007324BE" w:rsidP="00454ED4">
      <w:pPr>
        <w:spacing w:after="0" w:line="240" w:lineRule="auto"/>
        <w:ind w:left="570"/>
        <w:jc w:val="both"/>
        <w:rPr>
          <w:rFonts w:cstheme="minorHAnsi"/>
          <w:sz w:val="21"/>
          <w:szCs w:val="21"/>
        </w:rPr>
      </w:pPr>
    </w:p>
    <w:p w14:paraId="5087F5EF" w14:textId="77777777" w:rsidR="000B6F05" w:rsidRPr="004936F1" w:rsidRDefault="000B6F05" w:rsidP="00465AD7">
      <w:pPr>
        <w:spacing w:after="0" w:line="240" w:lineRule="auto"/>
        <w:jc w:val="both"/>
        <w:rPr>
          <w:rFonts w:cstheme="minorHAnsi"/>
          <w:sz w:val="21"/>
          <w:szCs w:val="21"/>
        </w:rPr>
      </w:pPr>
      <w:r w:rsidRPr="004936F1">
        <w:rPr>
          <w:rFonts w:cstheme="minorHAnsi"/>
          <w:sz w:val="21"/>
          <w:szCs w:val="21"/>
        </w:rPr>
        <w:t xml:space="preserve">Although intention is the current dominant influence upon the implication of easements, the clear public advantage in ensuring the effective use of our limited land resources lurks in the background. Indeed, the Law Commission has recommended that the implication of easements should be based upon utility rather than intention. </w:t>
      </w:r>
    </w:p>
    <w:p w14:paraId="0AF2A2C0" w14:textId="77777777" w:rsidR="000B6F05" w:rsidRPr="004936F1" w:rsidRDefault="000B6F05" w:rsidP="000B6F05">
      <w:pPr>
        <w:pStyle w:val="q"/>
        <w:spacing w:line="240" w:lineRule="auto"/>
        <w:rPr>
          <w:rFonts w:asciiTheme="minorHAnsi" w:hAnsiTheme="minorHAnsi" w:cstheme="minorHAnsi"/>
          <w:b/>
          <w:bCs/>
          <w:sz w:val="21"/>
          <w:szCs w:val="21"/>
          <w:lang w:val="en-GB"/>
        </w:rPr>
      </w:pPr>
    </w:p>
    <w:p w14:paraId="43B75AB5" w14:textId="34B6F70B" w:rsidR="00165982" w:rsidRPr="004936F1" w:rsidRDefault="00042071" w:rsidP="00465AD7">
      <w:pPr>
        <w:spacing w:after="0" w:line="240" w:lineRule="auto"/>
        <w:jc w:val="both"/>
        <w:rPr>
          <w:rFonts w:cstheme="minorHAnsi"/>
          <w:sz w:val="21"/>
          <w:szCs w:val="21"/>
        </w:rPr>
      </w:pPr>
      <w:r w:rsidRPr="004936F1">
        <w:rPr>
          <w:rFonts w:cstheme="minorHAnsi"/>
          <w:sz w:val="21"/>
          <w:szCs w:val="21"/>
        </w:rPr>
        <w:t xml:space="preserve">Presumed grant through prescription is based upon a fictional grant as the deemed expression of the parties’ intention. </w:t>
      </w:r>
      <w:r w:rsidR="007B109D" w:rsidRPr="004936F1">
        <w:rPr>
          <w:rFonts w:cstheme="minorHAnsi"/>
          <w:sz w:val="21"/>
          <w:szCs w:val="21"/>
        </w:rPr>
        <w:t xml:space="preserve">The rationale for prescription is said to lie in the acquiescence of the servient owner in not stopping the trespass to their land. </w:t>
      </w:r>
      <w:r w:rsidR="0061024B" w:rsidRPr="004936F1">
        <w:rPr>
          <w:rFonts w:cstheme="minorHAnsi"/>
          <w:sz w:val="21"/>
          <w:szCs w:val="21"/>
        </w:rPr>
        <w:t xml:space="preserve">This rationale is more difficult to understand </w:t>
      </w:r>
      <w:r w:rsidR="00535EA3" w:rsidRPr="004936F1">
        <w:rPr>
          <w:rFonts w:cstheme="minorHAnsi"/>
          <w:sz w:val="21"/>
          <w:szCs w:val="21"/>
        </w:rPr>
        <w:t xml:space="preserve">as is explained in Paragraphs </w:t>
      </w:r>
      <w:r w:rsidR="0079083D" w:rsidRPr="004936F1">
        <w:rPr>
          <w:rFonts w:cstheme="minorHAnsi"/>
          <w:sz w:val="21"/>
          <w:szCs w:val="21"/>
        </w:rPr>
        <w:t>9.58-</w:t>
      </w:r>
      <w:r w:rsidR="00094098" w:rsidRPr="004936F1">
        <w:rPr>
          <w:rFonts w:cstheme="minorHAnsi"/>
          <w:sz w:val="21"/>
          <w:szCs w:val="21"/>
        </w:rPr>
        <w:t xml:space="preserve">9.59. </w:t>
      </w:r>
      <w:r w:rsidR="00A32F40" w:rsidRPr="004936F1">
        <w:rPr>
          <w:rFonts w:cstheme="minorHAnsi"/>
          <w:sz w:val="21"/>
          <w:szCs w:val="21"/>
        </w:rPr>
        <w:t>What is evident is that the law should</w:t>
      </w:r>
      <w:r w:rsidR="00FD4190" w:rsidRPr="004936F1">
        <w:rPr>
          <w:rFonts w:cstheme="minorHAnsi"/>
          <w:sz w:val="21"/>
          <w:szCs w:val="21"/>
        </w:rPr>
        <w:t xml:space="preserve"> recognised</w:t>
      </w:r>
      <w:r w:rsidR="009200B3" w:rsidRPr="004936F1">
        <w:rPr>
          <w:rFonts w:cstheme="minorHAnsi"/>
          <w:sz w:val="21"/>
          <w:szCs w:val="21"/>
        </w:rPr>
        <w:t>,</w:t>
      </w:r>
      <w:r w:rsidR="00FD4190" w:rsidRPr="004936F1">
        <w:rPr>
          <w:rFonts w:cstheme="minorHAnsi"/>
          <w:sz w:val="21"/>
          <w:szCs w:val="21"/>
        </w:rPr>
        <w:t xml:space="preserve"> </w:t>
      </w:r>
      <w:r w:rsidR="007504ED" w:rsidRPr="004936F1">
        <w:rPr>
          <w:rFonts w:cstheme="minorHAnsi"/>
          <w:sz w:val="21"/>
          <w:szCs w:val="21"/>
        </w:rPr>
        <w:t>as a matter of policy</w:t>
      </w:r>
      <w:r w:rsidR="009200B3" w:rsidRPr="004936F1">
        <w:rPr>
          <w:rFonts w:cstheme="minorHAnsi"/>
          <w:sz w:val="21"/>
          <w:szCs w:val="21"/>
        </w:rPr>
        <w:t>,</w:t>
      </w:r>
      <w:r w:rsidR="007504ED" w:rsidRPr="004936F1">
        <w:rPr>
          <w:rFonts w:cstheme="minorHAnsi"/>
          <w:sz w:val="21"/>
          <w:szCs w:val="21"/>
        </w:rPr>
        <w:t xml:space="preserve"> </w:t>
      </w:r>
      <w:r w:rsidR="00FD4190" w:rsidRPr="004936F1">
        <w:rPr>
          <w:rFonts w:cstheme="minorHAnsi"/>
          <w:sz w:val="21"/>
          <w:szCs w:val="21"/>
        </w:rPr>
        <w:t>what is happening on the ground even in the face of legal rules which generally demand some degree of formality</w:t>
      </w:r>
      <w:r w:rsidR="002B371B" w:rsidRPr="004936F1">
        <w:rPr>
          <w:rFonts w:cstheme="minorHAnsi"/>
          <w:sz w:val="21"/>
          <w:szCs w:val="21"/>
        </w:rPr>
        <w:t xml:space="preserve"> in dealings with land</w:t>
      </w:r>
      <w:r w:rsidR="007504ED" w:rsidRPr="004936F1">
        <w:rPr>
          <w:rFonts w:cstheme="minorHAnsi"/>
          <w:sz w:val="21"/>
          <w:szCs w:val="21"/>
        </w:rPr>
        <w:t xml:space="preserve">, for example through </w:t>
      </w:r>
      <w:r w:rsidR="002B371B" w:rsidRPr="004936F1">
        <w:rPr>
          <w:rFonts w:cstheme="minorHAnsi"/>
          <w:sz w:val="21"/>
          <w:szCs w:val="21"/>
        </w:rPr>
        <w:t>the need for writing and registration which we consider in Chapter 4.</w:t>
      </w:r>
      <w:r w:rsidR="0050428E" w:rsidRPr="004936F1">
        <w:rPr>
          <w:rFonts w:cstheme="minorHAnsi"/>
          <w:sz w:val="21"/>
          <w:szCs w:val="21"/>
        </w:rPr>
        <w:t xml:space="preserve"> A similar rationale lies behind adverse possession in the acquisition of title although as is noted in Paragraph </w:t>
      </w:r>
      <w:r w:rsidR="009B5980" w:rsidRPr="004936F1">
        <w:rPr>
          <w:rFonts w:cstheme="minorHAnsi"/>
          <w:sz w:val="21"/>
          <w:szCs w:val="21"/>
        </w:rPr>
        <w:t>9.52.</w:t>
      </w:r>
      <w:r w:rsidR="00FD4190" w:rsidRPr="004936F1">
        <w:rPr>
          <w:rFonts w:cstheme="minorHAnsi"/>
          <w:sz w:val="21"/>
          <w:szCs w:val="21"/>
        </w:rPr>
        <w:t xml:space="preserve"> </w:t>
      </w:r>
    </w:p>
    <w:p w14:paraId="0EAF3DA8" w14:textId="7B4290BB" w:rsidR="00980AE1" w:rsidRPr="004936F1" w:rsidRDefault="00990DE8" w:rsidP="00454ED4">
      <w:pPr>
        <w:spacing w:after="0" w:line="240" w:lineRule="auto"/>
        <w:ind w:left="570"/>
        <w:jc w:val="both"/>
        <w:rPr>
          <w:rFonts w:cstheme="minorHAnsi"/>
          <w:sz w:val="21"/>
          <w:szCs w:val="21"/>
        </w:rPr>
      </w:pPr>
      <w:r w:rsidRPr="004936F1">
        <w:rPr>
          <w:rFonts w:cstheme="minorHAnsi"/>
          <w:sz w:val="21"/>
          <w:szCs w:val="21"/>
        </w:rPr>
        <w:t xml:space="preserve"> </w:t>
      </w:r>
    </w:p>
    <w:p w14:paraId="7129F242" w14:textId="115B276D" w:rsidR="00761150" w:rsidRPr="004936F1" w:rsidRDefault="004936F1" w:rsidP="00465AD7">
      <w:pPr>
        <w:pStyle w:val="q"/>
        <w:spacing w:line="240" w:lineRule="auto"/>
        <w:ind w:left="0" w:firstLine="0"/>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Question 5: </w:t>
      </w:r>
      <w:r w:rsidR="00761150" w:rsidRPr="004936F1">
        <w:rPr>
          <w:rFonts w:asciiTheme="minorHAnsi" w:hAnsiTheme="minorHAnsi" w:cstheme="minorHAnsi"/>
          <w:b/>
          <w:bCs/>
          <w:sz w:val="21"/>
          <w:szCs w:val="21"/>
          <w:lang w:val="en-GB"/>
        </w:rPr>
        <w:t xml:space="preserve">How do the operation of section 62 of the LPA 1925 and the rule in </w:t>
      </w:r>
      <w:r w:rsidR="00761150" w:rsidRPr="004936F1">
        <w:rPr>
          <w:rFonts w:asciiTheme="minorHAnsi" w:hAnsiTheme="minorHAnsi" w:cstheme="minorHAnsi"/>
          <w:b/>
          <w:bCs/>
          <w:i/>
          <w:sz w:val="21"/>
          <w:szCs w:val="21"/>
          <w:lang w:val="en-GB"/>
        </w:rPr>
        <w:t>Wheeldon v Burrows</w:t>
      </w:r>
      <w:r w:rsidR="00761150" w:rsidRPr="004936F1">
        <w:rPr>
          <w:rFonts w:asciiTheme="minorHAnsi" w:hAnsiTheme="minorHAnsi" w:cstheme="minorHAnsi"/>
          <w:b/>
          <w:bCs/>
          <w:sz w:val="21"/>
          <w:szCs w:val="21"/>
          <w:lang w:val="en-GB"/>
        </w:rPr>
        <w:t xml:space="preserve"> fit together?</w:t>
      </w:r>
    </w:p>
    <w:p w14:paraId="0ED10463" w14:textId="5BB11EDD" w:rsidR="00385388" w:rsidRPr="004936F1" w:rsidRDefault="00385388" w:rsidP="00237F7B">
      <w:pPr>
        <w:pStyle w:val="q"/>
        <w:spacing w:line="240" w:lineRule="auto"/>
        <w:ind w:left="570" w:firstLine="0"/>
        <w:rPr>
          <w:rFonts w:asciiTheme="minorHAnsi" w:hAnsiTheme="minorHAnsi" w:cstheme="minorHAnsi"/>
          <w:b/>
          <w:bCs/>
          <w:sz w:val="21"/>
          <w:szCs w:val="21"/>
          <w:lang w:val="en-GB"/>
        </w:rPr>
      </w:pPr>
    </w:p>
    <w:p w14:paraId="34F9F727" w14:textId="694C9DFD" w:rsidR="00237F7B" w:rsidRPr="004936F1" w:rsidRDefault="00747370"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 xml:space="preserve">The </w:t>
      </w:r>
      <w:r w:rsidRPr="004936F1">
        <w:rPr>
          <w:rFonts w:asciiTheme="minorHAnsi" w:hAnsiTheme="minorHAnsi" w:cstheme="minorHAnsi"/>
          <w:i/>
          <w:iCs/>
          <w:sz w:val="21"/>
          <w:szCs w:val="21"/>
          <w:lang w:val="en-GB"/>
        </w:rPr>
        <w:t>Rule in Wheel</w:t>
      </w:r>
      <w:r w:rsidR="002D6609" w:rsidRPr="004936F1">
        <w:rPr>
          <w:rFonts w:asciiTheme="minorHAnsi" w:hAnsiTheme="minorHAnsi" w:cstheme="minorHAnsi"/>
          <w:i/>
          <w:iCs/>
          <w:sz w:val="21"/>
          <w:szCs w:val="21"/>
          <w:lang w:val="en-GB"/>
        </w:rPr>
        <w:t>d</w:t>
      </w:r>
      <w:r w:rsidRPr="004936F1">
        <w:rPr>
          <w:rFonts w:asciiTheme="minorHAnsi" w:hAnsiTheme="minorHAnsi" w:cstheme="minorHAnsi"/>
          <w:i/>
          <w:iCs/>
          <w:sz w:val="21"/>
          <w:szCs w:val="21"/>
          <w:lang w:val="en-GB"/>
        </w:rPr>
        <w:t xml:space="preserve">on v Burrows </w:t>
      </w:r>
      <w:r w:rsidRPr="004936F1">
        <w:rPr>
          <w:rFonts w:asciiTheme="minorHAnsi" w:hAnsiTheme="minorHAnsi" w:cstheme="minorHAnsi"/>
          <w:sz w:val="21"/>
          <w:szCs w:val="21"/>
          <w:lang w:val="en-GB"/>
        </w:rPr>
        <w:t>is considered in Paragraphs 9.</w:t>
      </w:r>
      <w:r w:rsidR="00804EAC" w:rsidRPr="004936F1">
        <w:rPr>
          <w:rFonts w:asciiTheme="minorHAnsi" w:hAnsiTheme="minorHAnsi" w:cstheme="minorHAnsi"/>
          <w:sz w:val="21"/>
          <w:szCs w:val="21"/>
          <w:lang w:val="en-GB"/>
        </w:rPr>
        <w:t>40-9.44</w:t>
      </w:r>
      <w:r w:rsidR="00962A52" w:rsidRPr="004936F1">
        <w:rPr>
          <w:rFonts w:asciiTheme="minorHAnsi" w:hAnsiTheme="minorHAnsi" w:cstheme="minorHAnsi"/>
          <w:sz w:val="21"/>
          <w:szCs w:val="21"/>
          <w:lang w:val="en-GB"/>
        </w:rPr>
        <w:t xml:space="preserve"> and section 62 in Paragraphs 9.45-</w:t>
      </w:r>
      <w:r w:rsidR="00990D84" w:rsidRPr="004936F1">
        <w:rPr>
          <w:rFonts w:asciiTheme="minorHAnsi" w:hAnsiTheme="minorHAnsi" w:cstheme="minorHAnsi"/>
          <w:sz w:val="21"/>
          <w:szCs w:val="21"/>
          <w:lang w:val="en-GB"/>
        </w:rPr>
        <w:t>9.47 whilst their</w:t>
      </w:r>
      <w:r w:rsidR="009D6994" w:rsidRPr="004936F1">
        <w:rPr>
          <w:rFonts w:asciiTheme="minorHAnsi" w:hAnsiTheme="minorHAnsi" w:cstheme="minorHAnsi"/>
          <w:sz w:val="21"/>
          <w:szCs w:val="21"/>
          <w:lang w:val="en-GB"/>
        </w:rPr>
        <w:t xml:space="preserve"> inter-relationship </w:t>
      </w:r>
      <w:r w:rsidR="00FA4700" w:rsidRPr="004936F1">
        <w:rPr>
          <w:rFonts w:asciiTheme="minorHAnsi" w:hAnsiTheme="minorHAnsi" w:cstheme="minorHAnsi"/>
          <w:sz w:val="21"/>
          <w:szCs w:val="21"/>
          <w:lang w:val="en-GB"/>
        </w:rPr>
        <w:t xml:space="preserve">is examined in Paragraphs </w:t>
      </w:r>
      <w:r w:rsidR="00536676" w:rsidRPr="004936F1">
        <w:rPr>
          <w:rFonts w:asciiTheme="minorHAnsi" w:hAnsiTheme="minorHAnsi" w:cstheme="minorHAnsi"/>
          <w:sz w:val="21"/>
          <w:szCs w:val="21"/>
          <w:lang w:val="en-GB"/>
        </w:rPr>
        <w:t>9.48-</w:t>
      </w:r>
      <w:r w:rsidR="005F2628" w:rsidRPr="004936F1">
        <w:rPr>
          <w:rFonts w:asciiTheme="minorHAnsi" w:hAnsiTheme="minorHAnsi" w:cstheme="minorHAnsi"/>
          <w:sz w:val="21"/>
          <w:szCs w:val="21"/>
          <w:lang w:val="en-GB"/>
        </w:rPr>
        <w:t>9.49.</w:t>
      </w:r>
    </w:p>
    <w:p w14:paraId="203CAD47" w14:textId="52D0465F" w:rsidR="005F2628" w:rsidRPr="004936F1" w:rsidRDefault="005F2628" w:rsidP="00237F7B">
      <w:pPr>
        <w:pStyle w:val="q"/>
        <w:spacing w:line="240" w:lineRule="auto"/>
        <w:ind w:left="570" w:firstLine="0"/>
        <w:rPr>
          <w:rFonts w:asciiTheme="minorHAnsi" w:hAnsiTheme="minorHAnsi" w:cstheme="minorHAnsi"/>
          <w:sz w:val="21"/>
          <w:szCs w:val="21"/>
          <w:lang w:val="en-GB"/>
        </w:rPr>
      </w:pPr>
    </w:p>
    <w:p w14:paraId="1B289297" w14:textId="0F68840A" w:rsidR="005F2628" w:rsidRPr="004936F1" w:rsidRDefault="00990D84" w:rsidP="00465AD7">
      <w:pPr>
        <w:pStyle w:val="q"/>
        <w:spacing w:line="240" w:lineRule="auto"/>
        <w:ind w:left="0" w:firstLine="0"/>
        <w:rPr>
          <w:rFonts w:asciiTheme="minorHAnsi" w:hAnsiTheme="minorHAnsi" w:cstheme="minorHAnsi"/>
          <w:sz w:val="21"/>
          <w:szCs w:val="21"/>
          <w:lang w:val="en-GB"/>
        </w:rPr>
      </w:pPr>
      <w:r w:rsidRPr="004936F1">
        <w:rPr>
          <w:rFonts w:asciiTheme="minorHAnsi" w:hAnsiTheme="minorHAnsi" w:cstheme="minorHAnsi"/>
          <w:sz w:val="21"/>
          <w:szCs w:val="21"/>
          <w:lang w:val="en-GB"/>
        </w:rPr>
        <w:t>T</w:t>
      </w:r>
      <w:r w:rsidR="001C06D3" w:rsidRPr="004936F1">
        <w:rPr>
          <w:rFonts w:asciiTheme="minorHAnsi" w:hAnsiTheme="minorHAnsi" w:cstheme="minorHAnsi"/>
          <w:sz w:val="21"/>
          <w:szCs w:val="21"/>
          <w:lang w:val="en-GB"/>
        </w:rPr>
        <w:t>hat inter-relationship has drawn controversy for some considerable period of time. However, p</w:t>
      </w:r>
      <w:r w:rsidR="005F2628" w:rsidRPr="004936F1">
        <w:rPr>
          <w:rFonts w:asciiTheme="minorHAnsi" w:hAnsiTheme="minorHAnsi" w:cstheme="minorHAnsi"/>
          <w:sz w:val="21"/>
          <w:szCs w:val="21"/>
          <w:lang w:val="en-GB"/>
        </w:rPr>
        <w:t xml:space="preserve">rior to </w:t>
      </w:r>
      <w:r w:rsidR="005F2628" w:rsidRPr="004936F1">
        <w:rPr>
          <w:rFonts w:asciiTheme="minorHAnsi" w:hAnsiTheme="minorHAnsi" w:cstheme="minorHAnsi"/>
          <w:i/>
          <w:iCs/>
          <w:sz w:val="21"/>
          <w:szCs w:val="21"/>
          <w:lang w:val="en-GB"/>
        </w:rPr>
        <w:t>Wood v Waddington</w:t>
      </w:r>
      <w:r w:rsidR="00D33345" w:rsidRPr="004936F1">
        <w:rPr>
          <w:rFonts w:asciiTheme="minorHAnsi" w:hAnsiTheme="minorHAnsi" w:cstheme="minorHAnsi"/>
          <w:sz w:val="21"/>
          <w:szCs w:val="21"/>
          <w:lang w:val="en-GB"/>
        </w:rPr>
        <w:t xml:space="preserve">, the </w:t>
      </w:r>
      <w:r w:rsidR="001C06D3" w:rsidRPr="004936F1">
        <w:rPr>
          <w:rFonts w:asciiTheme="minorHAnsi" w:hAnsiTheme="minorHAnsi" w:cstheme="minorHAnsi"/>
          <w:sz w:val="21"/>
          <w:szCs w:val="21"/>
          <w:lang w:val="en-GB"/>
        </w:rPr>
        <w:t xml:space="preserve">dominant view was that the </w:t>
      </w:r>
      <w:r w:rsidR="00D33345" w:rsidRPr="004936F1">
        <w:rPr>
          <w:rFonts w:asciiTheme="minorHAnsi" w:hAnsiTheme="minorHAnsi" w:cstheme="minorHAnsi"/>
          <w:sz w:val="21"/>
          <w:szCs w:val="21"/>
          <w:lang w:val="en-GB"/>
        </w:rPr>
        <w:t xml:space="preserve">two methods were mutually exclusive – </w:t>
      </w:r>
      <w:r w:rsidR="00D33345" w:rsidRPr="004936F1">
        <w:rPr>
          <w:rFonts w:asciiTheme="minorHAnsi" w:hAnsiTheme="minorHAnsi" w:cstheme="minorHAnsi"/>
          <w:i/>
          <w:iCs/>
          <w:sz w:val="21"/>
          <w:szCs w:val="21"/>
          <w:lang w:val="en-GB"/>
        </w:rPr>
        <w:t>Wheeldon v Burrows</w:t>
      </w:r>
      <w:r w:rsidR="00D33345" w:rsidRPr="004936F1">
        <w:rPr>
          <w:rFonts w:asciiTheme="minorHAnsi" w:hAnsiTheme="minorHAnsi" w:cstheme="minorHAnsi"/>
          <w:sz w:val="21"/>
          <w:szCs w:val="21"/>
          <w:lang w:val="en-GB"/>
        </w:rPr>
        <w:t xml:space="preserve"> operating where there </w:t>
      </w:r>
      <w:r w:rsidR="00E63BB7" w:rsidRPr="004936F1">
        <w:rPr>
          <w:rFonts w:asciiTheme="minorHAnsi" w:hAnsiTheme="minorHAnsi" w:cstheme="minorHAnsi"/>
          <w:sz w:val="21"/>
          <w:szCs w:val="21"/>
          <w:lang w:val="en-GB"/>
        </w:rPr>
        <w:t xml:space="preserve">was no diversity of occupation of the servient and dominant land and section 62 applying when there was. </w:t>
      </w:r>
      <w:r w:rsidR="005439C5" w:rsidRPr="004936F1">
        <w:rPr>
          <w:rFonts w:asciiTheme="minorHAnsi" w:hAnsiTheme="minorHAnsi" w:cstheme="minorHAnsi"/>
          <w:i/>
          <w:iCs/>
          <w:sz w:val="21"/>
          <w:szCs w:val="21"/>
          <w:lang w:val="en-GB"/>
        </w:rPr>
        <w:t>Wood v Warrington</w:t>
      </w:r>
      <w:r w:rsidR="005439C5" w:rsidRPr="004936F1">
        <w:rPr>
          <w:rFonts w:asciiTheme="minorHAnsi" w:hAnsiTheme="minorHAnsi" w:cstheme="minorHAnsi"/>
          <w:sz w:val="21"/>
          <w:szCs w:val="21"/>
          <w:lang w:val="en-GB"/>
        </w:rPr>
        <w:t xml:space="preserve"> now accepts that diversity of occupation is not always necessary for section 62 to operate. The section may also </w:t>
      </w:r>
      <w:r w:rsidR="00A931B9" w:rsidRPr="004936F1">
        <w:rPr>
          <w:rFonts w:asciiTheme="minorHAnsi" w:hAnsiTheme="minorHAnsi" w:cstheme="minorHAnsi"/>
          <w:sz w:val="21"/>
          <w:szCs w:val="21"/>
          <w:lang w:val="en-GB"/>
        </w:rPr>
        <w:t>lead to the creation of an implied easement where the right has been exercised over land in common occupation</w:t>
      </w:r>
      <w:r w:rsidR="007810B9" w:rsidRPr="004936F1">
        <w:rPr>
          <w:rFonts w:asciiTheme="minorHAnsi" w:hAnsiTheme="minorHAnsi" w:cstheme="minorHAnsi"/>
          <w:sz w:val="21"/>
          <w:szCs w:val="21"/>
          <w:lang w:val="en-GB"/>
        </w:rPr>
        <w:t xml:space="preserve"> if the exercise of that right is continuous and apparent. A requirement that is also evident in the operation of </w:t>
      </w:r>
      <w:r w:rsidR="007810B9" w:rsidRPr="004936F1">
        <w:rPr>
          <w:rFonts w:asciiTheme="minorHAnsi" w:hAnsiTheme="minorHAnsi" w:cstheme="minorHAnsi"/>
          <w:i/>
          <w:iCs/>
          <w:sz w:val="21"/>
          <w:szCs w:val="21"/>
          <w:lang w:val="en-GB"/>
        </w:rPr>
        <w:t>Wheeldon v Burrows.</w:t>
      </w:r>
      <w:r w:rsidR="005F2628" w:rsidRPr="004936F1">
        <w:rPr>
          <w:rFonts w:asciiTheme="minorHAnsi" w:hAnsiTheme="minorHAnsi" w:cstheme="minorHAnsi"/>
          <w:sz w:val="21"/>
          <w:szCs w:val="21"/>
          <w:lang w:val="en-GB"/>
        </w:rPr>
        <w:t xml:space="preserve"> </w:t>
      </w:r>
    </w:p>
    <w:p w14:paraId="379E204A" w14:textId="48499A9D" w:rsidR="00EF3757" w:rsidRPr="004936F1" w:rsidRDefault="00EF3757" w:rsidP="00237F7B">
      <w:pPr>
        <w:pStyle w:val="q"/>
        <w:spacing w:line="240" w:lineRule="auto"/>
        <w:ind w:left="570" w:firstLine="0"/>
        <w:rPr>
          <w:rFonts w:asciiTheme="minorHAnsi" w:hAnsiTheme="minorHAnsi" w:cstheme="minorHAnsi"/>
          <w:sz w:val="21"/>
          <w:szCs w:val="21"/>
          <w:lang w:val="en-GB"/>
        </w:rPr>
      </w:pPr>
    </w:p>
    <w:p w14:paraId="1225BBF4" w14:textId="75586FB6" w:rsidR="00835E88" w:rsidRPr="004936F1" w:rsidRDefault="00EF3757" w:rsidP="00465AD7">
      <w:pPr>
        <w:spacing w:after="0" w:line="240" w:lineRule="auto"/>
        <w:jc w:val="both"/>
        <w:rPr>
          <w:rFonts w:cstheme="minorHAnsi"/>
          <w:sz w:val="21"/>
          <w:szCs w:val="21"/>
        </w:rPr>
      </w:pPr>
      <w:r w:rsidRPr="004936F1">
        <w:rPr>
          <w:rFonts w:cstheme="minorHAnsi"/>
          <w:sz w:val="21"/>
          <w:szCs w:val="21"/>
        </w:rPr>
        <w:t>Thus</w:t>
      </w:r>
      <w:r w:rsidR="00835E88" w:rsidRPr="004936F1">
        <w:rPr>
          <w:rFonts w:cstheme="minorHAnsi"/>
          <w:sz w:val="21"/>
          <w:szCs w:val="21"/>
        </w:rPr>
        <w:t>,</w:t>
      </w:r>
      <w:r w:rsidRPr="004936F1">
        <w:rPr>
          <w:rFonts w:cstheme="minorHAnsi"/>
          <w:sz w:val="21"/>
          <w:szCs w:val="21"/>
        </w:rPr>
        <w:t xml:space="preserve"> although the two methods </w:t>
      </w:r>
      <w:r w:rsidR="00835E88" w:rsidRPr="004936F1">
        <w:rPr>
          <w:rFonts w:cstheme="minorHAnsi"/>
          <w:sz w:val="21"/>
          <w:szCs w:val="21"/>
        </w:rPr>
        <w:t xml:space="preserve">now seem to overlap, distinctions do remain. </w:t>
      </w:r>
      <w:r w:rsidR="002810A5" w:rsidRPr="004936F1">
        <w:rPr>
          <w:rFonts w:cstheme="minorHAnsi"/>
          <w:sz w:val="21"/>
          <w:szCs w:val="21"/>
        </w:rPr>
        <w:t>In particular, s</w:t>
      </w:r>
      <w:r w:rsidR="00835E88" w:rsidRPr="004936F1">
        <w:rPr>
          <w:rFonts w:cstheme="minorHAnsi"/>
          <w:sz w:val="21"/>
          <w:szCs w:val="21"/>
        </w:rPr>
        <w:t xml:space="preserve">ection 62 only operates where there is a conveyance by deed whereas </w:t>
      </w:r>
      <w:r w:rsidR="00835E88" w:rsidRPr="004936F1">
        <w:rPr>
          <w:rFonts w:cstheme="minorHAnsi"/>
          <w:i/>
          <w:sz w:val="21"/>
          <w:szCs w:val="21"/>
        </w:rPr>
        <w:t xml:space="preserve">Wheeldon v Burrows </w:t>
      </w:r>
      <w:r w:rsidR="00835E88" w:rsidRPr="004936F1">
        <w:rPr>
          <w:rFonts w:cstheme="minorHAnsi"/>
          <w:sz w:val="21"/>
          <w:szCs w:val="21"/>
        </w:rPr>
        <w:t>may operate where there has been a disposal which operates only in equity</w:t>
      </w:r>
      <w:r w:rsidR="00152577" w:rsidRPr="004936F1">
        <w:rPr>
          <w:rFonts w:cstheme="minorHAnsi"/>
          <w:sz w:val="21"/>
          <w:szCs w:val="21"/>
        </w:rPr>
        <w:t>.</w:t>
      </w:r>
      <w:r w:rsidR="002810A5" w:rsidRPr="004936F1">
        <w:rPr>
          <w:rFonts w:cstheme="minorHAnsi"/>
          <w:sz w:val="21"/>
          <w:szCs w:val="21"/>
        </w:rPr>
        <w:t xml:space="preserve"> </w:t>
      </w:r>
      <w:r w:rsidR="00152577" w:rsidRPr="004936F1">
        <w:rPr>
          <w:rFonts w:cstheme="minorHAnsi"/>
          <w:sz w:val="21"/>
          <w:szCs w:val="21"/>
        </w:rPr>
        <w:t>However, s</w:t>
      </w:r>
      <w:r w:rsidR="00835E88" w:rsidRPr="004936F1">
        <w:rPr>
          <w:rFonts w:cstheme="minorHAnsi"/>
          <w:sz w:val="21"/>
          <w:szCs w:val="21"/>
        </w:rPr>
        <w:t>ection 62 is wider</w:t>
      </w:r>
      <w:r w:rsidR="009160E6" w:rsidRPr="004936F1">
        <w:rPr>
          <w:rFonts w:cstheme="minorHAnsi"/>
          <w:sz w:val="21"/>
          <w:szCs w:val="21"/>
        </w:rPr>
        <w:t xml:space="preserve"> in the subject matter of the rights that it encompasses. </w:t>
      </w:r>
      <w:r w:rsidR="00835E88" w:rsidRPr="004936F1">
        <w:rPr>
          <w:rFonts w:cstheme="minorHAnsi"/>
          <w:sz w:val="21"/>
          <w:szCs w:val="21"/>
        </w:rPr>
        <w:t xml:space="preserve"> </w:t>
      </w:r>
      <w:r w:rsidR="009160E6" w:rsidRPr="004936F1">
        <w:rPr>
          <w:rFonts w:cstheme="minorHAnsi"/>
          <w:sz w:val="21"/>
          <w:szCs w:val="21"/>
        </w:rPr>
        <w:t>I</w:t>
      </w:r>
      <w:r w:rsidR="00835E88" w:rsidRPr="004936F1">
        <w:rPr>
          <w:rFonts w:cstheme="minorHAnsi"/>
          <w:sz w:val="21"/>
          <w:szCs w:val="21"/>
        </w:rPr>
        <w:t xml:space="preserve">t may relate to any right that is capable of existing as an easement, whereas </w:t>
      </w:r>
      <w:r w:rsidR="00835E88" w:rsidRPr="004936F1">
        <w:rPr>
          <w:rFonts w:cstheme="minorHAnsi"/>
          <w:i/>
          <w:sz w:val="21"/>
          <w:szCs w:val="21"/>
        </w:rPr>
        <w:t>Wheeldon v Burro</w:t>
      </w:r>
      <w:r w:rsidR="00835E88" w:rsidRPr="004936F1">
        <w:rPr>
          <w:rFonts w:cstheme="minorHAnsi"/>
          <w:sz w:val="21"/>
          <w:szCs w:val="21"/>
        </w:rPr>
        <w:t>ws can only lead to the implied grant of rights which are ‘continuous and apparent’ and reasonably necessary to the enjoyment of the dominant land.</w:t>
      </w:r>
    </w:p>
    <w:p w14:paraId="4ABD49CF" w14:textId="4CA83A9C" w:rsidR="00EF3757" w:rsidRPr="004936F1" w:rsidRDefault="00EF3757" w:rsidP="00237F7B">
      <w:pPr>
        <w:pStyle w:val="q"/>
        <w:spacing w:line="240" w:lineRule="auto"/>
        <w:ind w:left="570" w:firstLine="0"/>
        <w:rPr>
          <w:rFonts w:asciiTheme="minorHAnsi" w:hAnsiTheme="minorHAnsi" w:cstheme="minorHAnsi"/>
          <w:sz w:val="21"/>
          <w:szCs w:val="21"/>
          <w:lang w:val="en-GB"/>
        </w:rPr>
      </w:pPr>
    </w:p>
    <w:p w14:paraId="08B06D10" w14:textId="77777777" w:rsidR="00FA4700" w:rsidRPr="004936F1" w:rsidRDefault="00FA4700" w:rsidP="00237F7B">
      <w:pPr>
        <w:pStyle w:val="q"/>
        <w:spacing w:line="240" w:lineRule="auto"/>
        <w:ind w:left="570" w:firstLine="0"/>
        <w:rPr>
          <w:rFonts w:asciiTheme="minorHAnsi" w:hAnsiTheme="minorHAnsi" w:cstheme="minorHAnsi"/>
          <w:sz w:val="21"/>
          <w:szCs w:val="21"/>
          <w:lang w:val="en-GB"/>
        </w:rPr>
      </w:pPr>
    </w:p>
    <w:p w14:paraId="713FB2FA" w14:textId="1FE5408E" w:rsidR="00761150" w:rsidRPr="004936F1" w:rsidRDefault="004936F1" w:rsidP="00761150">
      <w:pPr>
        <w:pStyle w:val="q"/>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Question 6: </w:t>
      </w:r>
      <w:r w:rsidR="00761150" w:rsidRPr="004936F1">
        <w:rPr>
          <w:rFonts w:asciiTheme="minorHAnsi" w:hAnsiTheme="minorHAnsi" w:cstheme="minorHAnsi"/>
          <w:b/>
          <w:bCs/>
          <w:sz w:val="21"/>
          <w:szCs w:val="21"/>
          <w:lang w:val="en-GB"/>
        </w:rPr>
        <w:t xml:space="preserve">In prescription, what is the distinction between </w:t>
      </w:r>
      <w:r w:rsidR="00761150" w:rsidRPr="004936F1">
        <w:rPr>
          <w:rFonts w:asciiTheme="minorHAnsi" w:hAnsiTheme="minorHAnsi" w:cstheme="minorHAnsi"/>
          <w:b/>
          <w:bCs/>
          <w:sz w:val="21"/>
          <w:szCs w:val="21"/>
          <w:highlight w:val="white"/>
          <w:lang w:val="en-GB"/>
        </w:rPr>
        <w:t>‘user as of right’</w:t>
      </w:r>
      <w:r w:rsidR="00761150" w:rsidRPr="004936F1">
        <w:rPr>
          <w:rFonts w:asciiTheme="minorHAnsi" w:hAnsiTheme="minorHAnsi" w:cstheme="minorHAnsi"/>
          <w:b/>
          <w:bCs/>
          <w:sz w:val="21"/>
          <w:szCs w:val="21"/>
          <w:lang w:val="en-GB"/>
        </w:rPr>
        <w:t xml:space="preserve"> and </w:t>
      </w:r>
      <w:r w:rsidR="00761150" w:rsidRPr="004936F1">
        <w:rPr>
          <w:rFonts w:asciiTheme="minorHAnsi" w:hAnsiTheme="minorHAnsi" w:cstheme="minorHAnsi"/>
          <w:b/>
          <w:bCs/>
          <w:sz w:val="21"/>
          <w:szCs w:val="21"/>
          <w:highlight w:val="white"/>
          <w:lang w:val="en-GB"/>
        </w:rPr>
        <w:t>‘of right’?</w:t>
      </w:r>
    </w:p>
    <w:p w14:paraId="58405B23" w14:textId="77777777" w:rsidR="00931D83" w:rsidRPr="004936F1" w:rsidRDefault="00A71419" w:rsidP="00465AD7">
      <w:pPr>
        <w:rPr>
          <w:rFonts w:cstheme="minorHAnsi"/>
          <w:sz w:val="21"/>
          <w:szCs w:val="21"/>
        </w:rPr>
      </w:pPr>
      <w:r w:rsidRPr="004936F1">
        <w:rPr>
          <w:rFonts w:cstheme="minorHAnsi"/>
          <w:sz w:val="21"/>
          <w:szCs w:val="21"/>
        </w:rPr>
        <w:t xml:space="preserve">The concept of ‘user as of right’ is explained in Paragraph </w:t>
      </w:r>
      <w:r w:rsidR="00293E51" w:rsidRPr="004936F1">
        <w:rPr>
          <w:rFonts w:cstheme="minorHAnsi"/>
          <w:sz w:val="21"/>
          <w:szCs w:val="21"/>
        </w:rPr>
        <w:t>9.</w:t>
      </w:r>
      <w:r w:rsidR="0058619D" w:rsidRPr="004936F1">
        <w:rPr>
          <w:rFonts w:cstheme="minorHAnsi"/>
          <w:sz w:val="21"/>
          <w:szCs w:val="21"/>
        </w:rPr>
        <w:t>55</w:t>
      </w:r>
      <w:r w:rsidR="00125C85" w:rsidRPr="004936F1">
        <w:rPr>
          <w:rFonts w:cstheme="minorHAnsi"/>
          <w:sz w:val="21"/>
          <w:szCs w:val="21"/>
        </w:rPr>
        <w:t xml:space="preserve"> and its distinction with ‘user of</w:t>
      </w:r>
      <w:r w:rsidR="00BC71D1" w:rsidRPr="004936F1">
        <w:rPr>
          <w:rFonts w:cstheme="minorHAnsi"/>
          <w:sz w:val="21"/>
          <w:szCs w:val="21"/>
        </w:rPr>
        <w:t>’</w:t>
      </w:r>
      <w:r w:rsidR="00125C85" w:rsidRPr="004936F1">
        <w:rPr>
          <w:rFonts w:cstheme="minorHAnsi"/>
          <w:sz w:val="21"/>
          <w:szCs w:val="21"/>
        </w:rPr>
        <w:t xml:space="preserve"> </w:t>
      </w:r>
      <w:r w:rsidR="00BC71D1" w:rsidRPr="004936F1">
        <w:rPr>
          <w:rFonts w:cstheme="minorHAnsi"/>
          <w:sz w:val="21"/>
          <w:szCs w:val="21"/>
        </w:rPr>
        <w:t xml:space="preserve">or ‘by </w:t>
      </w:r>
      <w:r w:rsidR="00125C85" w:rsidRPr="004936F1">
        <w:rPr>
          <w:rFonts w:cstheme="minorHAnsi"/>
          <w:sz w:val="21"/>
          <w:szCs w:val="21"/>
        </w:rPr>
        <w:t>right’ is considered in Paragraph 9.56.</w:t>
      </w:r>
      <w:r w:rsidR="00913F0E" w:rsidRPr="004936F1">
        <w:rPr>
          <w:rFonts w:cstheme="minorHAnsi"/>
          <w:sz w:val="21"/>
          <w:szCs w:val="21"/>
        </w:rPr>
        <w:t xml:space="preserve"> </w:t>
      </w:r>
      <w:r w:rsidRPr="004936F1">
        <w:rPr>
          <w:rFonts w:cstheme="minorHAnsi"/>
          <w:sz w:val="21"/>
          <w:szCs w:val="21"/>
        </w:rPr>
        <w:t xml:space="preserve"> </w:t>
      </w:r>
    </w:p>
    <w:p w14:paraId="33AA1C63" w14:textId="17822CC6" w:rsidR="00470EB6" w:rsidRPr="004936F1" w:rsidRDefault="00931D83" w:rsidP="00465AD7">
      <w:pPr>
        <w:rPr>
          <w:rFonts w:cstheme="minorHAnsi"/>
          <w:sz w:val="21"/>
          <w:szCs w:val="21"/>
        </w:rPr>
      </w:pPr>
      <w:r w:rsidRPr="004936F1">
        <w:rPr>
          <w:rFonts w:cstheme="minorHAnsi"/>
          <w:sz w:val="21"/>
          <w:szCs w:val="21"/>
        </w:rPr>
        <w:t xml:space="preserve">User as of right </w:t>
      </w:r>
      <w:r w:rsidR="00B97E10" w:rsidRPr="004936F1">
        <w:rPr>
          <w:rFonts w:cstheme="minorHAnsi"/>
          <w:sz w:val="21"/>
          <w:szCs w:val="21"/>
        </w:rPr>
        <w:t>is sometimes described as user that is open, without force or permission of the servient owner. Thus</w:t>
      </w:r>
      <w:r w:rsidR="00470EB6" w:rsidRPr="004936F1">
        <w:rPr>
          <w:rFonts w:cstheme="minorHAnsi"/>
          <w:sz w:val="21"/>
          <w:szCs w:val="21"/>
        </w:rPr>
        <w:t>,</w:t>
      </w:r>
      <w:r w:rsidR="00B97E10" w:rsidRPr="004936F1">
        <w:rPr>
          <w:rFonts w:cstheme="minorHAnsi"/>
          <w:sz w:val="21"/>
          <w:szCs w:val="21"/>
        </w:rPr>
        <w:t xml:space="preserve"> in essence</w:t>
      </w:r>
      <w:r w:rsidR="00470EB6" w:rsidRPr="004936F1">
        <w:rPr>
          <w:rFonts w:cstheme="minorHAnsi"/>
          <w:sz w:val="21"/>
          <w:szCs w:val="21"/>
        </w:rPr>
        <w:t>,</w:t>
      </w:r>
      <w:r w:rsidR="00B97E10" w:rsidRPr="004936F1">
        <w:rPr>
          <w:rFonts w:cstheme="minorHAnsi"/>
          <w:sz w:val="21"/>
          <w:szCs w:val="21"/>
        </w:rPr>
        <w:t xml:space="preserve"> it shows that the dominant owner is exercising the right as if it had been granted</w:t>
      </w:r>
      <w:r w:rsidR="008D063E" w:rsidRPr="004936F1">
        <w:rPr>
          <w:rFonts w:cstheme="minorHAnsi"/>
          <w:sz w:val="21"/>
          <w:szCs w:val="21"/>
        </w:rPr>
        <w:t xml:space="preserve"> -remember that prescription is based upon a presumed grant</w:t>
      </w:r>
      <w:r w:rsidR="00695F37" w:rsidRPr="004936F1">
        <w:rPr>
          <w:rFonts w:cstheme="minorHAnsi"/>
          <w:sz w:val="21"/>
          <w:szCs w:val="21"/>
        </w:rPr>
        <w:t>.</w:t>
      </w:r>
    </w:p>
    <w:p w14:paraId="6A23FC2E" w14:textId="649C62AC" w:rsidR="00761150" w:rsidRPr="004936F1" w:rsidRDefault="00B97E10" w:rsidP="00465AD7">
      <w:pPr>
        <w:rPr>
          <w:rFonts w:cstheme="minorHAnsi"/>
          <w:i/>
          <w:iCs/>
          <w:sz w:val="24"/>
          <w:szCs w:val="24"/>
        </w:rPr>
      </w:pPr>
      <w:r w:rsidRPr="004936F1">
        <w:rPr>
          <w:rFonts w:cstheme="minorHAnsi"/>
          <w:sz w:val="21"/>
          <w:szCs w:val="21"/>
        </w:rPr>
        <w:lastRenderedPageBreak/>
        <w:t xml:space="preserve"> </w:t>
      </w:r>
      <w:r w:rsidR="00470EB6" w:rsidRPr="004936F1">
        <w:rPr>
          <w:rFonts w:cstheme="minorHAnsi"/>
          <w:sz w:val="21"/>
          <w:szCs w:val="21"/>
        </w:rPr>
        <w:t>‘User of’ or ‘by right’</w:t>
      </w:r>
      <w:r w:rsidR="00F857B3" w:rsidRPr="004936F1">
        <w:rPr>
          <w:rFonts w:cstheme="minorHAnsi"/>
          <w:sz w:val="21"/>
          <w:szCs w:val="21"/>
        </w:rPr>
        <w:t xml:space="preserve">, </w:t>
      </w:r>
      <w:r w:rsidR="00470EB6" w:rsidRPr="004936F1">
        <w:rPr>
          <w:rFonts w:cstheme="minorHAnsi"/>
          <w:sz w:val="21"/>
          <w:szCs w:val="21"/>
        </w:rPr>
        <w:t>by contrast</w:t>
      </w:r>
      <w:r w:rsidR="00F857B3" w:rsidRPr="004936F1">
        <w:rPr>
          <w:rFonts w:cstheme="minorHAnsi"/>
          <w:sz w:val="21"/>
          <w:szCs w:val="21"/>
        </w:rPr>
        <w:t>,</w:t>
      </w:r>
      <w:r w:rsidR="00470EB6" w:rsidRPr="004936F1">
        <w:rPr>
          <w:rFonts w:cstheme="minorHAnsi"/>
          <w:sz w:val="21"/>
          <w:szCs w:val="21"/>
        </w:rPr>
        <w:t xml:space="preserve"> indicates that the user </w:t>
      </w:r>
      <w:r w:rsidR="0033521C" w:rsidRPr="004936F1">
        <w:rPr>
          <w:rFonts w:cstheme="minorHAnsi"/>
          <w:sz w:val="21"/>
          <w:szCs w:val="21"/>
        </w:rPr>
        <w:t xml:space="preserve">is exercised with </w:t>
      </w:r>
      <w:r w:rsidR="00470EB6" w:rsidRPr="004936F1">
        <w:rPr>
          <w:rFonts w:cstheme="minorHAnsi"/>
          <w:sz w:val="21"/>
          <w:szCs w:val="21"/>
        </w:rPr>
        <w:t xml:space="preserve">the permission of the servient owner </w:t>
      </w:r>
      <w:r w:rsidR="00715DCE" w:rsidRPr="004936F1">
        <w:rPr>
          <w:rFonts w:cstheme="minorHAnsi"/>
          <w:sz w:val="21"/>
          <w:szCs w:val="21"/>
        </w:rPr>
        <w:t xml:space="preserve">so that prescription does cannot operate. </w:t>
      </w:r>
      <w:r w:rsidR="0087526A" w:rsidRPr="004936F1">
        <w:rPr>
          <w:rFonts w:cstheme="minorHAnsi"/>
          <w:sz w:val="21"/>
          <w:szCs w:val="21"/>
        </w:rPr>
        <w:t xml:space="preserve">That permission may be expressly given or arise from statute or some other source – see </w:t>
      </w:r>
      <w:r w:rsidR="002D01C4" w:rsidRPr="004936F1">
        <w:rPr>
          <w:rFonts w:cstheme="minorHAnsi"/>
          <w:i/>
          <w:sz w:val="21"/>
          <w:szCs w:val="21"/>
        </w:rPr>
        <w:t>R (</w:t>
      </w:r>
      <w:proofErr w:type="spellStart"/>
      <w:r w:rsidR="002D01C4" w:rsidRPr="004936F1">
        <w:rPr>
          <w:rFonts w:cstheme="minorHAnsi"/>
          <w:i/>
          <w:sz w:val="21"/>
          <w:szCs w:val="21"/>
        </w:rPr>
        <w:t>Barkas</w:t>
      </w:r>
      <w:proofErr w:type="spellEnd"/>
      <w:r w:rsidR="002D01C4" w:rsidRPr="004936F1">
        <w:rPr>
          <w:rFonts w:cstheme="minorHAnsi"/>
          <w:i/>
          <w:sz w:val="21"/>
          <w:szCs w:val="21"/>
        </w:rPr>
        <w:t>) v North Yorkshire CC</w:t>
      </w:r>
      <w:r w:rsidR="002D01C4" w:rsidRPr="004936F1">
        <w:rPr>
          <w:rFonts w:cstheme="minorHAnsi"/>
          <w:sz w:val="21"/>
          <w:szCs w:val="21"/>
        </w:rPr>
        <w:t xml:space="preserve"> </w:t>
      </w:r>
      <w:r w:rsidR="00F857B3" w:rsidRPr="004936F1">
        <w:rPr>
          <w:rFonts w:cstheme="minorHAnsi"/>
          <w:sz w:val="21"/>
          <w:szCs w:val="21"/>
        </w:rPr>
        <w:t>and</w:t>
      </w:r>
      <w:r w:rsidR="002D01C4" w:rsidRPr="004936F1">
        <w:rPr>
          <w:rFonts w:cstheme="minorHAnsi"/>
          <w:sz w:val="21"/>
          <w:szCs w:val="21"/>
        </w:rPr>
        <w:t xml:space="preserve"> </w:t>
      </w:r>
      <w:r w:rsidR="002D01C4" w:rsidRPr="004936F1">
        <w:rPr>
          <w:rFonts w:cstheme="minorHAnsi"/>
          <w:i/>
          <w:sz w:val="21"/>
          <w:szCs w:val="21"/>
        </w:rPr>
        <w:t>R (on the application of Newhaven Port &amp; Properties Ltd) v SS for the Environment,</w:t>
      </w:r>
      <w:r w:rsidR="002D01C4" w:rsidRPr="004936F1">
        <w:rPr>
          <w:rFonts w:cstheme="minorHAnsi"/>
          <w:i/>
          <w:sz w:val="24"/>
          <w:szCs w:val="24"/>
        </w:rPr>
        <w:t xml:space="preserve"> </w:t>
      </w:r>
      <w:r w:rsidR="002D01C4" w:rsidRPr="004936F1">
        <w:rPr>
          <w:rFonts w:cstheme="minorHAnsi"/>
          <w:i/>
          <w:sz w:val="21"/>
          <w:szCs w:val="21"/>
        </w:rPr>
        <w:t>Food &amp; Rural Affairs</w:t>
      </w:r>
      <w:r w:rsidR="00F857B3" w:rsidRPr="004936F1">
        <w:rPr>
          <w:rFonts w:cstheme="minorHAnsi"/>
          <w:i/>
          <w:sz w:val="21"/>
          <w:szCs w:val="21"/>
        </w:rPr>
        <w:t>.</w:t>
      </w:r>
    </w:p>
    <w:sectPr w:rsidR="00761150" w:rsidRPr="004936F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A283B" w14:textId="77777777" w:rsidR="0097185F" w:rsidRDefault="0097185F" w:rsidP="00761150">
      <w:pPr>
        <w:spacing w:after="0" w:line="240" w:lineRule="auto"/>
      </w:pPr>
      <w:r>
        <w:separator/>
      </w:r>
    </w:p>
  </w:endnote>
  <w:endnote w:type="continuationSeparator" w:id="0">
    <w:p w14:paraId="68E3E721" w14:textId="77777777" w:rsidR="0097185F" w:rsidRDefault="0097185F" w:rsidP="0076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71B5" w14:textId="77777777" w:rsidR="00FA459E" w:rsidRPr="002E5D50" w:rsidRDefault="00FA459E" w:rsidP="00FA459E">
    <w:pPr>
      <w:pStyle w:val="Footer"/>
      <w:jc w:val="right"/>
      <w:rPr>
        <w:color w:val="808080"/>
        <w:sz w:val="20"/>
        <w:szCs w:val="20"/>
      </w:rPr>
    </w:pPr>
    <w:r>
      <w:rPr>
        <w:noProof/>
        <w:color w:val="808080"/>
        <w:sz w:val="20"/>
        <w:szCs w:val="20"/>
        <w:lang w:eastAsia="en-GB"/>
      </w:rPr>
      <w:drawing>
        <wp:inline distT="0" distB="0" distL="0" distR="0" wp14:anchorId="212E56EE" wp14:editId="09C9A7C7">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061CFD4E" w14:textId="77777777" w:rsidR="00FA459E" w:rsidRPr="002E5D50" w:rsidRDefault="00FA459E" w:rsidP="00FA459E">
    <w:pPr>
      <w:pStyle w:val="Footer"/>
      <w:rPr>
        <w:color w:val="808080"/>
        <w:sz w:val="20"/>
        <w:szCs w:val="20"/>
      </w:rPr>
    </w:pPr>
    <w:r w:rsidRPr="002E5D50">
      <w:rPr>
        <w:color w:val="808080"/>
        <w:sz w:val="20"/>
        <w:szCs w:val="20"/>
      </w:rPr>
      <w:t>© B McFarlane, SA Nield, 20</w:t>
    </w:r>
    <w:r>
      <w:rPr>
        <w:color w:val="808080"/>
        <w:sz w:val="20"/>
        <w:szCs w:val="20"/>
      </w:rPr>
      <w:t>20</w:t>
    </w:r>
    <w:r w:rsidRPr="002E5D50">
      <w:rPr>
        <w:color w:val="808080"/>
        <w:sz w:val="20"/>
        <w:szCs w:val="20"/>
      </w:rPr>
      <w:t>. All rights reserved.</w:t>
    </w:r>
  </w:p>
  <w:p w14:paraId="5ABA5840" w14:textId="77777777" w:rsidR="00FA459E" w:rsidRDefault="00FA4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9D164" w14:textId="77777777" w:rsidR="0097185F" w:rsidRDefault="0097185F" w:rsidP="00761150">
      <w:pPr>
        <w:spacing w:after="0" w:line="240" w:lineRule="auto"/>
      </w:pPr>
      <w:r>
        <w:separator/>
      </w:r>
    </w:p>
  </w:footnote>
  <w:footnote w:type="continuationSeparator" w:id="0">
    <w:p w14:paraId="58CEC00E" w14:textId="77777777" w:rsidR="0097185F" w:rsidRDefault="0097185F" w:rsidP="00761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4271" w14:textId="08132E5B" w:rsidR="00761150" w:rsidRPr="000F4193" w:rsidRDefault="00761150" w:rsidP="00761150">
    <w:pPr>
      <w:pStyle w:val="Header"/>
      <w:jc w:val="center"/>
      <w:rPr>
        <w:rFonts w:cs="Arial"/>
        <w:color w:val="808080"/>
        <w:sz w:val="20"/>
        <w:szCs w:val="24"/>
      </w:rPr>
    </w:pPr>
    <w:r w:rsidRPr="000F4193">
      <w:rPr>
        <w:rFonts w:cs="Arial"/>
        <w:color w:val="808080"/>
        <w:sz w:val="20"/>
        <w:szCs w:val="24"/>
      </w:rPr>
      <w:t xml:space="preserve">McFarlane, Hopkins &amp; Nield: </w:t>
    </w:r>
    <w:r w:rsidRPr="000F4193">
      <w:rPr>
        <w:rFonts w:cs="Arial"/>
        <w:i/>
        <w:color w:val="808080"/>
        <w:sz w:val="20"/>
        <w:szCs w:val="24"/>
      </w:rPr>
      <w:t xml:space="preserve">Land Law, </w:t>
    </w:r>
    <w:r>
      <w:rPr>
        <w:rFonts w:cs="Arial"/>
        <w:i/>
        <w:color w:val="808080"/>
        <w:sz w:val="20"/>
        <w:szCs w:val="24"/>
      </w:rPr>
      <w:t xml:space="preserve">Core </w:t>
    </w:r>
    <w:r w:rsidRPr="000F4193">
      <w:rPr>
        <w:rFonts w:cs="Arial"/>
        <w:i/>
        <w:color w:val="808080"/>
        <w:sz w:val="20"/>
        <w:szCs w:val="24"/>
      </w:rPr>
      <w:t>Text</w:t>
    </w:r>
    <w:r>
      <w:rPr>
        <w:rFonts w:cs="Arial"/>
        <w:i/>
        <w:color w:val="808080"/>
        <w:sz w:val="20"/>
        <w:szCs w:val="24"/>
      </w:rPr>
      <w:t xml:space="preserve"> 2nd</w:t>
    </w:r>
    <w:r w:rsidRPr="000F4193">
      <w:rPr>
        <w:rFonts w:cs="Arial"/>
        <w:color w:val="808080"/>
        <w:sz w:val="20"/>
        <w:szCs w:val="24"/>
      </w:rPr>
      <w:t xml:space="preserve"> edition</w:t>
    </w:r>
  </w:p>
  <w:p w14:paraId="44F6B52E" w14:textId="77777777" w:rsidR="00761150" w:rsidRPr="000F4193" w:rsidRDefault="00761150" w:rsidP="00761150">
    <w:pPr>
      <w:pStyle w:val="Header"/>
      <w:jc w:val="center"/>
      <w:rPr>
        <w:rFonts w:cs="Arial"/>
        <w:color w:val="808080"/>
        <w:sz w:val="20"/>
        <w:szCs w:val="24"/>
      </w:rPr>
    </w:pPr>
    <w:r w:rsidRPr="000F4193">
      <w:rPr>
        <w:rFonts w:cs="Arial"/>
        <w:color w:val="808080"/>
        <w:sz w:val="20"/>
        <w:szCs w:val="24"/>
      </w:rPr>
      <w:t>Answer Guidance</w:t>
    </w:r>
  </w:p>
  <w:p w14:paraId="1ADAC884" w14:textId="3A42FA20" w:rsidR="00761150" w:rsidRDefault="00761150">
    <w:pPr>
      <w:pStyle w:val="Header"/>
    </w:pPr>
  </w:p>
  <w:p w14:paraId="2DF38B37" w14:textId="77777777" w:rsidR="00761150" w:rsidRDefault="00761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5C4"/>
    <w:multiLevelType w:val="hybridMultilevel"/>
    <w:tmpl w:val="D6588E8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37184EB5"/>
    <w:multiLevelType w:val="hybridMultilevel"/>
    <w:tmpl w:val="C1F6A78C"/>
    <w:lvl w:ilvl="0" w:tplc="BDB0800C">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9706FA5"/>
    <w:multiLevelType w:val="hybridMultilevel"/>
    <w:tmpl w:val="5546EF7A"/>
    <w:lvl w:ilvl="0" w:tplc="1FAC54B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50"/>
    <w:rsid w:val="000147AA"/>
    <w:rsid w:val="00024751"/>
    <w:rsid w:val="00042071"/>
    <w:rsid w:val="0006352C"/>
    <w:rsid w:val="000672C1"/>
    <w:rsid w:val="00074EA7"/>
    <w:rsid w:val="00075C61"/>
    <w:rsid w:val="00085F6D"/>
    <w:rsid w:val="00094098"/>
    <w:rsid w:val="000B6F05"/>
    <w:rsid w:val="001118C4"/>
    <w:rsid w:val="00121805"/>
    <w:rsid w:val="00125C85"/>
    <w:rsid w:val="00127E4B"/>
    <w:rsid w:val="00146B54"/>
    <w:rsid w:val="00152577"/>
    <w:rsid w:val="0015595C"/>
    <w:rsid w:val="00165982"/>
    <w:rsid w:val="001674B8"/>
    <w:rsid w:val="00196AB2"/>
    <w:rsid w:val="001B4A54"/>
    <w:rsid w:val="001C06D3"/>
    <w:rsid w:val="001C3F10"/>
    <w:rsid w:val="001D0748"/>
    <w:rsid w:val="002307BC"/>
    <w:rsid w:val="00233075"/>
    <w:rsid w:val="0023494C"/>
    <w:rsid w:val="00237F7B"/>
    <w:rsid w:val="00250CE5"/>
    <w:rsid w:val="00253FF7"/>
    <w:rsid w:val="002616DB"/>
    <w:rsid w:val="00273BAE"/>
    <w:rsid w:val="00275676"/>
    <w:rsid w:val="00276876"/>
    <w:rsid w:val="002810A5"/>
    <w:rsid w:val="002922BE"/>
    <w:rsid w:val="00293E51"/>
    <w:rsid w:val="002B365E"/>
    <w:rsid w:val="002B371B"/>
    <w:rsid w:val="002D01C4"/>
    <w:rsid w:val="002D199D"/>
    <w:rsid w:val="002D6609"/>
    <w:rsid w:val="0033521C"/>
    <w:rsid w:val="00345D3D"/>
    <w:rsid w:val="003641AB"/>
    <w:rsid w:val="003648E2"/>
    <w:rsid w:val="00380D5B"/>
    <w:rsid w:val="00384367"/>
    <w:rsid w:val="00385388"/>
    <w:rsid w:val="003C37FA"/>
    <w:rsid w:val="003F6CA2"/>
    <w:rsid w:val="00401B86"/>
    <w:rsid w:val="00416503"/>
    <w:rsid w:val="00422B35"/>
    <w:rsid w:val="004309CC"/>
    <w:rsid w:val="00432D41"/>
    <w:rsid w:val="00433F52"/>
    <w:rsid w:val="00454ED4"/>
    <w:rsid w:val="00465AD7"/>
    <w:rsid w:val="00470EB6"/>
    <w:rsid w:val="00474D17"/>
    <w:rsid w:val="004936F1"/>
    <w:rsid w:val="00502D6E"/>
    <w:rsid w:val="0050428E"/>
    <w:rsid w:val="00504419"/>
    <w:rsid w:val="00535EA3"/>
    <w:rsid w:val="00536676"/>
    <w:rsid w:val="005439C5"/>
    <w:rsid w:val="00543AB3"/>
    <w:rsid w:val="005457DA"/>
    <w:rsid w:val="005700C6"/>
    <w:rsid w:val="005732DF"/>
    <w:rsid w:val="0058619D"/>
    <w:rsid w:val="00597757"/>
    <w:rsid w:val="005B3E6F"/>
    <w:rsid w:val="005B43FA"/>
    <w:rsid w:val="005D27ED"/>
    <w:rsid w:val="005E1A28"/>
    <w:rsid w:val="005F2628"/>
    <w:rsid w:val="0061024B"/>
    <w:rsid w:val="00613975"/>
    <w:rsid w:val="00634B3D"/>
    <w:rsid w:val="00636C6B"/>
    <w:rsid w:val="00644921"/>
    <w:rsid w:val="00653F0E"/>
    <w:rsid w:val="00676F85"/>
    <w:rsid w:val="0068437E"/>
    <w:rsid w:val="00695F37"/>
    <w:rsid w:val="006A12ED"/>
    <w:rsid w:val="006D6944"/>
    <w:rsid w:val="00715DCE"/>
    <w:rsid w:val="00722285"/>
    <w:rsid w:val="007227DF"/>
    <w:rsid w:val="0072455B"/>
    <w:rsid w:val="007324BE"/>
    <w:rsid w:val="007410D6"/>
    <w:rsid w:val="00747370"/>
    <w:rsid w:val="007504ED"/>
    <w:rsid w:val="00761150"/>
    <w:rsid w:val="007810B9"/>
    <w:rsid w:val="0079083D"/>
    <w:rsid w:val="007919A1"/>
    <w:rsid w:val="007B109D"/>
    <w:rsid w:val="007B33AE"/>
    <w:rsid w:val="007C1D06"/>
    <w:rsid w:val="007E24F1"/>
    <w:rsid w:val="007E33AF"/>
    <w:rsid w:val="00800FCA"/>
    <w:rsid w:val="00804EAC"/>
    <w:rsid w:val="00826718"/>
    <w:rsid w:val="00832ACA"/>
    <w:rsid w:val="008330C5"/>
    <w:rsid w:val="00835E88"/>
    <w:rsid w:val="0087526A"/>
    <w:rsid w:val="008A542B"/>
    <w:rsid w:val="008D0360"/>
    <w:rsid w:val="008D063E"/>
    <w:rsid w:val="008D18C3"/>
    <w:rsid w:val="008E15DE"/>
    <w:rsid w:val="0090228E"/>
    <w:rsid w:val="00913F0E"/>
    <w:rsid w:val="00914C3E"/>
    <w:rsid w:val="009160E6"/>
    <w:rsid w:val="009200B3"/>
    <w:rsid w:val="00920B86"/>
    <w:rsid w:val="00931D83"/>
    <w:rsid w:val="00937D64"/>
    <w:rsid w:val="0095470D"/>
    <w:rsid w:val="00962A52"/>
    <w:rsid w:val="0097185F"/>
    <w:rsid w:val="00980AE1"/>
    <w:rsid w:val="00987157"/>
    <w:rsid w:val="00990D84"/>
    <w:rsid w:val="00990DE8"/>
    <w:rsid w:val="009B5980"/>
    <w:rsid w:val="009D6994"/>
    <w:rsid w:val="009E5920"/>
    <w:rsid w:val="00A03655"/>
    <w:rsid w:val="00A311C5"/>
    <w:rsid w:val="00A32F40"/>
    <w:rsid w:val="00A6270A"/>
    <w:rsid w:val="00A71419"/>
    <w:rsid w:val="00A931B9"/>
    <w:rsid w:val="00AD1238"/>
    <w:rsid w:val="00AF01A1"/>
    <w:rsid w:val="00B118AA"/>
    <w:rsid w:val="00B209EC"/>
    <w:rsid w:val="00B31586"/>
    <w:rsid w:val="00B40CE9"/>
    <w:rsid w:val="00B83F96"/>
    <w:rsid w:val="00B97E10"/>
    <w:rsid w:val="00BB63D5"/>
    <w:rsid w:val="00BC2681"/>
    <w:rsid w:val="00BC6A39"/>
    <w:rsid w:val="00BC71D1"/>
    <w:rsid w:val="00BD2056"/>
    <w:rsid w:val="00C002E1"/>
    <w:rsid w:val="00C33080"/>
    <w:rsid w:val="00C47375"/>
    <w:rsid w:val="00C80641"/>
    <w:rsid w:val="00CA4CC2"/>
    <w:rsid w:val="00CC7C5D"/>
    <w:rsid w:val="00CE6280"/>
    <w:rsid w:val="00CF6327"/>
    <w:rsid w:val="00D235AA"/>
    <w:rsid w:val="00D33345"/>
    <w:rsid w:val="00D33D88"/>
    <w:rsid w:val="00D922AC"/>
    <w:rsid w:val="00DA0ECC"/>
    <w:rsid w:val="00DD07C4"/>
    <w:rsid w:val="00DE56CA"/>
    <w:rsid w:val="00DF5A69"/>
    <w:rsid w:val="00E007E6"/>
    <w:rsid w:val="00E34CAF"/>
    <w:rsid w:val="00E41708"/>
    <w:rsid w:val="00E63BB7"/>
    <w:rsid w:val="00E724F7"/>
    <w:rsid w:val="00E80E5D"/>
    <w:rsid w:val="00EF3757"/>
    <w:rsid w:val="00EF6935"/>
    <w:rsid w:val="00F1636B"/>
    <w:rsid w:val="00F44F36"/>
    <w:rsid w:val="00F62E37"/>
    <w:rsid w:val="00F739CA"/>
    <w:rsid w:val="00F857B3"/>
    <w:rsid w:val="00F968AC"/>
    <w:rsid w:val="00FA3FD0"/>
    <w:rsid w:val="00FA459E"/>
    <w:rsid w:val="00FA4700"/>
    <w:rsid w:val="00FD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4F34"/>
  <w15:chartTrackingRefBased/>
  <w15:docId w15:val="{F0F8C42B-42B0-4088-A93D-39AB0B25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150"/>
    <w:rPr>
      <w:rFonts w:ascii="Segoe UI" w:hAnsi="Segoe UI" w:cs="Segoe UI"/>
      <w:sz w:val="18"/>
      <w:szCs w:val="18"/>
    </w:rPr>
  </w:style>
  <w:style w:type="paragraph" w:customStyle="1" w:styleId="q">
    <w:name w:val="q"/>
    <w:basedOn w:val="Normal"/>
    <w:link w:val="qChar"/>
    <w:qFormat/>
    <w:rsid w:val="00761150"/>
    <w:pPr>
      <w:spacing w:after="0" w:line="480" w:lineRule="auto"/>
      <w:ind w:left="567" w:hanging="567"/>
    </w:pPr>
    <w:rPr>
      <w:rFonts w:ascii="Times New Roman" w:eastAsia="Times New Roman" w:hAnsi="Times New Roman" w:cs="Times New Roman"/>
      <w:color w:val="000000"/>
      <w:sz w:val="24"/>
      <w:szCs w:val="24"/>
      <w:lang w:val="en-US"/>
    </w:rPr>
  </w:style>
  <w:style w:type="character" w:customStyle="1" w:styleId="qChar">
    <w:name w:val="q Char"/>
    <w:basedOn w:val="DefaultParagraphFont"/>
    <w:link w:val="q"/>
    <w:rsid w:val="00761150"/>
    <w:rPr>
      <w:rFonts w:ascii="Times New Roman" w:eastAsia="Times New Roman" w:hAnsi="Times New Roman" w:cs="Times New Roman"/>
      <w:color w:val="000000"/>
      <w:sz w:val="24"/>
      <w:szCs w:val="24"/>
      <w:lang w:val="en-US"/>
    </w:rPr>
  </w:style>
  <w:style w:type="paragraph" w:styleId="Header">
    <w:name w:val="header"/>
    <w:basedOn w:val="Normal"/>
    <w:link w:val="HeaderChar"/>
    <w:unhideWhenUsed/>
    <w:rsid w:val="0076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150"/>
  </w:style>
  <w:style w:type="paragraph" w:styleId="Footer">
    <w:name w:val="footer"/>
    <w:basedOn w:val="Normal"/>
    <w:link w:val="FooterChar"/>
    <w:unhideWhenUsed/>
    <w:rsid w:val="00761150"/>
    <w:pPr>
      <w:tabs>
        <w:tab w:val="center" w:pos="4513"/>
        <w:tab w:val="right" w:pos="9026"/>
      </w:tabs>
      <w:spacing w:after="0" w:line="240" w:lineRule="auto"/>
    </w:pPr>
  </w:style>
  <w:style w:type="character" w:customStyle="1" w:styleId="FooterChar">
    <w:name w:val="Footer Char"/>
    <w:basedOn w:val="DefaultParagraphFont"/>
    <w:link w:val="Footer"/>
    <w:rsid w:val="00761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1192</TotalTime>
  <Pages>4</Pages>
  <Words>1648</Words>
  <Characters>9399</Characters>
  <Application>Microsoft Office Word</Application>
  <DocSecurity>0</DocSecurity>
  <Lines>78</Lines>
  <Paragraphs>22</Paragraphs>
  <ScaleCrop>false</ScaleCrop>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Nield</dc:creator>
  <cp:keywords/>
  <dc:description/>
  <cp:lastModifiedBy>SHEFFIELD, Emma</cp:lastModifiedBy>
  <cp:revision>189</cp:revision>
  <dcterms:created xsi:type="dcterms:W3CDTF">2020-04-04T14:34:00Z</dcterms:created>
  <dcterms:modified xsi:type="dcterms:W3CDTF">2020-05-14T15:12:00Z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2020-05-14T15:12:54Z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1c7cc222-5cd6-4a44-81c9-0000f307eadb</vt:lpwstr>
  </property>
  <property fmtid="{D5CDD505-2E9C-101B-9397-08002B2CF9AE}" pid="8" name="MSIP_Label_89f61502-7731-4690-a118-333634878cc9_ContentBits">
    <vt:lpwstr>0</vt:lpwstr>
  </property>
</Properties>
</file>