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DE2B" w14:textId="77777777" w:rsidR="00764D7A" w:rsidRPr="002E5D50" w:rsidRDefault="00764D7A" w:rsidP="002E5D50">
      <w:pPr>
        <w:spacing w:after="0" w:line="240" w:lineRule="auto"/>
        <w:jc w:val="both"/>
        <w:rPr>
          <w:rFonts w:asciiTheme="minorHAnsi" w:hAnsiTheme="minorHAnsi" w:cs="Arial"/>
          <w:b/>
          <w:sz w:val="21"/>
          <w:szCs w:val="21"/>
        </w:rPr>
      </w:pPr>
    </w:p>
    <w:p w14:paraId="1BC20372" w14:textId="62B5A766" w:rsidR="00204F58" w:rsidRPr="002E5D50" w:rsidRDefault="002E5D50" w:rsidP="002E5D50">
      <w:pPr>
        <w:spacing w:after="0" w:line="240" w:lineRule="auto"/>
        <w:jc w:val="center"/>
        <w:rPr>
          <w:rFonts w:asciiTheme="minorHAnsi" w:hAnsiTheme="minorHAnsi" w:cs="Arial"/>
          <w:b/>
          <w:sz w:val="32"/>
          <w:szCs w:val="21"/>
        </w:rPr>
      </w:pPr>
      <w:r w:rsidRPr="002E5D50">
        <w:rPr>
          <w:rFonts w:asciiTheme="minorHAnsi" w:hAnsiTheme="minorHAnsi" w:cs="Arial"/>
          <w:b/>
          <w:sz w:val="32"/>
          <w:szCs w:val="21"/>
        </w:rPr>
        <w:t xml:space="preserve">Chapter </w:t>
      </w:r>
      <w:r w:rsidR="00D65F7F">
        <w:rPr>
          <w:rFonts w:asciiTheme="minorHAnsi" w:hAnsiTheme="minorHAnsi" w:cs="Arial"/>
          <w:b/>
          <w:sz w:val="32"/>
          <w:szCs w:val="21"/>
        </w:rPr>
        <w:t>11</w:t>
      </w:r>
    </w:p>
    <w:p w14:paraId="7D0AEE7F" w14:textId="77777777" w:rsidR="00204F58" w:rsidRPr="002E5D50" w:rsidRDefault="00204F58" w:rsidP="002E5D50">
      <w:pPr>
        <w:spacing w:after="0" w:line="240" w:lineRule="auto"/>
        <w:jc w:val="both"/>
        <w:rPr>
          <w:rFonts w:asciiTheme="minorHAnsi" w:hAnsiTheme="minorHAnsi" w:cs="Arial"/>
          <w:b/>
          <w:sz w:val="21"/>
          <w:szCs w:val="21"/>
        </w:rPr>
      </w:pPr>
    </w:p>
    <w:p w14:paraId="1F7C1D5F" w14:textId="655CA773" w:rsidR="001778C3" w:rsidRDefault="001778C3" w:rsidP="001778C3">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Pr>
          <w:rFonts w:asciiTheme="minorHAnsi" w:hAnsiTheme="minorHAnsi" w:cs="Arial"/>
          <w:b/>
          <w:sz w:val="21"/>
          <w:szCs w:val="21"/>
        </w:rPr>
        <w:t>1</w:t>
      </w:r>
      <w:r w:rsidRPr="002E5D50">
        <w:rPr>
          <w:rFonts w:asciiTheme="minorHAnsi" w:hAnsiTheme="minorHAnsi" w:cs="Arial"/>
          <w:b/>
          <w:sz w:val="21"/>
          <w:szCs w:val="21"/>
        </w:rPr>
        <w:t xml:space="preserve">: </w:t>
      </w:r>
      <w:r w:rsidR="00D65F7F">
        <w:rPr>
          <w:rFonts w:asciiTheme="minorHAnsi" w:hAnsiTheme="minorHAnsi" w:cs="Arial"/>
          <w:b/>
          <w:sz w:val="21"/>
          <w:szCs w:val="21"/>
        </w:rPr>
        <w:t>In what circumstances does section 29 of the LRA 2002 provide a purchaser or mortgagee of registered land with a defence against pre-existing property rights?</w:t>
      </w:r>
    </w:p>
    <w:p w14:paraId="2E90CAF5" w14:textId="52C93D07" w:rsidR="001132E1" w:rsidRDefault="001132E1" w:rsidP="001778C3">
      <w:pPr>
        <w:spacing w:after="0" w:line="240" w:lineRule="auto"/>
        <w:jc w:val="both"/>
        <w:rPr>
          <w:rFonts w:asciiTheme="minorHAnsi" w:hAnsiTheme="minorHAnsi" w:cs="Arial"/>
          <w:b/>
          <w:sz w:val="21"/>
          <w:szCs w:val="21"/>
        </w:rPr>
      </w:pPr>
    </w:p>
    <w:p w14:paraId="46D9AAAB" w14:textId="1E706EA6" w:rsidR="001132E1" w:rsidRDefault="001132E1" w:rsidP="00214B18">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basic priority rule applied by the LRA 2002, set out in s 28, is the same as under the general law: priority is given to the right that arises </w:t>
      </w:r>
      <w:r w:rsidR="00214B18">
        <w:rPr>
          <w:rFonts w:asciiTheme="minorHAnsi" w:hAnsiTheme="minorHAnsi" w:cs="Arial"/>
          <w:sz w:val="21"/>
          <w:szCs w:val="21"/>
        </w:rPr>
        <w:t xml:space="preserve">first in time. As noted at </w:t>
      </w:r>
      <w:r w:rsidR="00214B18">
        <w:rPr>
          <w:rFonts w:asciiTheme="minorHAnsi" w:hAnsiTheme="minorHAnsi" w:cs="Arial"/>
          <w:b/>
          <w:sz w:val="21"/>
          <w:szCs w:val="21"/>
        </w:rPr>
        <w:t>11.9</w:t>
      </w:r>
      <w:r w:rsidR="00214B18">
        <w:rPr>
          <w:rFonts w:asciiTheme="minorHAnsi" w:hAnsiTheme="minorHAnsi" w:cs="Arial"/>
          <w:sz w:val="21"/>
          <w:szCs w:val="21"/>
        </w:rPr>
        <w:t>, s 29 sets out a very important exception to this, applying where there is a registrable disposition of a registered estate for valuable consideration.</w:t>
      </w:r>
      <w:r w:rsidRPr="000C465E">
        <w:rPr>
          <w:rFonts w:asciiTheme="minorHAnsi" w:hAnsiTheme="minorHAnsi" w:cs="Arial"/>
          <w:sz w:val="21"/>
          <w:szCs w:val="21"/>
        </w:rPr>
        <w:t xml:space="preserve"> </w:t>
      </w:r>
      <w:r w:rsidR="00214B18">
        <w:rPr>
          <w:rFonts w:asciiTheme="minorHAnsi" w:hAnsiTheme="minorHAnsi" w:cs="Arial"/>
          <w:sz w:val="21"/>
          <w:szCs w:val="21"/>
        </w:rPr>
        <w:t xml:space="preserve">This </w:t>
      </w:r>
      <w:r w:rsidRPr="000C465E">
        <w:rPr>
          <w:rFonts w:asciiTheme="minorHAnsi" w:hAnsiTheme="minorHAnsi" w:cs="Arial"/>
          <w:sz w:val="21"/>
          <w:szCs w:val="21"/>
        </w:rPr>
        <w:t>includes the transfer of a registered estate (freehold and leasehold) and the creation out of a registered estate of a new lease of more than seven years duration. The requirement of valuable consideration excludes from this scheme of priorities transfers by gift</w:t>
      </w:r>
      <w:r w:rsidR="0031535A">
        <w:rPr>
          <w:rFonts w:asciiTheme="minorHAnsi" w:hAnsiTheme="minorHAnsi" w:cs="Arial"/>
          <w:sz w:val="21"/>
          <w:szCs w:val="21"/>
        </w:rPr>
        <w:t xml:space="preserve"> or </w:t>
      </w:r>
      <w:r w:rsidRPr="000C465E">
        <w:rPr>
          <w:rFonts w:asciiTheme="minorHAnsi" w:hAnsiTheme="minorHAnsi" w:cs="Arial"/>
          <w:sz w:val="21"/>
          <w:szCs w:val="21"/>
        </w:rPr>
        <w:t>for nominal consideration.</w:t>
      </w:r>
      <w:r w:rsidR="0031535A">
        <w:rPr>
          <w:rFonts w:asciiTheme="minorHAnsi" w:hAnsiTheme="minorHAnsi" w:cs="Arial"/>
          <w:sz w:val="21"/>
          <w:szCs w:val="21"/>
        </w:rPr>
        <w:t xml:space="preserve"> However, s 29 can certainly apply</w:t>
      </w:r>
      <w:r w:rsidRPr="000C465E">
        <w:rPr>
          <w:rFonts w:asciiTheme="minorHAnsi" w:hAnsiTheme="minorHAnsi" w:cs="Arial"/>
          <w:sz w:val="21"/>
          <w:szCs w:val="21"/>
        </w:rPr>
        <w:t xml:space="preserve"> </w:t>
      </w:r>
      <w:r w:rsidR="0031535A">
        <w:rPr>
          <w:rFonts w:asciiTheme="minorHAnsi" w:hAnsiTheme="minorHAnsi" w:cs="Arial"/>
          <w:sz w:val="21"/>
          <w:szCs w:val="21"/>
        </w:rPr>
        <w:t>to</w:t>
      </w:r>
      <w:r w:rsidRPr="000C465E">
        <w:rPr>
          <w:rFonts w:asciiTheme="minorHAnsi" w:hAnsiTheme="minorHAnsi" w:cs="Arial"/>
          <w:sz w:val="21"/>
          <w:szCs w:val="21"/>
        </w:rPr>
        <w:t xml:space="preserve"> an ordinary sale and mortgage of land. </w:t>
      </w:r>
      <w:r w:rsidR="0031535A">
        <w:rPr>
          <w:rFonts w:asciiTheme="minorHAnsi" w:hAnsiTheme="minorHAnsi" w:cs="Arial"/>
          <w:sz w:val="21"/>
          <w:szCs w:val="21"/>
        </w:rPr>
        <w:t>Further</w:t>
      </w:r>
      <w:r w:rsidR="00214B18">
        <w:rPr>
          <w:rFonts w:asciiTheme="minorHAnsi" w:hAnsiTheme="minorHAnsi" w:cs="Arial"/>
          <w:sz w:val="21"/>
          <w:szCs w:val="21"/>
        </w:rPr>
        <w:t xml:space="preserve">, by s 29(4), the protection given to a party acquiring a right in such cases is extended to a party to whom a legal lease of seven years or less is granted. </w:t>
      </w:r>
    </w:p>
    <w:p w14:paraId="0C82D3D7" w14:textId="1205A9AA" w:rsidR="00214B18" w:rsidRDefault="00214B18" w:rsidP="00214B18">
      <w:pPr>
        <w:spacing w:after="0" w:line="240" w:lineRule="auto"/>
        <w:jc w:val="both"/>
        <w:rPr>
          <w:rFonts w:asciiTheme="minorHAnsi" w:hAnsiTheme="minorHAnsi" w:cs="Arial"/>
          <w:sz w:val="21"/>
          <w:szCs w:val="21"/>
        </w:rPr>
      </w:pPr>
    </w:p>
    <w:p w14:paraId="7E4A87F7" w14:textId="1B80D9F5" w:rsidR="00214B18" w:rsidRPr="000C465E" w:rsidRDefault="00214B18" w:rsidP="00214B18">
      <w:pPr>
        <w:spacing w:after="0" w:line="240" w:lineRule="auto"/>
        <w:jc w:val="both"/>
        <w:rPr>
          <w:rFonts w:asciiTheme="minorHAnsi" w:hAnsiTheme="minorHAnsi" w:cs="Arial"/>
          <w:sz w:val="21"/>
          <w:szCs w:val="21"/>
        </w:rPr>
      </w:pPr>
      <w:r>
        <w:rPr>
          <w:rFonts w:asciiTheme="minorHAnsi" w:hAnsiTheme="minorHAnsi" w:cs="Arial"/>
          <w:sz w:val="21"/>
          <w:szCs w:val="21"/>
        </w:rPr>
        <w:t xml:space="preserve">In </w:t>
      </w:r>
      <w:r w:rsidR="0031535A">
        <w:rPr>
          <w:rFonts w:asciiTheme="minorHAnsi" w:hAnsiTheme="minorHAnsi" w:cs="Arial"/>
          <w:sz w:val="21"/>
          <w:szCs w:val="21"/>
        </w:rPr>
        <w:t>an ordinary sale or mortgage to C</w:t>
      </w:r>
      <w:r>
        <w:rPr>
          <w:rFonts w:asciiTheme="minorHAnsi" w:hAnsiTheme="minorHAnsi" w:cs="Arial"/>
          <w:sz w:val="21"/>
          <w:szCs w:val="21"/>
        </w:rPr>
        <w:t xml:space="preserve">, the priority rules in s 29 apply, and their basic effect is that C, the purchaser or mortgagee, is bound only by two types of pre-existing property rights of B: those that are protected by an entry on the register, and those that are overriding interests (see </w:t>
      </w:r>
      <w:r>
        <w:rPr>
          <w:rFonts w:asciiTheme="minorHAnsi" w:hAnsiTheme="minorHAnsi" w:cs="Arial"/>
          <w:b/>
          <w:sz w:val="21"/>
          <w:szCs w:val="21"/>
        </w:rPr>
        <w:t>11.10</w:t>
      </w:r>
      <w:r>
        <w:rPr>
          <w:rFonts w:asciiTheme="minorHAnsi" w:hAnsiTheme="minorHAnsi" w:cs="Arial"/>
          <w:sz w:val="21"/>
          <w:szCs w:val="21"/>
        </w:rPr>
        <w:t xml:space="preserve">). </w:t>
      </w:r>
    </w:p>
    <w:p w14:paraId="7194DE3C" w14:textId="77777777" w:rsidR="005207F5" w:rsidRPr="0082412E" w:rsidRDefault="005207F5" w:rsidP="005207F5">
      <w:pPr>
        <w:spacing w:after="0" w:line="240" w:lineRule="auto"/>
        <w:jc w:val="both"/>
        <w:rPr>
          <w:rFonts w:asciiTheme="minorHAnsi" w:hAnsiTheme="minorHAnsi" w:cs="Arial"/>
          <w:b/>
          <w:sz w:val="21"/>
          <w:szCs w:val="21"/>
        </w:rPr>
      </w:pPr>
    </w:p>
    <w:p w14:paraId="771E9FCD" w14:textId="2847F9FA" w:rsidR="005207F5" w:rsidRPr="00D65F7F" w:rsidRDefault="005207F5" w:rsidP="005207F5">
      <w:pPr>
        <w:spacing w:after="0" w:line="240" w:lineRule="auto"/>
        <w:jc w:val="both"/>
        <w:rPr>
          <w:rFonts w:asciiTheme="minorHAnsi" w:hAnsiTheme="minorHAnsi" w:cs="Arial"/>
          <w:b/>
          <w:sz w:val="21"/>
          <w:szCs w:val="21"/>
        </w:rPr>
      </w:pPr>
      <w:r w:rsidRPr="0082412E">
        <w:rPr>
          <w:rFonts w:asciiTheme="minorHAnsi" w:hAnsiTheme="minorHAnsi" w:cs="Arial"/>
          <w:b/>
          <w:sz w:val="21"/>
          <w:szCs w:val="21"/>
        </w:rPr>
        <w:t xml:space="preserve">Question 2: </w:t>
      </w:r>
      <w:r w:rsidR="00D65F7F">
        <w:rPr>
          <w:rFonts w:asciiTheme="minorHAnsi" w:hAnsiTheme="minorHAnsi" w:cs="Arial"/>
          <w:b/>
          <w:sz w:val="21"/>
          <w:szCs w:val="21"/>
        </w:rPr>
        <w:t xml:space="preserve">What do you understand by the doctrine of </w:t>
      </w:r>
      <w:r w:rsidR="00D65F7F">
        <w:rPr>
          <w:rFonts w:asciiTheme="minorHAnsi" w:hAnsiTheme="minorHAnsi" w:cs="Arial"/>
          <w:b/>
          <w:i/>
          <w:sz w:val="21"/>
          <w:szCs w:val="21"/>
        </w:rPr>
        <w:t xml:space="preserve">scintilla temporis </w:t>
      </w:r>
      <w:r w:rsidR="00D65F7F">
        <w:rPr>
          <w:rFonts w:asciiTheme="minorHAnsi" w:hAnsiTheme="minorHAnsi" w:cs="Arial"/>
          <w:b/>
          <w:sz w:val="21"/>
          <w:szCs w:val="21"/>
        </w:rPr>
        <w:t>and what relevance does the doctrine have in relation to priorities?</w:t>
      </w:r>
    </w:p>
    <w:p w14:paraId="1A0FD9A2" w14:textId="040DEECD" w:rsidR="00E24A7F" w:rsidRDefault="00E24A7F" w:rsidP="005207F5">
      <w:pPr>
        <w:spacing w:after="0" w:line="240" w:lineRule="auto"/>
        <w:jc w:val="both"/>
        <w:rPr>
          <w:rFonts w:asciiTheme="minorHAnsi" w:hAnsiTheme="minorHAnsi" w:cs="Arial"/>
          <w:b/>
          <w:sz w:val="21"/>
          <w:szCs w:val="21"/>
        </w:rPr>
      </w:pPr>
    </w:p>
    <w:p w14:paraId="7593180A" w14:textId="41888EDF" w:rsidR="000D77D8" w:rsidRPr="00B7621A" w:rsidRDefault="000D77D8" w:rsidP="000D77D8">
      <w:pPr>
        <w:spacing w:after="0" w:line="240" w:lineRule="auto"/>
        <w:jc w:val="both"/>
        <w:rPr>
          <w:rFonts w:asciiTheme="minorHAnsi" w:hAnsiTheme="minorHAnsi" w:cs="Arial"/>
          <w:sz w:val="21"/>
          <w:szCs w:val="21"/>
        </w:rPr>
      </w:pPr>
      <w:r w:rsidRPr="00B7621A">
        <w:rPr>
          <w:rFonts w:asciiTheme="minorHAnsi" w:hAnsiTheme="minorHAnsi" w:cs="Arial"/>
          <w:sz w:val="21"/>
          <w:szCs w:val="21"/>
        </w:rPr>
        <w:t xml:space="preserve">The </w:t>
      </w:r>
      <w:r w:rsidRPr="00B7621A">
        <w:rPr>
          <w:rFonts w:asciiTheme="minorHAnsi" w:hAnsiTheme="minorHAnsi" w:cs="Arial"/>
          <w:i/>
          <w:sz w:val="21"/>
          <w:szCs w:val="21"/>
        </w:rPr>
        <w:t>scintilla temporis</w:t>
      </w:r>
      <w:r w:rsidRPr="00B7621A">
        <w:rPr>
          <w:rFonts w:asciiTheme="minorHAnsi" w:hAnsiTheme="minorHAnsi" w:cs="Arial"/>
          <w:sz w:val="21"/>
          <w:szCs w:val="21"/>
        </w:rPr>
        <w:t xml:space="preserve"> </w:t>
      </w:r>
      <w:r w:rsidR="00214B18">
        <w:rPr>
          <w:rFonts w:asciiTheme="minorHAnsi" w:hAnsiTheme="minorHAnsi" w:cs="Arial"/>
          <w:sz w:val="21"/>
          <w:szCs w:val="21"/>
        </w:rPr>
        <w:t xml:space="preserve">(spark of time) </w:t>
      </w:r>
      <w:r w:rsidRPr="00B7621A">
        <w:rPr>
          <w:rFonts w:asciiTheme="minorHAnsi" w:hAnsiTheme="minorHAnsi" w:cs="Arial"/>
          <w:sz w:val="21"/>
          <w:szCs w:val="21"/>
        </w:rPr>
        <w:t xml:space="preserve">doctrine, when applied to </w:t>
      </w:r>
      <w:r w:rsidR="00214B18">
        <w:rPr>
          <w:rFonts w:asciiTheme="minorHAnsi" w:hAnsiTheme="minorHAnsi" w:cs="Arial"/>
          <w:sz w:val="21"/>
          <w:szCs w:val="21"/>
        </w:rPr>
        <w:t xml:space="preserve">the grant by A to C of a charge over A’s land, </w:t>
      </w:r>
      <w:r w:rsidRPr="00B7621A">
        <w:rPr>
          <w:rFonts w:asciiTheme="minorHAnsi" w:hAnsiTheme="minorHAnsi" w:cs="Arial"/>
          <w:sz w:val="21"/>
          <w:szCs w:val="21"/>
        </w:rPr>
        <w:t>stated that</w:t>
      </w:r>
      <w:r w:rsidR="00214B18">
        <w:rPr>
          <w:rFonts w:asciiTheme="minorHAnsi" w:hAnsiTheme="minorHAnsi" w:cs="Arial"/>
          <w:sz w:val="21"/>
          <w:szCs w:val="21"/>
        </w:rPr>
        <w:t xml:space="preserve"> </w:t>
      </w:r>
      <w:r w:rsidRPr="00B7621A">
        <w:rPr>
          <w:rFonts w:asciiTheme="minorHAnsi" w:hAnsiTheme="minorHAnsi" w:cs="Arial"/>
          <w:sz w:val="21"/>
          <w:szCs w:val="21"/>
        </w:rPr>
        <w:t xml:space="preserve">C must admit that A </w:t>
      </w:r>
      <w:r w:rsidR="00214B18">
        <w:rPr>
          <w:rFonts w:asciiTheme="minorHAnsi" w:hAnsiTheme="minorHAnsi" w:cs="Arial"/>
          <w:sz w:val="21"/>
          <w:szCs w:val="21"/>
        </w:rPr>
        <w:t>acquired A’s</w:t>
      </w:r>
      <w:r w:rsidRPr="00B7621A">
        <w:rPr>
          <w:rFonts w:asciiTheme="minorHAnsi" w:hAnsiTheme="minorHAnsi" w:cs="Arial"/>
          <w:sz w:val="21"/>
          <w:szCs w:val="21"/>
        </w:rPr>
        <w:t xml:space="preserve"> right </w:t>
      </w:r>
      <w:r w:rsidR="00214B18">
        <w:rPr>
          <w:rFonts w:asciiTheme="minorHAnsi" w:hAnsiTheme="minorHAnsi" w:cs="Arial"/>
          <w:sz w:val="21"/>
          <w:szCs w:val="21"/>
        </w:rPr>
        <w:t xml:space="preserve">to the land </w:t>
      </w:r>
      <w:r w:rsidRPr="00B7621A">
        <w:rPr>
          <w:rFonts w:asciiTheme="minorHAnsi" w:hAnsiTheme="minorHAnsi" w:cs="Arial"/>
          <w:i/>
          <w:sz w:val="21"/>
          <w:szCs w:val="21"/>
        </w:rPr>
        <w:t xml:space="preserve">before </w:t>
      </w:r>
      <w:r w:rsidRPr="00B7621A">
        <w:rPr>
          <w:rFonts w:asciiTheme="minorHAnsi" w:hAnsiTheme="minorHAnsi" w:cs="Arial"/>
          <w:sz w:val="21"/>
          <w:szCs w:val="21"/>
        </w:rPr>
        <w:t xml:space="preserve">C acquired its charge. The doctrine has a logical basis: after all, A cannot give C a charge over land until A has </w:t>
      </w:r>
      <w:r w:rsidR="00214B18">
        <w:rPr>
          <w:rFonts w:asciiTheme="minorHAnsi" w:hAnsiTheme="minorHAnsi" w:cs="Arial"/>
          <w:sz w:val="21"/>
          <w:szCs w:val="21"/>
        </w:rPr>
        <w:t>him- or herself</w:t>
      </w:r>
      <w:r w:rsidRPr="00B7621A">
        <w:rPr>
          <w:rFonts w:asciiTheme="minorHAnsi" w:hAnsiTheme="minorHAnsi" w:cs="Arial"/>
          <w:sz w:val="21"/>
          <w:szCs w:val="21"/>
        </w:rPr>
        <w:t xml:space="preserve"> acquired a right in that land</w:t>
      </w:r>
      <w:r w:rsidR="00214B18">
        <w:rPr>
          <w:rFonts w:asciiTheme="minorHAnsi" w:hAnsiTheme="minorHAnsi" w:cs="Arial"/>
          <w:sz w:val="21"/>
          <w:szCs w:val="21"/>
        </w:rPr>
        <w:t xml:space="preserve"> (see </w:t>
      </w:r>
      <w:r w:rsidR="00214B18">
        <w:rPr>
          <w:rFonts w:asciiTheme="minorHAnsi" w:hAnsiTheme="minorHAnsi" w:cs="Arial"/>
          <w:b/>
          <w:sz w:val="21"/>
          <w:szCs w:val="21"/>
        </w:rPr>
        <w:t>11.19</w:t>
      </w:r>
      <w:r w:rsidR="00214B18">
        <w:rPr>
          <w:rFonts w:asciiTheme="minorHAnsi" w:hAnsiTheme="minorHAnsi" w:cs="Arial"/>
          <w:sz w:val="21"/>
          <w:szCs w:val="21"/>
        </w:rPr>
        <w:t>)</w:t>
      </w:r>
      <w:r w:rsidRPr="00B7621A">
        <w:rPr>
          <w:rFonts w:asciiTheme="minorHAnsi" w:hAnsiTheme="minorHAnsi" w:cs="Arial"/>
          <w:sz w:val="21"/>
          <w:szCs w:val="21"/>
        </w:rPr>
        <w:t xml:space="preserve">. </w:t>
      </w:r>
    </w:p>
    <w:p w14:paraId="270E40E7" w14:textId="77777777" w:rsidR="000D77D8" w:rsidRPr="00B7621A" w:rsidRDefault="000D77D8" w:rsidP="000D77D8">
      <w:pPr>
        <w:spacing w:after="0" w:line="240" w:lineRule="auto"/>
        <w:jc w:val="both"/>
        <w:rPr>
          <w:rFonts w:asciiTheme="minorHAnsi" w:hAnsiTheme="minorHAnsi" w:cs="Arial"/>
          <w:sz w:val="21"/>
          <w:szCs w:val="21"/>
        </w:rPr>
      </w:pPr>
    </w:p>
    <w:p w14:paraId="51876B50" w14:textId="61A2D2E6" w:rsidR="000D77D8" w:rsidRPr="00B7621A" w:rsidRDefault="000D77D8" w:rsidP="000D77D8">
      <w:pPr>
        <w:spacing w:after="0" w:line="240" w:lineRule="auto"/>
        <w:jc w:val="both"/>
        <w:rPr>
          <w:rFonts w:asciiTheme="minorHAnsi" w:hAnsiTheme="minorHAnsi" w:cs="Arial"/>
          <w:sz w:val="21"/>
          <w:szCs w:val="21"/>
        </w:rPr>
      </w:pPr>
      <w:r w:rsidRPr="00B7621A">
        <w:rPr>
          <w:rFonts w:asciiTheme="minorHAnsi" w:hAnsiTheme="minorHAnsi" w:cs="Arial"/>
          <w:sz w:val="21"/>
          <w:szCs w:val="21"/>
        </w:rPr>
        <w:t xml:space="preserve">In </w:t>
      </w:r>
      <w:r w:rsidRPr="00B7621A">
        <w:rPr>
          <w:rFonts w:asciiTheme="minorHAnsi" w:hAnsiTheme="minorHAnsi" w:cs="Arial"/>
          <w:i/>
          <w:sz w:val="21"/>
          <w:szCs w:val="21"/>
        </w:rPr>
        <w:t>Abbey National v Cann</w:t>
      </w:r>
      <w:r w:rsidR="00214B18">
        <w:rPr>
          <w:rFonts w:asciiTheme="minorHAnsi" w:hAnsiTheme="minorHAnsi" w:cs="Arial"/>
          <w:i/>
          <w:sz w:val="21"/>
          <w:szCs w:val="21"/>
        </w:rPr>
        <w:t xml:space="preserve"> </w:t>
      </w:r>
      <w:r w:rsidR="00214B18">
        <w:rPr>
          <w:rFonts w:asciiTheme="minorHAnsi" w:hAnsiTheme="minorHAnsi" w:cs="Arial"/>
          <w:sz w:val="21"/>
          <w:szCs w:val="21"/>
        </w:rPr>
        <w:t>(1991)</w:t>
      </w:r>
      <w:r w:rsidRPr="00B7621A">
        <w:rPr>
          <w:rFonts w:asciiTheme="minorHAnsi" w:hAnsiTheme="minorHAnsi" w:cs="Arial"/>
          <w:sz w:val="21"/>
          <w:szCs w:val="21"/>
        </w:rPr>
        <w:t xml:space="preserve">, however, the House of Lords did not apply the </w:t>
      </w:r>
      <w:r w:rsidRPr="00B7621A">
        <w:rPr>
          <w:rFonts w:asciiTheme="minorHAnsi" w:hAnsiTheme="minorHAnsi" w:cs="Arial"/>
          <w:i/>
          <w:sz w:val="21"/>
          <w:szCs w:val="21"/>
        </w:rPr>
        <w:t xml:space="preserve">scintilla temporis </w:t>
      </w:r>
      <w:r w:rsidRPr="00B7621A">
        <w:rPr>
          <w:rFonts w:asciiTheme="minorHAnsi" w:hAnsiTheme="minorHAnsi" w:cs="Arial"/>
          <w:sz w:val="21"/>
          <w:szCs w:val="21"/>
        </w:rPr>
        <w:t>doctrine</w:t>
      </w:r>
      <w:r w:rsidR="00214B18">
        <w:rPr>
          <w:rFonts w:asciiTheme="minorHAnsi" w:hAnsiTheme="minorHAnsi" w:cs="Arial"/>
          <w:sz w:val="21"/>
          <w:szCs w:val="21"/>
        </w:rPr>
        <w:t xml:space="preserve"> (see </w:t>
      </w:r>
      <w:r w:rsidR="00214B18">
        <w:rPr>
          <w:rFonts w:asciiTheme="minorHAnsi" w:hAnsiTheme="minorHAnsi" w:cs="Arial"/>
          <w:b/>
          <w:sz w:val="21"/>
          <w:szCs w:val="21"/>
        </w:rPr>
        <w:t>11.20</w:t>
      </w:r>
      <w:r w:rsidR="00214B18">
        <w:rPr>
          <w:rFonts w:asciiTheme="minorHAnsi" w:hAnsiTheme="minorHAnsi" w:cs="Arial"/>
          <w:sz w:val="21"/>
          <w:szCs w:val="21"/>
        </w:rPr>
        <w:t xml:space="preserve">), holding instead that </w:t>
      </w:r>
      <w:r w:rsidRPr="00B7621A">
        <w:rPr>
          <w:rFonts w:asciiTheme="minorHAnsi" w:hAnsiTheme="minorHAnsi" w:cs="Arial"/>
          <w:sz w:val="21"/>
          <w:szCs w:val="21"/>
        </w:rPr>
        <w:t>it would be unrealistic and artificial to view A, or anyone buying a home with the assistance of a mortgage, as ever holding the land free from a charge in favour of the lender</w:t>
      </w:r>
      <w:r w:rsidR="0031535A">
        <w:rPr>
          <w:rFonts w:asciiTheme="minorHAnsi" w:hAnsiTheme="minorHAnsi" w:cs="Arial"/>
          <w:sz w:val="21"/>
          <w:szCs w:val="21"/>
        </w:rPr>
        <w:t>, C</w:t>
      </w:r>
      <w:r w:rsidRPr="00B7621A">
        <w:rPr>
          <w:rFonts w:asciiTheme="minorHAnsi" w:hAnsiTheme="minorHAnsi" w:cs="Arial"/>
          <w:sz w:val="21"/>
          <w:szCs w:val="21"/>
        </w:rPr>
        <w:t xml:space="preserve">. </w:t>
      </w:r>
      <w:r w:rsidR="00214B18">
        <w:rPr>
          <w:rFonts w:asciiTheme="minorHAnsi" w:hAnsiTheme="minorHAnsi" w:cs="Arial"/>
          <w:sz w:val="21"/>
          <w:szCs w:val="21"/>
        </w:rPr>
        <w:t xml:space="preserve">This means that the </w:t>
      </w:r>
      <w:r w:rsidR="00214B18">
        <w:rPr>
          <w:rFonts w:asciiTheme="minorHAnsi" w:hAnsiTheme="minorHAnsi" w:cs="Arial"/>
          <w:i/>
          <w:sz w:val="21"/>
          <w:szCs w:val="21"/>
        </w:rPr>
        <w:t xml:space="preserve">scintilla temporis </w:t>
      </w:r>
      <w:r w:rsidR="00214B18">
        <w:rPr>
          <w:rFonts w:asciiTheme="minorHAnsi" w:hAnsiTheme="minorHAnsi" w:cs="Arial"/>
          <w:sz w:val="21"/>
          <w:szCs w:val="21"/>
        </w:rPr>
        <w:t xml:space="preserve">now has very little relevance in relation to priorities, although it could still be argued that, in a case </w:t>
      </w:r>
      <w:r w:rsidRPr="00B7621A">
        <w:rPr>
          <w:rFonts w:asciiTheme="minorHAnsi" w:hAnsiTheme="minorHAnsi" w:cs="Arial"/>
          <w:sz w:val="21"/>
          <w:szCs w:val="21"/>
        </w:rPr>
        <w:t xml:space="preserve">where, as a matter of fact, A </w:t>
      </w:r>
      <w:r w:rsidRPr="00B7621A">
        <w:rPr>
          <w:rFonts w:asciiTheme="minorHAnsi" w:hAnsiTheme="minorHAnsi" w:cs="Arial"/>
          <w:i/>
          <w:sz w:val="21"/>
          <w:szCs w:val="21"/>
        </w:rPr>
        <w:t xml:space="preserve">could </w:t>
      </w:r>
      <w:r w:rsidRPr="00B7621A">
        <w:rPr>
          <w:rFonts w:asciiTheme="minorHAnsi" w:hAnsiTheme="minorHAnsi" w:cs="Arial"/>
          <w:sz w:val="21"/>
          <w:szCs w:val="21"/>
        </w:rPr>
        <w:t xml:space="preserve">have acquired his freehold without taking out the loan secured by the charge, </w:t>
      </w:r>
      <w:r w:rsidR="0031535A">
        <w:rPr>
          <w:rFonts w:asciiTheme="minorHAnsi" w:hAnsiTheme="minorHAnsi" w:cs="Arial"/>
          <w:sz w:val="21"/>
          <w:szCs w:val="21"/>
        </w:rPr>
        <w:t xml:space="preserve">there is less of case for </w:t>
      </w:r>
      <w:r w:rsidRPr="00B7621A">
        <w:rPr>
          <w:rFonts w:asciiTheme="minorHAnsi" w:hAnsiTheme="minorHAnsi" w:cs="Arial"/>
          <w:sz w:val="21"/>
          <w:szCs w:val="21"/>
        </w:rPr>
        <w:t xml:space="preserve">rejecting the </w:t>
      </w:r>
      <w:r w:rsidRPr="00B7621A">
        <w:rPr>
          <w:rFonts w:asciiTheme="minorHAnsi" w:hAnsiTheme="minorHAnsi" w:cs="Arial"/>
          <w:i/>
          <w:sz w:val="21"/>
          <w:szCs w:val="21"/>
        </w:rPr>
        <w:t>scintilla temporis</w:t>
      </w:r>
      <w:r w:rsidRPr="00B7621A">
        <w:rPr>
          <w:rFonts w:asciiTheme="minorHAnsi" w:hAnsiTheme="minorHAnsi" w:cs="Arial"/>
          <w:sz w:val="21"/>
          <w:szCs w:val="21"/>
        </w:rPr>
        <w:t xml:space="preserve"> doctrine. </w:t>
      </w:r>
    </w:p>
    <w:p w14:paraId="532CCA22" w14:textId="77777777" w:rsidR="000D77D8" w:rsidRPr="00B7621A" w:rsidRDefault="000D77D8" w:rsidP="000D77D8">
      <w:pPr>
        <w:spacing w:after="0" w:line="240" w:lineRule="auto"/>
        <w:jc w:val="both"/>
        <w:rPr>
          <w:rFonts w:asciiTheme="minorHAnsi" w:hAnsiTheme="minorHAnsi" w:cs="Arial"/>
          <w:sz w:val="21"/>
          <w:szCs w:val="21"/>
        </w:rPr>
      </w:pPr>
    </w:p>
    <w:p w14:paraId="78534DAB" w14:textId="07C44C7D" w:rsidR="000D77D8" w:rsidRPr="00B7621A" w:rsidRDefault="000D77D8" w:rsidP="000D77D8">
      <w:pPr>
        <w:spacing w:after="0" w:line="240" w:lineRule="auto"/>
        <w:jc w:val="both"/>
        <w:rPr>
          <w:rFonts w:asciiTheme="minorHAnsi" w:hAnsiTheme="minorHAnsi" w:cs="Arial"/>
          <w:sz w:val="21"/>
          <w:szCs w:val="21"/>
        </w:rPr>
      </w:pPr>
      <w:r w:rsidRPr="00B7621A">
        <w:rPr>
          <w:rFonts w:asciiTheme="minorHAnsi" w:hAnsiTheme="minorHAnsi" w:cs="Arial"/>
          <w:sz w:val="21"/>
          <w:szCs w:val="21"/>
        </w:rPr>
        <w:t xml:space="preserve">In </w:t>
      </w:r>
      <w:r w:rsidRPr="00B7621A">
        <w:rPr>
          <w:rFonts w:asciiTheme="minorHAnsi" w:hAnsiTheme="minorHAnsi" w:cs="Arial"/>
          <w:i/>
          <w:sz w:val="21"/>
          <w:szCs w:val="21"/>
        </w:rPr>
        <w:t>Scott v Southern Pacific</w:t>
      </w:r>
      <w:r w:rsidR="00214B18">
        <w:rPr>
          <w:rFonts w:asciiTheme="minorHAnsi" w:hAnsiTheme="minorHAnsi" w:cs="Arial"/>
          <w:i/>
          <w:sz w:val="21"/>
          <w:szCs w:val="21"/>
        </w:rPr>
        <w:t xml:space="preserve"> </w:t>
      </w:r>
      <w:r w:rsidR="00214B18">
        <w:rPr>
          <w:rFonts w:asciiTheme="minorHAnsi" w:hAnsiTheme="minorHAnsi" w:cs="Arial"/>
          <w:sz w:val="21"/>
          <w:szCs w:val="21"/>
        </w:rPr>
        <w:t xml:space="preserve">(2014) (see </w:t>
      </w:r>
      <w:r w:rsidR="00214B18">
        <w:rPr>
          <w:rFonts w:asciiTheme="minorHAnsi" w:hAnsiTheme="minorHAnsi" w:cs="Arial"/>
          <w:b/>
          <w:sz w:val="21"/>
          <w:szCs w:val="21"/>
        </w:rPr>
        <w:t>11.22</w:t>
      </w:r>
      <w:r w:rsidR="00214B18">
        <w:rPr>
          <w:rFonts w:asciiTheme="minorHAnsi" w:hAnsiTheme="minorHAnsi" w:cs="Arial"/>
          <w:sz w:val="21"/>
          <w:szCs w:val="21"/>
        </w:rPr>
        <w:t>)</w:t>
      </w:r>
      <w:r w:rsidRPr="00B7621A">
        <w:rPr>
          <w:rFonts w:asciiTheme="minorHAnsi" w:hAnsiTheme="minorHAnsi" w:cs="Arial"/>
          <w:sz w:val="21"/>
          <w:szCs w:val="21"/>
        </w:rPr>
        <w:t xml:space="preserve">, the Supreme Court accepted the </w:t>
      </w:r>
      <w:r w:rsidRPr="00B7621A">
        <w:rPr>
          <w:rFonts w:asciiTheme="minorHAnsi" w:hAnsiTheme="minorHAnsi" w:cs="Arial"/>
          <w:i/>
          <w:sz w:val="21"/>
          <w:szCs w:val="21"/>
        </w:rPr>
        <w:t xml:space="preserve">Cann </w:t>
      </w:r>
      <w:r w:rsidRPr="00B7621A">
        <w:rPr>
          <w:rFonts w:asciiTheme="minorHAnsi" w:hAnsiTheme="minorHAnsi" w:cs="Arial"/>
          <w:sz w:val="21"/>
          <w:szCs w:val="21"/>
        </w:rPr>
        <w:t xml:space="preserve">analysis that, in the standard case where a purchase of land is financed by a mortgage, it would be artificial to regard the grant of the charge to C as separate from the acquisition by A of an estate in the land (note that Lady Hale at [109]-[114] reserved her position as to whether this analysis should also apply in a case where the mortgage loan was not required for the purchase of the estate). Indeed, Lord Collins and Lord Sumption considered that the grant of the charge to C could also be seen, in effect, as simultaneous with the </w:t>
      </w:r>
      <w:r w:rsidRPr="00B7621A">
        <w:rPr>
          <w:rFonts w:asciiTheme="minorHAnsi" w:hAnsiTheme="minorHAnsi" w:cs="Arial"/>
          <w:i/>
          <w:sz w:val="21"/>
          <w:szCs w:val="21"/>
        </w:rPr>
        <w:t xml:space="preserve">contract </w:t>
      </w:r>
      <w:r w:rsidRPr="00B7621A">
        <w:rPr>
          <w:rFonts w:asciiTheme="minorHAnsi" w:hAnsiTheme="minorHAnsi" w:cs="Arial"/>
          <w:sz w:val="21"/>
          <w:szCs w:val="21"/>
        </w:rPr>
        <w:t xml:space="preserve">for the purchase of the estate in the land entered into by A and the vendor: Lady Hale, Lord Wilson, and Lord Reed did not however go that far. </w:t>
      </w:r>
    </w:p>
    <w:p w14:paraId="258EE27A" w14:textId="77777777" w:rsidR="000D77D8" w:rsidRDefault="000D77D8" w:rsidP="005207F5">
      <w:pPr>
        <w:spacing w:after="0" w:line="240" w:lineRule="auto"/>
        <w:jc w:val="both"/>
        <w:rPr>
          <w:rFonts w:asciiTheme="minorHAnsi" w:hAnsiTheme="minorHAnsi" w:cs="Arial"/>
          <w:b/>
          <w:sz w:val="21"/>
          <w:szCs w:val="21"/>
        </w:rPr>
      </w:pPr>
    </w:p>
    <w:p w14:paraId="3DD02D30" w14:textId="5E2CB8B1" w:rsidR="00795A73" w:rsidRPr="0026373E" w:rsidRDefault="005207F5" w:rsidP="00D65F7F">
      <w:pPr>
        <w:spacing w:after="0" w:line="240" w:lineRule="auto"/>
        <w:jc w:val="both"/>
        <w:rPr>
          <w:rFonts w:asciiTheme="minorHAnsi" w:hAnsiTheme="minorHAnsi" w:cs="Arial"/>
          <w:b/>
          <w:sz w:val="21"/>
          <w:szCs w:val="21"/>
        </w:rPr>
      </w:pPr>
      <w:r>
        <w:rPr>
          <w:rFonts w:asciiTheme="minorHAnsi" w:hAnsiTheme="minorHAnsi" w:cs="Arial"/>
          <w:b/>
          <w:sz w:val="21"/>
          <w:szCs w:val="21"/>
        </w:rPr>
        <w:t xml:space="preserve">Question 3: </w:t>
      </w:r>
      <w:r w:rsidR="00D65F7F">
        <w:rPr>
          <w:rFonts w:asciiTheme="minorHAnsi" w:hAnsiTheme="minorHAnsi" w:cs="Arial"/>
          <w:b/>
          <w:sz w:val="21"/>
          <w:szCs w:val="21"/>
        </w:rPr>
        <w:t>Compare and contrast the role played by an entry of a restriction and entry of a notice</w:t>
      </w:r>
      <w:r w:rsidR="00795A73">
        <w:rPr>
          <w:rFonts w:asciiTheme="minorHAnsi" w:hAnsiTheme="minorHAnsi" w:cs="Arial"/>
          <w:b/>
          <w:sz w:val="21"/>
          <w:szCs w:val="21"/>
        </w:rPr>
        <w:t>.</w:t>
      </w:r>
      <w:r w:rsidR="00D65F7F">
        <w:rPr>
          <w:rFonts w:asciiTheme="minorHAnsi" w:hAnsiTheme="minorHAnsi" w:cs="Arial"/>
          <w:b/>
          <w:sz w:val="21"/>
          <w:szCs w:val="21"/>
        </w:rPr>
        <w:t xml:space="preserve"> Give examples of property rights that each of these forms of entry on the register may be most relevant in respect of.</w:t>
      </w:r>
    </w:p>
    <w:p w14:paraId="6FD20D14" w14:textId="5B775C06" w:rsidR="0026373E" w:rsidRDefault="0026373E" w:rsidP="005207F5">
      <w:pPr>
        <w:spacing w:after="0" w:line="240" w:lineRule="auto"/>
        <w:jc w:val="both"/>
        <w:rPr>
          <w:rFonts w:asciiTheme="minorHAnsi" w:hAnsiTheme="minorHAnsi" w:cs="Arial"/>
          <w:b/>
          <w:sz w:val="21"/>
          <w:szCs w:val="21"/>
        </w:rPr>
      </w:pPr>
      <w:bookmarkStart w:id="0" w:name="_GoBack"/>
      <w:bookmarkEnd w:id="0"/>
    </w:p>
    <w:p w14:paraId="30966104" w14:textId="404B2770" w:rsidR="00214B18" w:rsidRDefault="003241BF" w:rsidP="00214B18">
      <w:pPr>
        <w:pStyle w:val="ColorfulList-Accent11"/>
        <w:spacing w:line="240" w:lineRule="auto"/>
        <w:ind w:left="0"/>
        <w:jc w:val="both"/>
        <w:rPr>
          <w:rFonts w:asciiTheme="minorHAnsi" w:hAnsiTheme="minorHAnsi" w:cs="Arial"/>
          <w:sz w:val="21"/>
          <w:szCs w:val="21"/>
        </w:rPr>
      </w:pPr>
      <w:r w:rsidRPr="000C465E">
        <w:rPr>
          <w:rFonts w:asciiTheme="minorHAnsi" w:hAnsiTheme="minorHAnsi" w:cs="Arial"/>
          <w:sz w:val="21"/>
          <w:szCs w:val="21"/>
        </w:rPr>
        <w:t xml:space="preserve">Restrictions are closely connected to the </w:t>
      </w:r>
      <w:r w:rsidR="00214B18">
        <w:rPr>
          <w:rFonts w:asciiTheme="minorHAnsi" w:hAnsiTheme="minorHAnsi" w:cs="Arial"/>
          <w:sz w:val="21"/>
          <w:szCs w:val="21"/>
        </w:rPr>
        <w:t>an ‘</w:t>
      </w:r>
      <w:r w:rsidRPr="000C465E">
        <w:rPr>
          <w:rFonts w:asciiTheme="minorHAnsi" w:hAnsiTheme="minorHAnsi" w:cs="Arial"/>
          <w:sz w:val="21"/>
          <w:szCs w:val="21"/>
        </w:rPr>
        <w:t>owner</w:t>
      </w:r>
      <w:r w:rsidR="00214B18">
        <w:rPr>
          <w:rFonts w:asciiTheme="minorHAnsi" w:hAnsiTheme="minorHAnsi" w:cs="Arial"/>
          <w:sz w:val="21"/>
          <w:szCs w:val="21"/>
        </w:rPr>
        <w:t>’s</w:t>
      </w:r>
      <w:r w:rsidRPr="000C465E">
        <w:rPr>
          <w:rFonts w:asciiTheme="minorHAnsi" w:hAnsiTheme="minorHAnsi" w:cs="Arial"/>
          <w:sz w:val="21"/>
          <w:szCs w:val="21"/>
        </w:rPr>
        <w:t xml:space="preserve"> powers</w:t>
      </w:r>
      <w:r w:rsidR="00214B18">
        <w:rPr>
          <w:rFonts w:asciiTheme="minorHAnsi" w:hAnsiTheme="minorHAnsi" w:cs="Arial"/>
          <w:sz w:val="21"/>
          <w:szCs w:val="21"/>
        </w:rPr>
        <w:t>’</w:t>
      </w:r>
      <w:r w:rsidR="0031535A">
        <w:rPr>
          <w:rFonts w:asciiTheme="minorHAnsi" w:hAnsiTheme="minorHAnsi" w:cs="Arial"/>
          <w:sz w:val="21"/>
          <w:szCs w:val="21"/>
        </w:rPr>
        <w:t>:</w:t>
      </w:r>
      <w:r w:rsidRPr="000C465E">
        <w:rPr>
          <w:rFonts w:asciiTheme="minorHAnsi" w:hAnsiTheme="minorHAnsi" w:cs="Arial"/>
          <w:sz w:val="21"/>
          <w:szCs w:val="21"/>
        </w:rPr>
        <w:t xml:space="preserve"> powers conferred on registered proprietors by section 23 of the LRA 2002.  Under section 26 of the Act, </w:t>
      </w:r>
      <w:r w:rsidR="00850126">
        <w:rPr>
          <w:rFonts w:asciiTheme="minorHAnsi" w:hAnsiTheme="minorHAnsi" w:cs="Arial"/>
          <w:sz w:val="21"/>
          <w:szCs w:val="21"/>
        </w:rPr>
        <w:t xml:space="preserve">C, </w:t>
      </w:r>
      <w:r w:rsidRPr="000C465E">
        <w:rPr>
          <w:rFonts w:asciiTheme="minorHAnsi" w:hAnsiTheme="minorHAnsi" w:cs="Arial"/>
          <w:sz w:val="21"/>
          <w:szCs w:val="21"/>
        </w:rPr>
        <w:t>a person dealing with the proprietor of an estate</w:t>
      </w:r>
      <w:r w:rsidR="00850126">
        <w:rPr>
          <w:rFonts w:asciiTheme="minorHAnsi" w:hAnsiTheme="minorHAnsi" w:cs="Arial"/>
          <w:sz w:val="21"/>
          <w:szCs w:val="21"/>
        </w:rPr>
        <w:t xml:space="preserve">, A, </w:t>
      </w:r>
      <w:r w:rsidRPr="000C465E">
        <w:rPr>
          <w:rFonts w:asciiTheme="minorHAnsi" w:hAnsiTheme="minorHAnsi" w:cs="Arial"/>
          <w:sz w:val="21"/>
          <w:szCs w:val="21"/>
        </w:rPr>
        <w:t xml:space="preserve">may assume that </w:t>
      </w:r>
      <w:r w:rsidR="00850126">
        <w:rPr>
          <w:rFonts w:asciiTheme="minorHAnsi" w:hAnsiTheme="minorHAnsi" w:cs="Arial"/>
          <w:sz w:val="21"/>
          <w:szCs w:val="21"/>
        </w:rPr>
        <w:t>A’s owner’s</w:t>
      </w:r>
      <w:r w:rsidR="00214B18">
        <w:rPr>
          <w:rFonts w:asciiTheme="minorHAnsi" w:hAnsiTheme="minorHAnsi" w:cs="Arial"/>
          <w:sz w:val="21"/>
          <w:szCs w:val="21"/>
        </w:rPr>
        <w:t xml:space="preserve"> </w:t>
      </w:r>
      <w:r w:rsidRPr="000C465E">
        <w:rPr>
          <w:rFonts w:asciiTheme="minorHAnsi" w:hAnsiTheme="minorHAnsi" w:cs="Arial"/>
          <w:sz w:val="21"/>
          <w:szCs w:val="21"/>
        </w:rPr>
        <w:t xml:space="preserve">powers are free from any limitations, except those entered on the register.  </w:t>
      </w:r>
      <w:r w:rsidR="00214B18">
        <w:rPr>
          <w:rFonts w:asciiTheme="minorHAnsi" w:hAnsiTheme="minorHAnsi" w:cs="Arial"/>
          <w:sz w:val="21"/>
          <w:szCs w:val="21"/>
        </w:rPr>
        <w:t xml:space="preserve">A restriction is the means by which such limitations are </w:t>
      </w:r>
      <w:r w:rsidRPr="000C465E">
        <w:rPr>
          <w:rFonts w:asciiTheme="minorHAnsi" w:hAnsiTheme="minorHAnsi" w:cs="Arial"/>
          <w:sz w:val="21"/>
          <w:szCs w:val="21"/>
        </w:rPr>
        <w:t xml:space="preserve"> </w:t>
      </w:r>
      <w:r w:rsidR="00214B18">
        <w:rPr>
          <w:rFonts w:asciiTheme="minorHAnsi" w:hAnsiTheme="minorHAnsi" w:cs="Arial"/>
          <w:sz w:val="21"/>
          <w:szCs w:val="21"/>
        </w:rPr>
        <w:t>entered on the register</w:t>
      </w:r>
      <w:r w:rsidR="00850126">
        <w:rPr>
          <w:rFonts w:asciiTheme="minorHAnsi" w:hAnsiTheme="minorHAnsi" w:cs="Arial"/>
          <w:sz w:val="21"/>
          <w:szCs w:val="21"/>
        </w:rPr>
        <w:t xml:space="preserve"> (see </w:t>
      </w:r>
      <w:r w:rsidR="00850126">
        <w:rPr>
          <w:rFonts w:asciiTheme="minorHAnsi" w:hAnsiTheme="minorHAnsi" w:cs="Arial"/>
          <w:b/>
          <w:sz w:val="21"/>
          <w:szCs w:val="21"/>
        </w:rPr>
        <w:t>11.23-11.24</w:t>
      </w:r>
      <w:r w:rsidR="00850126" w:rsidRPr="0031535A">
        <w:rPr>
          <w:rFonts w:asciiTheme="minorHAnsi" w:hAnsiTheme="minorHAnsi" w:cs="Arial"/>
          <w:sz w:val="21"/>
          <w:szCs w:val="21"/>
        </w:rPr>
        <w:t>)</w:t>
      </w:r>
      <w:r w:rsidRPr="0031535A">
        <w:rPr>
          <w:rFonts w:asciiTheme="minorHAnsi" w:hAnsiTheme="minorHAnsi" w:cs="Arial"/>
          <w:sz w:val="21"/>
          <w:szCs w:val="21"/>
        </w:rPr>
        <w:t>.</w:t>
      </w:r>
      <w:r w:rsidRPr="000C465E">
        <w:rPr>
          <w:rFonts w:asciiTheme="minorHAnsi" w:hAnsiTheme="minorHAnsi" w:cs="Arial"/>
          <w:sz w:val="21"/>
          <w:szCs w:val="21"/>
        </w:rPr>
        <w:t xml:space="preserve">  </w:t>
      </w:r>
      <w:r w:rsidR="00850126">
        <w:rPr>
          <w:rFonts w:asciiTheme="minorHAnsi" w:hAnsiTheme="minorHAnsi" w:cs="Arial"/>
          <w:sz w:val="21"/>
          <w:szCs w:val="21"/>
        </w:rPr>
        <w:t>If C</w:t>
      </w:r>
      <w:r w:rsidRPr="000C465E">
        <w:rPr>
          <w:rFonts w:asciiTheme="minorHAnsi" w:hAnsiTheme="minorHAnsi" w:cs="Arial"/>
          <w:sz w:val="21"/>
          <w:szCs w:val="21"/>
        </w:rPr>
        <w:t xml:space="preserve"> does not comply with a restriction</w:t>
      </w:r>
      <w:r w:rsidR="00214B18">
        <w:rPr>
          <w:rFonts w:asciiTheme="minorHAnsi" w:hAnsiTheme="minorHAnsi" w:cs="Arial"/>
          <w:sz w:val="21"/>
          <w:szCs w:val="21"/>
        </w:rPr>
        <w:t>:</w:t>
      </w:r>
      <w:r w:rsidRPr="000C465E">
        <w:rPr>
          <w:rFonts w:asciiTheme="minorHAnsi" w:hAnsiTheme="minorHAnsi" w:cs="Arial"/>
          <w:sz w:val="21"/>
          <w:szCs w:val="21"/>
        </w:rPr>
        <w:t xml:space="preserve"> (i) </w:t>
      </w:r>
      <w:r w:rsidR="00850126">
        <w:rPr>
          <w:rFonts w:asciiTheme="minorHAnsi" w:hAnsiTheme="minorHAnsi" w:cs="Arial"/>
          <w:sz w:val="21"/>
          <w:szCs w:val="21"/>
        </w:rPr>
        <w:t xml:space="preserve">C </w:t>
      </w:r>
      <w:r w:rsidRPr="000C465E">
        <w:rPr>
          <w:rFonts w:asciiTheme="minorHAnsi" w:hAnsiTheme="minorHAnsi" w:cs="Arial"/>
          <w:sz w:val="21"/>
          <w:szCs w:val="21"/>
        </w:rPr>
        <w:t>cannot obtain a registered title (and therefore cannot obtain legal title to the land);</w:t>
      </w:r>
      <w:r w:rsidR="00214B18">
        <w:rPr>
          <w:rFonts w:asciiTheme="minorHAnsi" w:hAnsiTheme="minorHAnsi" w:cs="Arial"/>
          <w:sz w:val="21"/>
          <w:szCs w:val="21"/>
        </w:rPr>
        <w:t xml:space="preserve"> and</w:t>
      </w:r>
      <w:r w:rsidRPr="000C465E">
        <w:rPr>
          <w:rFonts w:asciiTheme="minorHAnsi" w:hAnsiTheme="minorHAnsi" w:cs="Arial"/>
          <w:sz w:val="21"/>
          <w:szCs w:val="21"/>
        </w:rPr>
        <w:t xml:space="preserve"> (ii) </w:t>
      </w:r>
      <w:r w:rsidR="00850126">
        <w:rPr>
          <w:rFonts w:asciiTheme="minorHAnsi" w:hAnsiTheme="minorHAnsi" w:cs="Arial"/>
          <w:sz w:val="21"/>
          <w:szCs w:val="21"/>
        </w:rPr>
        <w:t xml:space="preserve">C </w:t>
      </w:r>
      <w:r w:rsidRPr="000C465E">
        <w:rPr>
          <w:rFonts w:asciiTheme="minorHAnsi" w:hAnsiTheme="minorHAnsi" w:cs="Arial"/>
          <w:sz w:val="21"/>
          <w:szCs w:val="21"/>
        </w:rPr>
        <w:t xml:space="preserve">does not benefit from the distinct priority rules afforded </w:t>
      </w:r>
      <w:r w:rsidR="00214B18">
        <w:rPr>
          <w:rFonts w:asciiTheme="minorHAnsi" w:hAnsiTheme="minorHAnsi" w:cs="Arial"/>
          <w:sz w:val="21"/>
          <w:szCs w:val="21"/>
        </w:rPr>
        <w:t xml:space="preserve">by s 29 of the LRA 2002 </w:t>
      </w:r>
      <w:r w:rsidRPr="000C465E">
        <w:rPr>
          <w:rFonts w:asciiTheme="minorHAnsi" w:hAnsiTheme="minorHAnsi" w:cs="Arial"/>
          <w:sz w:val="21"/>
          <w:szCs w:val="21"/>
        </w:rPr>
        <w:t xml:space="preserve">to a registrable </w:t>
      </w:r>
      <w:r w:rsidRPr="000C465E">
        <w:rPr>
          <w:rFonts w:asciiTheme="minorHAnsi" w:hAnsiTheme="minorHAnsi" w:cs="Arial"/>
          <w:sz w:val="21"/>
          <w:szCs w:val="21"/>
        </w:rPr>
        <w:lastRenderedPageBreak/>
        <w:t xml:space="preserve">disposition of a registered estate for valuable consideration </w:t>
      </w:r>
      <w:r w:rsidR="00214B18">
        <w:rPr>
          <w:rFonts w:asciiTheme="minorHAnsi" w:hAnsiTheme="minorHAnsi" w:cs="Arial"/>
          <w:sz w:val="21"/>
          <w:szCs w:val="21"/>
        </w:rPr>
        <w:t>(see Q1 above)</w:t>
      </w:r>
      <w:r w:rsidRPr="000C465E">
        <w:rPr>
          <w:rFonts w:asciiTheme="minorHAnsi" w:hAnsiTheme="minorHAnsi" w:cs="Arial"/>
          <w:sz w:val="21"/>
          <w:szCs w:val="21"/>
        </w:rPr>
        <w:t xml:space="preserve">; and (iii) </w:t>
      </w:r>
      <w:r w:rsidR="00850126">
        <w:rPr>
          <w:rFonts w:asciiTheme="minorHAnsi" w:hAnsiTheme="minorHAnsi" w:cs="Arial"/>
          <w:sz w:val="21"/>
          <w:szCs w:val="21"/>
        </w:rPr>
        <w:t xml:space="preserve">C </w:t>
      </w:r>
      <w:r w:rsidRPr="000C465E">
        <w:rPr>
          <w:rFonts w:asciiTheme="minorHAnsi" w:hAnsiTheme="minorHAnsi" w:cs="Arial"/>
          <w:sz w:val="21"/>
          <w:szCs w:val="21"/>
        </w:rPr>
        <w:t xml:space="preserve">does not benefit from </w:t>
      </w:r>
      <w:r w:rsidR="0031535A">
        <w:rPr>
          <w:rFonts w:asciiTheme="minorHAnsi" w:hAnsiTheme="minorHAnsi" w:cs="Arial"/>
          <w:sz w:val="21"/>
          <w:szCs w:val="21"/>
        </w:rPr>
        <w:t xml:space="preserve">the </w:t>
      </w:r>
      <w:r w:rsidRPr="000C465E">
        <w:rPr>
          <w:rFonts w:asciiTheme="minorHAnsi" w:hAnsiTheme="minorHAnsi" w:cs="Arial"/>
          <w:sz w:val="21"/>
          <w:szCs w:val="21"/>
        </w:rPr>
        <w:t xml:space="preserve">protection against beneficial interests provided by the overreaching mechanism. </w:t>
      </w:r>
      <w:r w:rsidR="00850126">
        <w:rPr>
          <w:rFonts w:asciiTheme="minorHAnsi" w:hAnsiTheme="minorHAnsi" w:cs="Arial"/>
          <w:sz w:val="21"/>
          <w:szCs w:val="21"/>
        </w:rPr>
        <w:t xml:space="preserve">The entry of a restriction is most relevant where land </w:t>
      </w:r>
      <w:r w:rsidR="0031535A">
        <w:rPr>
          <w:rFonts w:asciiTheme="minorHAnsi" w:hAnsiTheme="minorHAnsi" w:cs="Arial"/>
          <w:sz w:val="21"/>
          <w:szCs w:val="21"/>
        </w:rPr>
        <w:t xml:space="preserve">is held </w:t>
      </w:r>
      <w:r w:rsidR="00850126">
        <w:rPr>
          <w:rFonts w:asciiTheme="minorHAnsi" w:hAnsiTheme="minorHAnsi" w:cs="Arial"/>
          <w:sz w:val="21"/>
          <w:szCs w:val="21"/>
        </w:rPr>
        <w:t xml:space="preserve">on trust: it can specify, for example, that any capital money paid by C must be paid to at least two trustees (see </w:t>
      </w:r>
      <w:r w:rsidR="00850126">
        <w:rPr>
          <w:rFonts w:asciiTheme="minorHAnsi" w:hAnsiTheme="minorHAnsi" w:cs="Arial"/>
          <w:b/>
          <w:sz w:val="21"/>
          <w:szCs w:val="21"/>
        </w:rPr>
        <w:t>11.25</w:t>
      </w:r>
      <w:r w:rsidR="00850126">
        <w:rPr>
          <w:rFonts w:asciiTheme="minorHAnsi" w:hAnsiTheme="minorHAnsi" w:cs="Arial"/>
          <w:sz w:val="21"/>
          <w:szCs w:val="21"/>
        </w:rPr>
        <w:t>).</w:t>
      </w:r>
      <w:r w:rsidRPr="000C465E">
        <w:rPr>
          <w:rFonts w:asciiTheme="minorHAnsi" w:hAnsiTheme="minorHAnsi" w:cs="Arial"/>
          <w:sz w:val="21"/>
          <w:szCs w:val="21"/>
        </w:rPr>
        <w:t xml:space="preserve"> </w:t>
      </w:r>
    </w:p>
    <w:p w14:paraId="78E43D1B" w14:textId="77777777" w:rsidR="00214B18" w:rsidRDefault="00214B18" w:rsidP="00214B18">
      <w:pPr>
        <w:pStyle w:val="ColorfulList-Accent11"/>
        <w:spacing w:line="240" w:lineRule="auto"/>
        <w:ind w:left="0"/>
        <w:jc w:val="both"/>
        <w:rPr>
          <w:rFonts w:asciiTheme="minorHAnsi" w:hAnsiTheme="minorHAnsi" w:cs="Arial"/>
          <w:sz w:val="21"/>
          <w:szCs w:val="21"/>
        </w:rPr>
      </w:pPr>
    </w:p>
    <w:p w14:paraId="3A411E7B" w14:textId="0CFE322E" w:rsidR="003241BF" w:rsidRPr="000C465E" w:rsidRDefault="003241BF" w:rsidP="00214B18">
      <w:pPr>
        <w:pStyle w:val="ColorfulList-Accent11"/>
        <w:spacing w:line="240" w:lineRule="auto"/>
        <w:ind w:left="0"/>
        <w:jc w:val="both"/>
        <w:rPr>
          <w:rFonts w:asciiTheme="minorHAnsi" w:hAnsiTheme="minorHAnsi" w:cs="Arial"/>
          <w:sz w:val="21"/>
          <w:szCs w:val="21"/>
        </w:rPr>
      </w:pPr>
      <w:r w:rsidRPr="000C465E">
        <w:rPr>
          <w:rFonts w:asciiTheme="minorHAnsi" w:hAnsiTheme="minorHAnsi" w:cs="Arial"/>
          <w:sz w:val="21"/>
          <w:szCs w:val="21"/>
        </w:rPr>
        <w:t xml:space="preserve">Entry of a notice </w:t>
      </w:r>
      <w:r w:rsidR="0031535A">
        <w:rPr>
          <w:rFonts w:asciiTheme="minorHAnsi" w:hAnsiTheme="minorHAnsi" w:cs="Arial"/>
          <w:sz w:val="21"/>
          <w:szCs w:val="21"/>
        </w:rPr>
        <w:t>allows</w:t>
      </w:r>
      <w:r w:rsidRPr="000C465E">
        <w:rPr>
          <w:rFonts w:asciiTheme="minorHAnsi" w:hAnsiTheme="minorHAnsi" w:cs="Arial"/>
          <w:sz w:val="21"/>
          <w:szCs w:val="21"/>
        </w:rPr>
        <w:t xml:space="preserve"> a </w:t>
      </w:r>
      <w:r w:rsidR="0031535A">
        <w:rPr>
          <w:rFonts w:asciiTheme="minorHAnsi" w:hAnsiTheme="minorHAnsi" w:cs="Arial"/>
          <w:sz w:val="21"/>
          <w:szCs w:val="21"/>
        </w:rPr>
        <w:t xml:space="preserve">potential party easily to discover </w:t>
      </w:r>
      <w:r w:rsidRPr="000C465E">
        <w:rPr>
          <w:rFonts w:asciiTheme="minorHAnsi" w:hAnsiTheme="minorHAnsi" w:cs="Arial"/>
          <w:sz w:val="21"/>
          <w:szCs w:val="21"/>
        </w:rPr>
        <w:t xml:space="preserve">a property right claimed by </w:t>
      </w:r>
      <w:r w:rsidR="00850126">
        <w:rPr>
          <w:rFonts w:asciiTheme="minorHAnsi" w:hAnsiTheme="minorHAnsi" w:cs="Arial"/>
          <w:sz w:val="21"/>
          <w:szCs w:val="21"/>
        </w:rPr>
        <w:t>B</w:t>
      </w:r>
      <w:r w:rsidRPr="000C465E">
        <w:rPr>
          <w:rFonts w:asciiTheme="minorHAnsi" w:hAnsiTheme="minorHAnsi" w:cs="Arial"/>
          <w:sz w:val="21"/>
          <w:szCs w:val="21"/>
        </w:rPr>
        <w:t>.  The effect of the entry is governed by section 32 of the LRA 2002.  It ensures that if in fact the property right exists, then it will be enforceable against the purchaser</w:t>
      </w:r>
      <w:r w:rsidR="00850126">
        <w:rPr>
          <w:rFonts w:asciiTheme="minorHAnsi" w:hAnsiTheme="minorHAnsi" w:cs="Arial"/>
          <w:sz w:val="21"/>
          <w:szCs w:val="21"/>
        </w:rPr>
        <w:t>, C</w:t>
      </w:r>
      <w:r w:rsidRPr="000C465E">
        <w:rPr>
          <w:rFonts w:asciiTheme="minorHAnsi" w:hAnsiTheme="minorHAnsi" w:cs="Arial"/>
          <w:sz w:val="21"/>
          <w:szCs w:val="21"/>
        </w:rPr>
        <w:t xml:space="preserve">.  However, the entry of a notice does not operate as a guarantee that </w:t>
      </w:r>
      <w:r w:rsidR="00850126">
        <w:rPr>
          <w:rFonts w:asciiTheme="minorHAnsi" w:hAnsiTheme="minorHAnsi" w:cs="Arial"/>
          <w:sz w:val="21"/>
          <w:szCs w:val="21"/>
        </w:rPr>
        <w:t>B’s</w:t>
      </w:r>
      <w:r w:rsidRPr="000C465E">
        <w:rPr>
          <w:rFonts w:asciiTheme="minorHAnsi" w:hAnsiTheme="minorHAnsi" w:cs="Arial"/>
          <w:sz w:val="21"/>
          <w:szCs w:val="21"/>
        </w:rPr>
        <w:t xml:space="preserve"> </w:t>
      </w:r>
      <w:r w:rsidR="00850126">
        <w:rPr>
          <w:rFonts w:asciiTheme="minorHAnsi" w:hAnsiTheme="minorHAnsi" w:cs="Arial"/>
          <w:sz w:val="21"/>
          <w:szCs w:val="21"/>
        </w:rPr>
        <w:t xml:space="preserve">claimed </w:t>
      </w:r>
      <w:r w:rsidRPr="000C465E">
        <w:rPr>
          <w:rFonts w:asciiTheme="minorHAnsi" w:hAnsiTheme="minorHAnsi" w:cs="Arial"/>
          <w:sz w:val="21"/>
          <w:szCs w:val="21"/>
        </w:rPr>
        <w:t xml:space="preserve">property right </w:t>
      </w:r>
      <w:r w:rsidR="00850126">
        <w:rPr>
          <w:rFonts w:asciiTheme="minorHAnsi" w:hAnsiTheme="minorHAnsi" w:cs="Arial"/>
          <w:sz w:val="21"/>
          <w:szCs w:val="21"/>
        </w:rPr>
        <w:t xml:space="preserve">does in fact </w:t>
      </w:r>
      <w:r w:rsidRPr="000C465E">
        <w:rPr>
          <w:rFonts w:asciiTheme="minorHAnsi" w:hAnsiTheme="minorHAnsi" w:cs="Arial"/>
          <w:sz w:val="21"/>
          <w:szCs w:val="21"/>
        </w:rPr>
        <w:t xml:space="preserve">exist. </w:t>
      </w:r>
      <w:r w:rsidR="00850126">
        <w:rPr>
          <w:rFonts w:asciiTheme="minorHAnsi" w:hAnsiTheme="minorHAnsi" w:cs="Arial"/>
          <w:sz w:val="21"/>
          <w:szCs w:val="21"/>
        </w:rPr>
        <w:t>Many (but not all – see</w:t>
      </w:r>
      <w:r w:rsidR="00850126">
        <w:rPr>
          <w:rFonts w:asciiTheme="minorHAnsi" w:hAnsiTheme="minorHAnsi" w:cs="Arial"/>
          <w:b/>
          <w:sz w:val="21"/>
          <w:szCs w:val="21"/>
        </w:rPr>
        <w:t xml:space="preserve"> 11.31</w:t>
      </w:r>
      <w:r w:rsidR="00850126">
        <w:rPr>
          <w:rFonts w:asciiTheme="minorHAnsi" w:hAnsiTheme="minorHAnsi" w:cs="Arial"/>
          <w:sz w:val="21"/>
          <w:szCs w:val="21"/>
        </w:rPr>
        <w:t>) property rights can be protected by</w:t>
      </w:r>
      <w:r w:rsidRPr="000C465E">
        <w:rPr>
          <w:rFonts w:asciiTheme="minorHAnsi" w:hAnsiTheme="minorHAnsi" w:cs="Arial"/>
          <w:sz w:val="21"/>
          <w:szCs w:val="21"/>
        </w:rPr>
        <w:t xml:space="preserve"> </w:t>
      </w:r>
      <w:r w:rsidR="00850126">
        <w:rPr>
          <w:rFonts w:asciiTheme="minorHAnsi" w:hAnsiTheme="minorHAnsi" w:cs="Arial"/>
          <w:sz w:val="21"/>
          <w:szCs w:val="21"/>
        </w:rPr>
        <w:t xml:space="preserve">the entry of a notice – </w:t>
      </w:r>
      <w:r w:rsidR="0031535A">
        <w:rPr>
          <w:rFonts w:asciiTheme="minorHAnsi" w:hAnsiTheme="minorHAnsi" w:cs="Arial"/>
          <w:sz w:val="21"/>
          <w:szCs w:val="21"/>
        </w:rPr>
        <w:t xml:space="preserve">for example, </w:t>
      </w:r>
      <w:r w:rsidR="00850126">
        <w:rPr>
          <w:rFonts w:asciiTheme="minorHAnsi" w:hAnsiTheme="minorHAnsi" w:cs="Arial"/>
          <w:sz w:val="21"/>
          <w:szCs w:val="21"/>
        </w:rPr>
        <w:t>a restrictive covenant, an equity by proprietary estoppel, an equitable easement and an equitable lease may all be protected by the entry of a notice. If such a right is not protected by the entry of a notice, then C will be able to use the s 29 defence to take priority to B’s pre-existing right, unless B is in actual occupation of the land and thus has an overriding interest under Sch 3, para 2 of the LRA 2002.</w:t>
      </w:r>
    </w:p>
    <w:p w14:paraId="58EEE98D" w14:textId="77777777" w:rsidR="00C138CB" w:rsidRDefault="00C138CB" w:rsidP="005207F5">
      <w:pPr>
        <w:spacing w:after="0" w:line="240" w:lineRule="auto"/>
        <w:jc w:val="both"/>
        <w:rPr>
          <w:rFonts w:asciiTheme="minorHAnsi" w:hAnsiTheme="minorHAnsi" w:cs="Arial"/>
          <w:sz w:val="21"/>
          <w:szCs w:val="21"/>
        </w:rPr>
      </w:pPr>
    </w:p>
    <w:p w14:paraId="5F40AC50" w14:textId="4E4881C9" w:rsidR="001A6506" w:rsidRDefault="00795A73" w:rsidP="005207F5">
      <w:pPr>
        <w:spacing w:after="0" w:line="240" w:lineRule="auto"/>
        <w:jc w:val="both"/>
        <w:rPr>
          <w:rFonts w:asciiTheme="minorHAnsi" w:hAnsiTheme="minorHAnsi" w:cs="Arial"/>
          <w:b/>
          <w:sz w:val="21"/>
          <w:szCs w:val="21"/>
        </w:rPr>
      </w:pPr>
      <w:r w:rsidRPr="00795A73">
        <w:rPr>
          <w:rFonts w:asciiTheme="minorHAnsi" w:hAnsiTheme="minorHAnsi" w:cs="Arial"/>
          <w:b/>
          <w:sz w:val="21"/>
          <w:szCs w:val="21"/>
        </w:rPr>
        <w:t xml:space="preserve">Question 4: </w:t>
      </w:r>
      <w:r w:rsidR="00D65F7F">
        <w:rPr>
          <w:rFonts w:asciiTheme="minorHAnsi" w:hAnsiTheme="minorHAnsi" w:cs="Arial"/>
          <w:b/>
          <w:sz w:val="21"/>
          <w:szCs w:val="21"/>
        </w:rPr>
        <w:t>What is an ‘overriding interest’? What is the relevance of ‘actual occupation’ to the category of overriding interests? In what circumstances may a person who is not physically present on land be held to be in actual occupation?</w:t>
      </w:r>
    </w:p>
    <w:p w14:paraId="4EA7E48B" w14:textId="2E860D3B" w:rsidR="00D65F7F" w:rsidRDefault="00D65F7F" w:rsidP="005207F5">
      <w:pPr>
        <w:spacing w:after="0" w:line="240" w:lineRule="auto"/>
        <w:jc w:val="both"/>
        <w:rPr>
          <w:rFonts w:asciiTheme="minorHAnsi" w:hAnsiTheme="minorHAnsi" w:cs="Arial"/>
          <w:b/>
          <w:sz w:val="21"/>
          <w:szCs w:val="21"/>
        </w:rPr>
      </w:pPr>
    </w:p>
    <w:p w14:paraId="583AFD97" w14:textId="0ED7D167" w:rsidR="002F7E37" w:rsidRPr="00850126" w:rsidRDefault="002F7E37" w:rsidP="002F7E37">
      <w:pPr>
        <w:spacing w:after="0" w:line="240" w:lineRule="auto"/>
        <w:jc w:val="both"/>
        <w:rPr>
          <w:rFonts w:asciiTheme="minorHAnsi" w:hAnsiTheme="minorHAnsi" w:cs="Arial"/>
          <w:sz w:val="21"/>
          <w:szCs w:val="21"/>
        </w:rPr>
      </w:pPr>
      <w:r w:rsidRPr="00B7621A">
        <w:rPr>
          <w:rFonts w:asciiTheme="minorHAnsi" w:hAnsiTheme="minorHAnsi" w:cs="Arial"/>
          <w:sz w:val="21"/>
          <w:szCs w:val="21"/>
        </w:rPr>
        <w:t>An overriding interest is best described as a property right, existing in relation to registered land, that is immune to the lack of registration defence</w:t>
      </w:r>
      <w:r w:rsidR="00850126">
        <w:rPr>
          <w:rFonts w:asciiTheme="minorHAnsi" w:hAnsiTheme="minorHAnsi" w:cs="Arial"/>
          <w:sz w:val="21"/>
          <w:szCs w:val="21"/>
        </w:rPr>
        <w:t xml:space="preserve"> (see </w:t>
      </w:r>
      <w:r w:rsidR="00850126">
        <w:rPr>
          <w:rFonts w:asciiTheme="minorHAnsi" w:hAnsiTheme="minorHAnsi" w:cs="Arial"/>
          <w:b/>
          <w:sz w:val="21"/>
          <w:szCs w:val="21"/>
        </w:rPr>
        <w:t>11.34</w:t>
      </w:r>
      <w:r w:rsidR="00850126">
        <w:rPr>
          <w:rFonts w:asciiTheme="minorHAnsi" w:hAnsiTheme="minorHAnsi" w:cs="Arial"/>
          <w:sz w:val="21"/>
          <w:szCs w:val="21"/>
        </w:rPr>
        <w:t>)</w:t>
      </w:r>
      <w:r w:rsidRPr="00B7621A">
        <w:rPr>
          <w:rFonts w:asciiTheme="minorHAnsi" w:hAnsiTheme="minorHAnsi" w:cs="Arial"/>
          <w:sz w:val="21"/>
          <w:szCs w:val="21"/>
        </w:rPr>
        <w:t xml:space="preserve">. </w:t>
      </w:r>
      <w:r>
        <w:rPr>
          <w:rFonts w:asciiTheme="minorHAnsi" w:hAnsiTheme="minorHAnsi" w:cs="Arial"/>
          <w:sz w:val="21"/>
          <w:szCs w:val="21"/>
        </w:rPr>
        <w:t>The</w:t>
      </w:r>
      <w:r w:rsidRPr="00B7621A">
        <w:rPr>
          <w:rFonts w:asciiTheme="minorHAnsi" w:hAnsiTheme="minorHAnsi" w:cs="Arial"/>
          <w:sz w:val="21"/>
          <w:szCs w:val="21"/>
        </w:rPr>
        <w:t xml:space="preserve"> lack of registration defence provides important protection to a third party acquiring, for value, a legal property right in registered land. The essence of the defence is that such a third party only be bound by a pre-existing property right in the land if that property right has been recorded on the register. However, overriding interests are exempt from the lack of registration defence. So, if B’s pre-existing property right counts as an overriding interest, C will never be able to use the lack of registration defence against B’s right.</w:t>
      </w:r>
      <w:r w:rsidR="00850126">
        <w:rPr>
          <w:rFonts w:asciiTheme="minorHAnsi" w:hAnsiTheme="minorHAnsi" w:cs="Arial"/>
          <w:sz w:val="21"/>
          <w:szCs w:val="21"/>
        </w:rPr>
        <w:t xml:space="preserve"> Note however that, even if B’s right is overriding, C may still be able to use a </w:t>
      </w:r>
      <w:r w:rsidR="00850126">
        <w:rPr>
          <w:rFonts w:asciiTheme="minorHAnsi" w:hAnsiTheme="minorHAnsi" w:cs="Arial"/>
          <w:i/>
          <w:sz w:val="21"/>
          <w:szCs w:val="21"/>
        </w:rPr>
        <w:t xml:space="preserve">different </w:t>
      </w:r>
      <w:r w:rsidR="00850126">
        <w:rPr>
          <w:rFonts w:asciiTheme="minorHAnsi" w:hAnsiTheme="minorHAnsi" w:cs="Arial"/>
          <w:sz w:val="21"/>
          <w:szCs w:val="21"/>
        </w:rPr>
        <w:t xml:space="preserve">defence, such as overreaching, to take priority over B’s interest – </w:t>
      </w:r>
      <w:r w:rsidR="00850126">
        <w:rPr>
          <w:rFonts w:asciiTheme="minorHAnsi" w:hAnsiTheme="minorHAnsi" w:cs="Arial"/>
          <w:i/>
          <w:sz w:val="21"/>
          <w:szCs w:val="21"/>
        </w:rPr>
        <w:t xml:space="preserve">City of London Building Society v Flegg </w:t>
      </w:r>
      <w:r w:rsidR="00850126">
        <w:rPr>
          <w:rFonts w:asciiTheme="minorHAnsi" w:hAnsiTheme="minorHAnsi" w:cs="Arial"/>
          <w:sz w:val="21"/>
          <w:szCs w:val="21"/>
        </w:rPr>
        <w:t xml:space="preserve">(1988) provides an example (see </w:t>
      </w:r>
      <w:r w:rsidR="00850126">
        <w:rPr>
          <w:rFonts w:asciiTheme="minorHAnsi" w:hAnsiTheme="minorHAnsi" w:cs="Arial"/>
          <w:b/>
          <w:sz w:val="21"/>
          <w:szCs w:val="21"/>
        </w:rPr>
        <w:t>11.80</w:t>
      </w:r>
      <w:r w:rsidR="00850126">
        <w:rPr>
          <w:rFonts w:asciiTheme="minorHAnsi" w:hAnsiTheme="minorHAnsi" w:cs="Arial"/>
          <w:sz w:val="21"/>
          <w:szCs w:val="21"/>
        </w:rPr>
        <w:t>).</w:t>
      </w:r>
    </w:p>
    <w:p w14:paraId="6A1F6172" w14:textId="77777777" w:rsidR="002F7E37" w:rsidRPr="00B7621A" w:rsidRDefault="002F7E37" w:rsidP="002F7E37">
      <w:pPr>
        <w:spacing w:after="0" w:line="240" w:lineRule="auto"/>
        <w:jc w:val="both"/>
        <w:rPr>
          <w:rFonts w:asciiTheme="minorHAnsi" w:hAnsiTheme="minorHAnsi" w:cs="Arial"/>
          <w:sz w:val="21"/>
          <w:szCs w:val="21"/>
        </w:rPr>
      </w:pPr>
    </w:p>
    <w:p w14:paraId="50EA3937" w14:textId="241FCAC6" w:rsidR="002F7E37" w:rsidRPr="00850126" w:rsidRDefault="002F7E37" w:rsidP="002F7E37">
      <w:pPr>
        <w:spacing w:after="0" w:line="240" w:lineRule="auto"/>
        <w:jc w:val="both"/>
        <w:rPr>
          <w:rFonts w:asciiTheme="minorHAnsi" w:hAnsiTheme="minorHAnsi" w:cs="Arial"/>
          <w:sz w:val="21"/>
          <w:szCs w:val="21"/>
        </w:rPr>
      </w:pPr>
      <w:r w:rsidRPr="00B7621A">
        <w:rPr>
          <w:rFonts w:asciiTheme="minorHAnsi" w:hAnsiTheme="minorHAnsi" w:cs="Arial"/>
          <w:sz w:val="21"/>
          <w:szCs w:val="21"/>
        </w:rPr>
        <w:t>To determine if B’s pre-existing property right is overriding, we simply need to look at the list of overriding interests provided by the Land Registration Act 2002. One particularly important provision is Schedule 3, paragraph 2</w:t>
      </w:r>
      <w:r w:rsidR="00850126">
        <w:rPr>
          <w:rFonts w:asciiTheme="minorHAnsi" w:hAnsiTheme="minorHAnsi" w:cs="Arial"/>
          <w:sz w:val="21"/>
          <w:szCs w:val="21"/>
        </w:rPr>
        <w:t xml:space="preserve"> (see </w:t>
      </w:r>
      <w:r w:rsidR="00850126">
        <w:rPr>
          <w:rFonts w:asciiTheme="minorHAnsi" w:hAnsiTheme="minorHAnsi" w:cs="Arial"/>
          <w:b/>
          <w:sz w:val="21"/>
          <w:szCs w:val="21"/>
        </w:rPr>
        <w:t>11.37-11.59</w:t>
      </w:r>
      <w:r w:rsidR="00850126">
        <w:rPr>
          <w:rFonts w:asciiTheme="minorHAnsi" w:hAnsiTheme="minorHAnsi" w:cs="Arial"/>
          <w:sz w:val="21"/>
          <w:szCs w:val="21"/>
        </w:rPr>
        <w:t>)</w:t>
      </w:r>
      <w:r w:rsidRPr="00B7621A">
        <w:rPr>
          <w:rFonts w:asciiTheme="minorHAnsi" w:hAnsiTheme="minorHAnsi" w:cs="Arial"/>
          <w:sz w:val="21"/>
          <w:szCs w:val="21"/>
        </w:rPr>
        <w:t xml:space="preserve">. Its basic effect is that, if B is in actual occupation of the registered land at the relevant time, any property right held by B can then count as an overriding interest. </w:t>
      </w:r>
      <w:r w:rsidR="00850126">
        <w:rPr>
          <w:rFonts w:asciiTheme="minorHAnsi" w:hAnsiTheme="minorHAnsi" w:cs="Arial"/>
          <w:sz w:val="21"/>
          <w:szCs w:val="21"/>
        </w:rPr>
        <w:t>Note of course that if B does not have a property right, but only a personal right against A, then actual occupation has no effect, as B’s personal right is not in any case binding on C</w:t>
      </w:r>
      <w:r w:rsidR="0031535A">
        <w:rPr>
          <w:rFonts w:asciiTheme="minorHAnsi" w:hAnsiTheme="minorHAnsi" w:cs="Arial"/>
          <w:sz w:val="21"/>
          <w:szCs w:val="21"/>
        </w:rPr>
        <w:t>:</w:t>
      </w:r>
      <w:r w:rsidR="00850126">
        <w:rPr>
          <w:rFonts w:asciiTheme="minorHAnsi" w:hAnsiTheme="minorHAnsi" w:cs="Arial"/>
          <w:sz w:val="21"/>
          <w:szCs w:val="21"/>
        </w:rPr>
        <w:t xml:space="preserve"> </w:t>
      </w:r>
      <w:r w:rsidR="0031535A">
        <w:rPr>
          <w:rFonts w:asciiTheme="minorHAnsi" w:hAnsiTheme="minorHAnsi" w:cs="Arial"/>
          <w:sz w:val="21"/>
          <w:szCs w:val="21"/>
        </w:rPr>
        <w:t>see eg</w:t>
      </w:r>
      <w:r w:rsidR="00850126">
        <w:rPr>
          <w:rFonts w:asciiTheme="minorHAnsi" w:hAnsiTheme="minorHAnsi" w:cs="Arial"/>
          <w:sz w:val="21"/>
          <w:szCs w:val="21"/>
        </w:rPr>
        <w:t xml:space="preserve"> </w:t>
      </w:r>
      <w:r w:rsidR="00850126" w:rsidRPr="00B7621A">
        <w:rPr>
          <w:rFonts w:asciiTheme="minorHAnsi" w:hAnsiTheme="minorHAnsi" w:cs="Arial"/>
          <w:i/>
          <w:sz w:val="21"/>
          <w:szCs w:val="21"/>
        </w:rPr>
        <w:t>National Provincial Bank v Ainsworth</w:t>
      </w:r>
      <w:r w:rsidR="00850126">
        <w:rPr>
          <w:rFonts w:asciiTheme="minorHAnsi" w:hAnsiTheme="minorHAnsi" w:cs="Arial"/>
          <w:sz w:val="21"/>
          <w:szCs w:val="21"/>
        </w:rPr>
        <w:t xml:space="preserve"> (1965) (see </w:t>
      </w:r>
      <w:r w:rsidR="00850126">
        <w:rPr>
          <w:rFonts w:asciiTheme="minorHAnsi" w:hAnsiTheme="minorHAnsi" w:cs="Arial"/>
          <w:b/>
          <w:sz w:val="21"/>
          <w:szCs w:val="21"/>
        </w:rPr>
        <w:t>1.57-1.62</w:t>
      </w:r>
      <w:r w:rsidR="00850126">
        <w:rPr>
          <w:rFonts w:asciiTheme="minorHAnsi" w:hAnsiTheme="minorHAnsi" w:cs="Arial"/>
          <w:sz w:val="21"/>
          <w:szCs w:val="21"/>
        </w:rPr>
        <w:t>).</w:t>
      </w:r>
    </w:p>
    <w:p w14:paraId="44A1D4E9" w14:textId="77777777" w:rsidR="002F7E37" w:rsidRPr="00B7621A" w:rsidRDefault="002F7E37" w:rsidP="002F7E37">
      <w:pPr>
        <w:spacing w:after="0" w:line="240" w:lineRule="auto"/>
        <w:jc w:val="both"/>
        <w:rPr>
          <w:rFonts w:asciiTheme="minorHAnsi" w:hAnsiTheme="minorHAnsi" w:cs="Arial"/>
          <w:sz w:val="21"/>
          <w:szCs w:val="21"/>
        </w:rPr>
      </w:pPr>
    </w:p>
    <w:p w14:paraId="67B6507F" w14:textId="1A48D74E" w:rsidR="002F7E37" w:rsidRPr="00A22434" w:rsidRDefault="00850126" w:rsidP="005207F5">
      <w:pPr>
        <w:spacing w:after="0" w:line="240" w:lineRule="auto"/>
        <w:jc w:val="both"/>
        <w:rPr>
          <w:rFonts w:asciiTheme="minorHAnsi" w:hAnsiTheme="minorHAnsi" w:cs="Arial"/>
          <w:sz w:val="21"/>
          <w:szCs w:val="21"/>
        </w:rPr>
      </w:pPr>
      <w:r>
        <w:rPr>
          <w:rFonts w:asciiTheme="minorHAnsi" w:hAnsiTheme="minorHAnsi" w:cs="Arial"/>
          <w:sz w:val="21"/>
          <w:szCs w:val="21"/>
        </w:rPr>
        <w:t>It is possible for B to be in actual occupation of land for the purpose of Sch 3, para 2 without being physically present on the land</w:t>
      </w:r>
      <w:r w:rsidR="00A22434">
        <w:rPr>
          <w:rFonts w:asciiTheme="minorHAnsi" w:hAnsiTheme="minorHAnsi" w:cs="Arial"/>
          <w:sz w:val="21"/>
          <w:szCs w:val="21"/>
        </w:rPr>
        <w:t xml:space="preserve">, although note that if B’s actual occupation </w:t>
      </w:r>
      <w:r w:rsidR="0031535A">
        <w:rPr>
          <w:rFonts w:asciiTheme="minorHAnsi" w:hAnsiTheme="minorHAnsi" w:cs="Arial"/>
          <w:sz w:val="21"/>
          <w:szCs w:val="21"/>
        </w:rPr>
        <w:t xml:space="preserve">would not have been obvious </w:t>
      </w:r>
      <w:r w:rsidR="00A22434">
        <w:rPr>
          <w:rFonts w:asciiTheme="minorHAnsi" w:hAnsiTheme="minorHAnsi" w:cs="Arial"/>
          <w:sz w:val="21"/>
          <w:szCs w:val="21"/>
        </w:rPr>
        <w:t>on a reasonably careful inspection of the property</w:t>
      </w:r>
      <w:r w:rsidR="0031535A">
        <w:rPr>
          <w:rFonts w:asciiTheme="minorHAnsi" w:hAnsiTheme="minorHAnsi" w:cs="Arial"/>
          <w:sz w:val="21"/>
          <w:szCs w:val="21"/>
        </w:rPr>
        <w:t xml:space="preserve"> by C</w:t>
      </w:r>
      <w:r w:rsidR="00A22434">
        <w:rPr>
          <w:rFonts w:asciiTheme="minorHAnsi" w:hAnsiTheme="minorHAnsi" w:cs="Arial"/>
          <w:sz w:val="21"/>
          <w:szCs w:val="21"/>
        </w:rPr>
        <w:t xml:space="preserve">, and C </w:t>
      </w:r>
      <w:r w:rsidR="0031535A">
        <w:rPr>
          <w:rFonts w:asciiTheme="minorHAnsi" w:hAnsiTheme="minorHAnsi" w:cs="Arial"/>
          <w:sz w:val="21"/>
          <w:szCs w:val="21"/>
        </w:rPr>
        <w:t>does</w:t>
      </w:r>
      <w:r w:rsidR="00A22434">
        <w:rPr>
          <w:rFonts w:asciiTheme="minorHAnsi" w:hAnsiTheme="minorHAnsi" w:cs="Arial"/>
          <w:sz w:val="21"/>
          <w:szCs w:val="21"/>
        </w:rPr>
        <w:t xml:space="preserve"> not otherwise </w:t>
      </w:r>
      <w:r w:rsidR="0031535A">
        <w:rPr>
          <w:rFonts w:asciiTheme="minorHAnsi" w:hAnsiTheme="minorHAnsi" w:cs="Arial"/>
          <w:sz w:val="21"/>
          <w:szCs w:val="21"/>
        </w:rPr>
        <w:t>know</w:t>
      </w:r>
      <w:r w:rsidR="00A22434">
        <w:rPr>
          <w:rFonts w:asciiTheme="minorHAnsi" w:hAnsiTheme="minorHAnsi" w:cs="Arial"/>
          <w:sz w:val="21"/>
          <w:szCs w:val="21"/>
        </w:rPr>
        <w:t xml:space="preserve"> of B’s right, then B’s right will </w:t>
      </w:r>
      <w:r w:rsidR="00A22434" w:rsidRPr="0031535A">
        <w:rPr>
          <w:rFonts w:asciiTheme="minorHAnsi" w:hAnsiTheme="minorHAnsi" w:cs="Arial"/>
          <w:i/>
          <w:sz w:val="21"/>
          <w:szCs w:val="21"/>
        </w:rPr>
        <w:t xml:space="preserve">not </w:t>
      </w:r>
      <w:r w:rsidR="00A22434">
        <w:rPr>
          <w:rFonts w:asciiTheme="minorHAnsi" w:hAnsiTheme="minorHAnsi" w:cs="Arial"/>
          <w:sz w:val="21"/>
          <w:szCs w:val="21"/>
        </w:rPr>
        <w:t xml:space="preserve">qualify as overriding under Sch 3, para 2 (see </w:t>
      </w:r>
      <w:r w:rsidR="00A22434">
        <w:rPr>
          <w:rFonts w:asciiTheme="minorHAnsi" w:hAnsiTheme="minorHAnsi" w:cs="Arial"/>
          <w:b/>
          <w:sz w:val="21"/>
          <w:szCs w:val="21"/>
        </w:rPr>
        <w:t xml:space="preserve">11.46 </w:t>
      </w:r>
      <w:r w:rsidR="00A22434" w:rsidRPr="00A22434">
        <w:rPr>
          <w:rFonts w:asciiTheme="minorHAnsi" w:hAnsiTheme="minorHAnsi" w:cs="Arial"/>
          <w:sz w:val="21"/>
          <w:szCs w:val="21"/>
        </w:rPr>
        <w:t>and</w:t>
      </w:r>
      <w:r w:rsidR="00A22434">
        <w:rPr>
          <w:rFonts w:asciiTheme="minorHAnsi" w:hAnsiTheme="minorHAnsi" w:cs="Arial"/>
          <w:b/>
          <w:sz w:val="21"/>
          <w:szCs w:val="21"/>
        </w:rPr>
        <w:t xml:space="preserve"> 11.54</w:t>
      </w:r>
      <w:r w:rsidR="00A22434">
        <w:rPr>
          <w:rFonts w:asciiTheme="minorHAnsi" w:hAnsiTheme="minorHAnsi" w:cs="Arial"/>
          <w:sz w:val="21"/>
          <w:szCs w:val="21"/>
        </w:rPr>
        <w:t xml:space="preserve">). As discussed at </w:t>
      </w:r>
      <w:r w:rsidR="00A22434">
        <w:rPr>
          <w:rFonts w:asciiTheme="minorHAnsi" w:hAnsiTheme="minorHAnsi" w:cs="Arial"/>
          <w:b/>
          <w:sz w:val="21"/>
          <w:szCs w:val="21"/>
        </w:rPr>
        <w:t>11.53-11.55</w:t>
      </w:r>
      <w:r w:rsidR="00A22434">
        <w:rPr>
          <w:rFonts w:asciiTheme="minorHAnsi" w:hAnsiTheme="minorHAnsi" w:cs="Arial"/>
          <w:sz w:val="21"/>
          <w:szCs w:val="21"/>
        </w:rPr>
        <w:t xml:space="preserve">, it is possible for B to occupy through the presence of another person (a proxy) – in </w:t>
      </w:r>
      <w:r w:rsidR="00A22434">
        <w:rPr>
          <w:rFonts w:asciiTheme="minorHAnsi" w:hAnsiTheme="minorHAnsi" w:cs="Arial"/>
          <w:i/>
          <w:sz w:val="21"/>
          <w:szCs w:val="21"/>
        </w:rPr>
        <w:t xml:space="preserve">Lloyds Bank v Rosset </w:t>
      </w:r>
      <w:r w:rsidR="00A22434">
        <w:rPr>
          <w:rFonts w:asciiTheme="minorHAnsi" w:hAnsiTheme="minorHAnsi" w:cs="Arial"/>
          <w:sz w:val="21"/>
          <w:szCs w:val="21"/>
        </w:rPr>
        <w:t xml:space="preserve">(1989), for example, the Court of Appeal accepted that Mrs Rosset had established actual occupation through the presence of builders renovating the land (see </w:t>
      </w:r>
      <w:r w:rsidR="00A22434">
        <w:rPr>
          <w:rFonts w:asciiTheme="minorHAnsi" w:hAnsiTheme="minorHAnsi" w:cs="Arial"/>
          <w:b/>
          <w:sz w:val="21"/>
          <w:szCs w:val="21"/>
        </w:rPr>
        <w:t>11.53</w:t>
      </w:r>
      <w:r w:rsidR="00A22434">
        <w:rPr>
          <w:rFonts w:asciiTheme="minorHAnsi" w:hAnsiTheme="minorHAnsi" w:cs="Arial"/>
          <w:sz w:val="21"/>
          <w:szCs w:val="21"/>
        </w:rPr>
        <w:t xml:space="preserve">). </w:t>
      </w:r>
    </w:p>
    <w:p w14:paraId="1DA5FA74" w14:textId="77777777" w:rsidR="005207F5" w:rsidRPr="0082412E" w:rsidRDefault="005207F5" w:rsidP="005207F5">
      <w:pPr>
        <w:spacing w:after="0" w:line="240" w:lineRule="auto"/>
        <w:jc w:val="both"/>
        <w:rPr>
          <w:rFonts w:asciiTheme="minorHAnsi" w:hAnsiTheme="minorHAnsi" w:cs="Arial"/>
          <w:b/>
          <w:sz w:val="21"/>
          <w:szCs w:val="21"/>
        </w:rPr>
      </w:pPr>
    </w:p>
    <w:p w14:paraId="30D6F01D" w14:textId="7C8B0CC4" w:rsidR="00795A73" w:rsidRPr="00795A73" w:rsidRDefault="005207F5" w:rsidP="002F7E37">
      <w:pPr>
        <w:spacing w:after="0" w:line="240" w:lineRule="auto"/>
        <w:jc w:val="both"/>
        <w:rPr>
          <w:rFonts w:asciiTheme="minorHAnsi" w:hAnsiTheme="minorHAnsi" w:cs="Arial"/>
          <w:b/>
          <w:iCs/>
          <w:sz w:val="21"/>
          <w:szCs w:val="21"/>
        </w:rPr>
      </w:pPr>
      <w:r w:rsidRPr="0082412E">
        <w:rPr>
          <w:rFonts w:asciiTheme="minorHAnsi" w:hAnsiTheme="minorHAnsi" w:cs="Arial"/>
          <w:b/>
          <w:sz w:val="21"/>
          <w:szCs w:val="21"/>
        </w:rPr>
        <w:t xml:space="preserve">Question </w:t>
      </w:r>
      <w:r w:rsidR="00795A73">
        <w:rPr>
          <w:rFonts w:asciiTheme="minorHAnsi" w:hAnsiTheme="minorHAnsi" w:cs="Arial"/>
          <w:b/>
          <w:sz w:val="21"/>
          <w:szCs w:val="21"/>
        </w:rPr>
        <w:t>5</w:t>
      </w:r>
      <w:r w:rsidRPr="0082412E">
        <w:rPr>
          <w:rFonts w:asciiTheme="minorHAnsi" w:hAnsiTheme="minorHAnsi" w:cs="Arial"/>
          <w:b/>
          <w:sz w:val="21"/>
          <w:szCs w:val="21"/>
        </w:rPr>
        <w:t xml:space="preserve">: </w:t>
      </w:r>
      <w:r w:rsidR="002F7E37">
        <w:rPr>
          <w:rFonts w:asciiTheme="minorHAnsi" w:hAnsiTheme="minorHAnsi" w:cs="Arial"/>
          <w:b/>
          <w:sz w:val="21"/>
          <w:szCs w:val="21"/>
        </w:rPr>
        <w:t>What is the effect of overreaching? For what property interests is overreaching of most significance?</w:t>
      </w:r>
    </w:p>
    <w:p w14:paraId="3C030004" w14:textId="162FCE3E" w:rsidR="00795A73" w:rsidRDefault="00795A73" w:rsidP="005207F5">
      <w:pPr>
        <w:spacing w:after="0" w:line="240" w:lineRule="auto"/>
        <w:jc w:val="both"/>
        <w:rPr>
          <w:rFonts w:asciiTheme="minorHAnsi" w:hAnsiTheme="minorHAnsi" w:cs="Arial"/>
          <w:b/>
          <w:sz w:val="21"/>
          <w:szCs w:val="21"/>
        </w:rPr>
      </w:pPr>
    </w:p>
    <w:p w14:paraId="5DA4CB1E" w14:textId="7930BA93" w:rsidR="00A22434" w:rsidRPr="00850126" w:rsidRDefault="006B5CAC" w:rsidP="00A22434">
      <w:pPr>
        <w:spacing w:after="0" w:line="240" w:lineRule="auto"/>
        <w:jc w:val="both"/>
        <w:rPr>
          <w:rFonts w:asciiTheme="minorHAnsi" w:hAnsiTheme="minorHAnsi" w:cs="Arial"/>
          <w:sz w:val="21"/>
          <w:szCs w:val="21"/>
        </w:rPr>
      </w:pPr>
      <w:r>
        <w:rPr>
          <w:rFonts w:asciiTheme="minorHAnsi" w:hAnsiTheme="minorHAnsi" w:cs="Arial"/>
          <w:sz w:val="21"/>
          <w:szCs w:val="21"/>
        </w:rPr>
        <w:t xml:space="preserve">As discussed at </w:t>
      </w:r>
      <w:r w:rsidR="00A22434">
        <w:rPr>
          <w:rFonts w:asciiTheme="minorHAnsi" w:hAnsiTheme="minorHAnsi" w:cs="Arial"/>
          <w:b/>
          <w:sz w:val="21"/>
          <w:szCs w:val="21"/>
        </w:rPr>
        <w:t>11.70</w:t>
      </w:r>
      <w:r>
        <w:rPr>
          <w:rFonts w:asciiTheme="minorHAnsi" w:hAnsiTheme="minorHAnsi" w:cs="Arial"/>
          <w:sz w:val="21"/>
          <w:szCs w:val="21"/>
        </w:rPr>
        <w:t xml:space="preserve">, </w:t>
      </w:r>
      <w:r w:rsidR="00A22434">
        <w:rPr>
          <w:rFonts w:asciiTheme="minorHAnsi" w:hAnsiTheme="minorHAnsi" w:cs="Arial"/>
          <w:sz w:val="21"/>
          <w:szCs w:val="21"/>
        </w:rPr>
        <w:t xml:space="preserve">overreaching is a mechanism by which C can take priority over a pre-existing property right of B. It is distinct from the lack of registration defence, and so can give C a defence even against an overriding interest of B, as occurred in </w:t>
      </w:r>
      <w:r w:rsidR="00A22434">
        <w:rPr>
          <w:rFonts w:asciiTheme="minorHAnsi" w:hAnsiTheme="minorHAnsi" w:cs="Arial"/>
          <w:i/>
          <w:sz w:val="21"/>
          <w:szCs w:val="21"/>
        </w:rPr>
        <w:t xml:space="preserve">City of London Building Society v Flegg </w:t>
      </w:r>
      <w:r w:rsidR="00A22434">
        <w:rPr>
          <w:rFonts w:asciiTheme="minorHAnsi" w:hAnsiTheme="minorHAnsi" w:cs="Arial"/>
          <w:sz w:val="21"/>
          <w:szCs w:val="21"/>
        </w:rPr>
        <w:t xml:space="preserve">(1988) (see </w:t>
      </w:r>
      <w:r w:rsidR="00A22434">
        <w:rPr>
          <w:rFonts w:asciiTheme="minorHAnsi" w:hAnsiTheme="minorHAnsi" w:cs="Arial"/>
          <w:b/>
          <w:sz w:val="21"/>
          <w:szCs w:val="21"/>
        </w:rPr>
        <w:t>11.80</w:t>
      </w:r>
      <w:r w:rsidR="00A22434">
        <w:rPr>
          <w:rFonts w:asciiTheme="minorHAnsi" w:hAnsiTheme="minorHAnsi" w:cs="Arial"/>
          <w:sz w:val="21"/>
          <w:szCs w:val="21"/>
        </w:rPr>
        <w:t xml:space="preserve">). </w:t>
      </w:r>
      <w:r w:rsidR="00932532">
        <w:rPr>
          <w:rFonts w:asciiTheme="minorHAnsi" w:hAnsiTheme="minorHAnsi" w:cs="Arial"/>
          <w:sz w:val="21"/>
          <w:szCs w:val="21"/>
        </w:rPr>
        <w:t xml:space="preserve">As in </w:t>
      </w:r>
      <w:r w:rsidR="00932532">
        <w:rPr>
          <w:rFonts w:asciiTheme="minorHAnsi" w:hAnsiTheme="minorHAnsi" w:cs="Arial"/>
          <w:i/>
          <w:sz w:val="21"/>
          <w:szCs w:val="21"/>
        </w:rPr>
        <w:t>Flegg</w:t>
      </w:r>
      <w:r w:rsidR="00932532">
        <w:rPr>
          <w:rFonts w:asciiTheme="minorHAnsi" w:hAnsiTheme="minorHAnsi" w:cs="Arial"/>
          <w:sz w:val="21"/>
          <w:szCs w:val="21"/>
        </w:rPr>
        <w:t>, it</w:t>
      </w:r>
      <w:r w:rsidR="00A22434">
        <w:rPr>
          <w:rFonts w:asciiTheme="minorHAnsi" w:hAnsiTheme="minorHAnsi" w:cs="Arial"/>
          <w:sz w:val="21"/>
          <w:szCs w:val="21"/>
        </w:rPr>
        <w:t>s most frequent use</w:t>
      </w:r>
      <w:r w:rsidR="00932532">
        <w:rPr>
          <w:rFonts w:asciiTheme="minorHAnsi" w:hAnsiTheme="minorHAnsi" w:cs="Arial"/>
          <w:sz w:val="21"/>
          <w:szCs w:val="21"/>
        </w:rPr>
        <w:t xml:space="preserve"> in land law</w:t>
      </w:r>
      <w:r w:rsidR="00A22434">
        <w:rPr>
          <w:rFonts w:asciiTheme="minorHAnsi" w:hAnsiTheme="minorHAnsi" w:cs="Arial"/>
          <w:sz w:val="21"/>
          <w:szCs w:val="21"/>
        </w:rPr>
        <w:t xml:space="preserve"> is where A1 and A2 hold a legal estate in land on trust for B, and C then buys the land, or gives money to A1 and A2 as part of a mortgage loan. In such a case, </w:t>
      </w:r>
      <w:r w:rsidR="0031535A">
        <w:rPr>
          <w:rFonts w:asciiTheme="minorHAnsi" w:hAnsiTheme="minorHAnsi" w:cs="Arial"/>
          <w:sz w:val="21"/>
          <w:szCs w:val="21"/>
        </w:rPr>
        <w:t xml:space="preserve">if overreaching occurs, </w:t>
      </w:r>
      <w:r w:rsidR="00A22434">
        <w:rPr>
          <w:rFonts w:asciiTheme="minorHAnsi" w:hAnsiTheme="minorHAnsi" w:cs="Arial"/>
          <w:sz w:val="21"/>
          <w:szCs w:val="21"/>
        </w:rPr>
        <w:t xml:space="preserve">B can claim an equitable </w:t>
      </w:r>
      <w:r w:rsidR="00A22434">
        <w:rPr>
          <w:rFonts w:asciiTheme="minorHAnsi" w:hAnsiTheme="minorHAnsi" w:cs="Arial"/>
          <w:sz w:val="21"/>
          <w:szCs w:val="21"/>
        </w:rPr>
        <w:lastRenderedPageBreak/>
        <w:t xml:space="preserve">interest in relation to the money paid by C to A1 and A2, but B can no longer </w:t>
      </w:r>
      <w:r w:rsidR="007D2BEA">
        <w:rPr>
          <w:rFonts w:asciiTheme="minorHAnsi" w:hAnsiTheme="minorHAnsi" w:cs="Arial"/>
          <w:sz w:val="21"/>
          <w:szCs w:val="21"/>
        </w:rPr>
        <w:t>claim an equi</w:t>
      </w:r>
      <w:r w:rsidR="00932532">
        <w:rPr>
          <w:rFonts w:asciiTheme="minorHAnsi" w:hAnsiTheme="minorHAnsi" w:cs="Arial"/>
          <w:sz w:val="21"/>
          <w:szCs w:val="21"/>
        </w:rPr>
        <w:t>t</w:t>
      </w:r>
      <w:r w:rsidR="007D2BEA">
        <w:rPr>
          <w:rFonts w:asciiTheme="minorHAnsi" w:hAnsiTheme="minorHAnsi" w:cs="Arial"/>
          <w:sz w:val="21"/>
          <w:szCs w:val="21"/>
        </w:rPr>
        <w:t xml:space="preserve">able interest </w:t>
      </w:r>
      <w:r w:rsidR="00A22434">
        <w:rPr>
          <w:rFonts w:asciiTheme="minorHAnsi" w:hAnsiTheme="minorHAnsi" w:cs="Arial"/>
          <w:sz w:val="21"/>
          <w:szCs w:val="21"/>
        </w:rPr>
        <w:t>in relation to the land itself.</w:t>
      </w:r>
    </w:p>
    <w:p w14:paraId="4786B739" w14:textId="77777777" w:rsidR="006B5CAC" w:rsidRDefault="006B5CAC" w:rsidP="005207F5">
      <w:pPr>
        <w:spacing w:after="0" w:line="240" w:lineRule="auto"/>
        <w:jc w:val="both"/>
        <w:rPr>
          <w:rFonts w:asciiTheme="minorHAnsi" w:hAnsiTheme="minorHAnsi" w:cs="Arial"/>
          <w:b/>
          <w:sz w:val="21"/>
          <w:szCs w:val="21"/>
        </w:rPr>
      </w:pPr>
    </w:p>
    <w:p w14:paraId="3B1040BC" w14:textId="646F62AB" w:rsidR="006B5CAC" w:rsidRDefault="00795A73" w:rsidP="005207F5">
      <w:pPr>
        <w:spacing w:after="0" w:line="240" w:lineRule="auto"/>
        <w:jc w:val="both"/>
        <w:rPr>
          <w:rFonts w:asciiTheme="minorHAnsi" w:hAnsiTheme="minorHAnsi" w:cs="Arial"/>
          <w:b/>
          <w:sz w:val="21"/>
          <w:szCs w:val="21"/>
        </w:rPr>
      </w:pPr>
      <w:r>
        <w:rPr>
          <w:rFonts w:asciiTheme="minorHAnsi" w:hAnsiTheme="minorHAnsi" w:cs="Arial"/>
          <w:b/>
          <w:sz w:val="21"/>
          <w:szCs w:val="21"/>
        </w:rPr>
        <w:t xml:space="preserve">Question 6: In </w:t>
      </w:r>
      <w:r w:rsidR="002F7E37">
        <w:rPr>
          <w:rFonts w:asciiTheme="minorHAnsi" w:hAnsiTheme="minorHAnsi" w:cs="Arial"/>
          <w:b/>
          <w:sz w:val="21"/>
          <w:szCs w:val="21"/>
        </w:rPr>
        <w:t>each of the following circumstances, would B or C have priority?</w:t>
      </w:r>
    </w:p>
    <w:p w14:paraId="20291BE8" w14:textId="64204854" w:rsidR="002F7E37" w:rsidRDefault="002F7E37" w:rsidP="005207F5">
      <w:pPr>
        <w:spacing w:after="0" w:line="240" w:lineRule="auto"/>
        <w:jc w:val="both"/>
        <w:rPr>
          <w:rFonts w:asciiTheme="minorHAnsi" w:hAnsiTheme="minorHAnsi" w:cs="Arial"/>
          <w:b/>
          <w:sz w:val="21"/>
          <w:szCs w:val="21"/>
        </w:rPr>
      </w:pPr>
    </w:p>
    <w:p w14:paraId="4583AF6F" w14:textId="20FF6675" w:rsidR="002F7E37" w:rsidRDefault="002F7E37" w:rsidP="002F7E37">
      <w:pPr>
        <w:pStyle w:val="ListParagraph"/>
        <w:numPr>
          <w:ilvl w:val="0"/>
          <w:numId w:val="8"/>
        </w:numPr>
        <w:jc w:val="both"/>
        <w:rPr>
          <w:rFonts w:asciiTheme="minorHAnsi" w:hAnsiTheme="minorHAnsi" w:cs="Arial"/>
          <w:b/>
          <w:sz w:val="21"/>
          <w:szCs w:val="21"/>
        </w:rPr>
      </w:pPr>
      <w:r>
        <w:rPr>
          <w:rFonts w:asciiTheme="minorHAnsi" w:hAnsiTheme="minorHAnsi" w:cs="Arial"/>
          <w:b/>
          <w:sz w:val="21"/>
          <w:szCs w:val="21"/>
        </w:rPr>
        <w:t>A (a single trustee) holds legal title to a home on trust for herself and for B, her husband. A and B are both living in the house when A uses title as security for a loan obtained from a bank, C. A defaults on the loan.</w:t>
      </w:r>
    </w:p>
    <w:p w14:paraId="010A63E9" w14:textId="76F30EA4" w:rsidR="002F7E37" w:rsidRDefault="002F7E37" w:rsidP="002F7E37">
      <w:pPr>
        <w:pStyle w:val="ListParagraph"/>
        <w:numPr>
          <w:ilvl w:val="0"/>
          <w:numId w:val="8"/>
        </w:numPr>
        <w:jc w:val="both"/>
        <w:rPr>
          <w:rFonts w:asciiTheme="minorHAnsi" w:hAnsiTheme="minorHAnsi" w:cs="Arial"/>
          <w:b/>
          <w:sz w:val="21"/>
          <w:szCs w:val="21"/>
        </w:rPr>
      </w:pPr>
      <w:r>
        <w:rPr>
          <w:rFonts w:asciiTheme="minorHAnsi" w:hAnsiTheme="minorHAnsi" w:cs="Arial"/>
          <w:b/>
          <w:sz w:val="21"/>
          <w:szCs w:val="21"/>
        </w:rPr>
        <w:t>A1 and A2 are joint registered proprietors of a home which they hold on trust for themselves and for B1 and B2. All four parties are living in the house when A1 and A2 use the title as security for a loan obtained from a bank, C. A1 and A2 default on the loan.</w:t>
      </w:r>
    </w:p>
    <w:p w14:paraId="6585B22C" w14:textId="724BE62B" w:rsidR="002F7E37" w:rsidRDefault="002F7E37" w:rsidP="002F7E37">
      <w:pPr>
        <w:jc w:val="both"/>
        <w:rPr>
          <w:rFonts w:asciiTheme="minorHAnsi" w:hAnsiTheme="minorHAnsi" w:cs="Arial"/>
          <w:b/>
          <w:sz w:val="21"/>
          <w:szCs w:val="21"/>
        </w:rPr>
      </w:pPr>
    </w:p>
    <w:p w14:paraId="64C9EF1D" w14:textId="5D729688" w:rsidR="00012A03" w:rsidRDefault="00012A03" w:rsidP="002F7E37">
      <w:pPr>
        <w:jc w:val="both"/>
        <w:rPr>
          <w:rFonts w:asciiTheme="minorHAnsi" w:hAnsiTheme="minorHAnsi" w:cs="Arial"/>
          <w:sz w:val="21"/>
          <w:szCs w:val="21"/>
        </w:rPr>
      </w:pPr>
      <w:r>
        <w:rPr>
          <w:rFonts w:asciiTheme="minorHAnsi" w:hAnsiTheme="minorHAnsi" w:cs="Arial"/>
          <w:sz w:val="21"/>
          <w:szCs w:val="21"/>
        </w:rPr>
        <w:t xml:space="preserve">As for (a), on the facts given here, it seems that B would have priority. We will assume we are dealing with registered land. As stated at </w:t>
      </w:r>
      <w:r>
        <w:rPr>
          <w:rFonts w:asciiTheme="minorHAnsi" w:hAnsiTheme="minorHAnsi" w:cs="Arial"/>
          <w:b/>
          <w:sz w:val="21"/>
          <w:szCs w:val="21"/>
        </w:rPr>
        <w:t>11.8</w:t>
      </w:r>
      <w:r>
        <w:rPr>
          <w:rFonts w:asciiTheme="minorHAnsi" w:hAnsiTheme="minorHAnsi" w:cs="Arial"/>
          <w:sz w:val="21"/>
          <w:szCs w:val="21"/>
        </w:rPr>
        <w:t>, the basic rule, confirmed by s 28 of the LRA 2002, is that B’s property right will take priority as it arose first in time. So the question is whether C has a defence to B’s equitable interest. As the grant of the charge to C is a registrable disposition, s 29 of the LRA 2002 may protect C</w:t>
      </w:r>
      <w:r w:rsidR="000B5A13">
        <w:rPr>
          <w:rFonts w:asciiTheme="minorHAnsi" w:hAnsiTheme="minorHAnsi" w:cs="Arial"/>
          <w:sz w:val="21"/>
          <w:szCs w:val="21"/>
        </w:rPr>
        <w:t xml:space="preserve"> (see </w:t>
      </w:r>
      <w:r w:rsidR="000B5A13">
        <w:rPr>
          <w:rFonts w:asciiTheme="minorHAnsi" w:hAnsiTheme="minorHAnsi" w:cs="Arial"/>
          <w:b/>
          <w:sz w:val="21"/>
          <w:szCs w:val="21"/>
        </w:rPr>
        <w:t>11.9</w:t>
      </w:r>
      <w:r w:rsidR="000B5A13">
        <w:rPr>
          <w:rFonts w:asciiTheme="minorHAnsi" w:hAnsiTheme="minorHAnsi" w:cs="Arial"/>
          <w:sz w:val="21"/>
          <w:szCs w:val="21"/>
        </w:rPr>
        <w:t>)</w:t>
      </w:r>
      <w:r>
        <w:rPr>
          <w:rFonts w:asciiTheme="minorHAnsi" w:hAnsiTheme="minorHAnsi" w:cs="Arial"/>
          <w:sz w:val="21"/>
          <w:szCs w:val="21"/>
        </w:rPr>
        <w:t xml:space="preserve">, but the lack of registration defence it provides is not available if B has an overriding interest (see </w:t>
      </w:r>
      <w:r>
        <w:rPr>
          <w:rFonts w:asciiTheme="minorHAnsi" w:hAnsiTheme="minorHAnsi" w:cs="Arial"/>
          <w:b/>
          <w:sz w:val="21"/>
          <w:szCs w:val="21"/>
        </w:rPr>
        <w:t>11.</w:t>
      </w:r>
      <w:r w:rsidR="000B5A13">
        <w:rPr>
          <w:rFonts w:asciiTheme="minorHAnsi" w:hAnsiTheme="minorHAnsi" w:cs="Arial"/>
          <w:b/>
          <w:sz w:val="21"/>
          <w:szCs w:val="21"/>
        </w:rPr>
        <w:t>34-11.36</w:t>
      </w:r>
      <w:r>
        <w:rPr>
          <w:rFonts w:asciiTheme="minorHAnsi" w:hAnsiTheme="minorHAnsi" w:cs="Arial"/>
          <w:sz w:val="21"/>
          <w:szCs w:val="21"/>
        </w:rPr>
        <w:t>)</w:t>
      </w:r>
      <w:r w:rsidR="0031535A">
        <w:rPr>
          <w:rFonts w:asciiTheme="minorHAnsi" w:hAnsiTheme="minorHAnsi" w:cs="Arial"/>
          <w:sz w:val="21"/>
          <w:szCs w:val="21"/>
        </w:rPr>
        <w:t>.</w:t>
      </w:r>
      <w:r>
        <w:rPr>
          <w:rFonts w:asciiTheme="minorHAnsi" w:hAnsiTheme="minorHAnsi" w:cs="Arial"/>
          <w:sz w:val="21"/>
          <w:szCs w:val="21"/>
        </w:rPr>
        <w:t xml:space="preserve"> As B has an equitable interest, and is in actual occupation of the land, then B does have an overriding interest under Sch 3, para 2 of the LRA 2002 (see </w:t>
      </w:r>
      <w:r>
        <w:rPr>
          <w:rFonts w:asciiTheme="minorHAnsi" w:hAnsiTheme="minorHAnsi" w:cs="Arial"/>
          <w:b/>
          <w:sz w:val="21"/>
          <w:szCs w:val="21"/>
        </w:rPr>
        <w:t>11.</w:t>
      </w:r>
      <w:r w:rsidR="000B5A13">
        <w:rPr>
          <w:rFonts w:asciiTheme="minorHAnsi" w:hAnsiTheme="minorHAnsi" w:cs="Arial"/>
          <w:b/>
          <w:sz w:val="21"/>
          <w:szCs w:val="21"/>
        </w:rPr>
        <w:t>37-11.40</w:t>
      </w:r>
      <w:r>
        <w:rPr>
          <w:rFonts w:asciiTheme="minorHAnsi" w:hAnsiTheme="minorHAnsi" w:cs="Arial"/>
          <w:sz w:val="21"/>
          <w:szCs w:val="21"/>
        </w:rPr>
        <w:t xml:space="preserve">). If this is also a standard mortgage loan, where money is advanced to A by the bank, then the overreaching defence cannot apply either, as the capital money has been paid only to A, and so the requirement for payment to at least two trustees or a trust corporation, set out by s 27 of the LPA 1925, has not been met. The case is thus effectively identical to </w:t>
      </w:r>
      <w:r>
        <w:rPr>
          <w:rFonts w:asciiTheme="minorHAnsi" w:hAnsiTheme="minorHAnsi" w:cs="Arial"/>
          <w:i/>
          <w:sz w:val="21"/>
          <w:szCs w:val="21"/>
        </w:rPr>
        <w:t xml:space="preserve">Williams and Glyn’s Bank v Boland </w:t>
      </w:r>
      <w:r>
        <w:rPr>
          <w:rFonts w:asciiTheme="minorHAnsi" w:hAnsiTheme="minorHAnsi" w:cs="Arial"/>
          <w:sz w:val="21"/>
          <w:szCs w:val="21"/>
        </w:rPr>
        <w:t xml:space="preserve">(1981) (see </w:t>
      </w:r>
      <w:r w:rsidR="000B5A13">
        <w:rPr>
          <w:rFonts w:asciiTheme="minorHAnsi" w:hAnsiTheme="minorHAnsi" w:cs="Arial"/>
          <w:b/>
          <w:sz w:val="21"/>
          <w:szCs w:val="21"/>
        </w:rPr>
        <w:t>11.44</w:t>
      </w:r>
      <w:r>
        <w:rPr>
          <w:rFonts w:asciiTheme="minorHAnsi" w:hAnsiTheme="minorHAnsi" w:cs="Arial"/>
          <w:sz w:val="21"/>
          <w:szCs w:val="21"/>
        </w:rPr>
        <w:t>), where B’s right took priority.</w:t>
      </w:r>
    </w:p>
    <w:p w14:paraId="1AAAF110" w14:textId="158567CB" w:rsidR="00AD5138" w:rsidRPr="00012A03" w:rsidRDefault="00012A03" w:rsidP="002F7E37">
      <w:pPr>
        <w:jc w:val="both"/>
        <w:rPr>
          <w:rFonts w:asciiTheme="minorHAnsi" w:hAnsiTheme="minorHAnsi" w:cs="Arial"/>
          <w:sz w:val="21"/>
          <w:szCs w:val="21"/>
        </w:rPr>
      </w:pPr>
      <w:r>
        <w:rPr>
          <w:rFonts w:asciiTheme="minorHAnsi" w:hAnsiTheme="minorHAnsi" w:cs="Arial"/>
          <w:sz w:val="21"/>
          <w:szCs w:val="21"/>
        </w:rPr>
        <w:t xml:space="preserve">As for (b), on the facts given here, it seems that C would have priority. The difference is that, assuming this is a standard mortgage loan (see further Q7 below), where money is advanced to A1 and A2 by the bank, then the overreaching defence </w:t>
      </w:r>
      <w:r>
        <w:rPr>
          <w:rFonts w:asciiTheme="minorHAnsi" w:hAnsiTheme="minorHAnsi" w:cs="Arial"/>
          <w:i/>
          <w:sz w:val="21"/>
          <w:szCs w:val="21"/>
        </w:rPr>
        <w:t>can</w:t>
      </w:r>
      <w:r>
        <w:rPr>
          <w:rFonts w:asciiTheme="minorHAnsi" w:hAnsiTheme="minorHAnsi" w:cs="Arial"/>
          <w:sz w:val="21"/>
          <w:szCs w:val="21"/>
        </w:rPr>
        <w:t xml:space="preserve"> apply, as the capital money has been paid to at least two trustees. It makes no difference that B1 and B2 are in actual occupation of the land, as shown by the result in </w:t>
      </w:r>
      <w:r>
        <w:rPr>
          <w:rFonts w:asciiTheme="minorHAnsi" w:hAnsiTheme="minorHAnsi" w:cs="Arial"/>
          <w:i/>
          <w:sz w:val="21"/>
          <w:szCs w:val="21"/>
        </w:rPr>
        <w:t xml:space="preserve">City of London Building Society v Flegg </w:t>
      </w:r>
      <w:r>
        <w:rPr>
          <w:rFonts w:asciiTheme="minorHAnsi" w:hAnsiTheme="minorHAnsi" w:cs="Arial"/>
          <w:sz w:val="21"/>
          <w:szCs w:val="21"/>
        </w:rPr>
        <w:t>(1988) (</w:t>
      </w:r>
      <w:r>
        <w:rPr>
          <w:rFonts w:asciiTheme="minorHAnsi" w:hAnsiTheme="minorHAnsi" w:cs="Arial"/>
          <w:b/>
          <w:sz w:val="21"/>
          <w:szCs w:val="21"/>
        </w:rPr>
        <w:t>11.80</w:t>
      </w:r>
      <w:r>
        <w:rPr>
          <w:rFonts w:asciiTheme="minorHAnsi" w:hAnsiTheme="minorHAnsi" w:cs="Arial"/>
          <w:sz w:val="21"/>
          <w:szCs w:val="21"/>
        </w:rPr>
        <w:t xml:space="preserve">), to which this case is effectively identical.  </w:t>
      </w:r>
    </w:p>
    <w:p w14:paraId="2B3C3A5B" w14:textId="5A0CDD46" w:rsidR="002F7E37" w:rsidRDefault="002F7E37" w:rsidP="002F7E37">
      <w:pPr>
        <w:jc w:val="both"/>
        <w:rPr>
          <w:rFonts w:asciiTheme="minorHAnsi" w:hAnsiTheme="minorHAnsi" w:cs="Arial"/>
          <w:b/>
          <w:sz w:val="21"/>
          <w:szCs w:val="21"/>
        </w:rPr>
      </w:pPr>
      <w:r>
        <w:rPr>
          <w:rFonts w:asciiTheme="minorHAnsi" w:hAnsiTheme="minorHAnsi" w:cs="Arial"/>
          <w:b/>
          <w:sz w:val="21"/>
          <w:szCs w:val="21"/>
        </w:rPr>
        <w:t>Question 7: In relation to 6(</w:t>
      </w:r>
      <w:r w:rsidR="00012A03">
        <w:rPr>
          <w:rFonts w:asciiTheme="minorHAnsi" w:hAnsiTheme="minorHAnsi" w:cs="Arial"/>
          <w:b/>
          <w:sz w:val="21"/>
          <w:szCs w:val="21"/>
        </w:rPr>
        <w:t>b</w:t>
      </w:r>
      <w:r>
        <w:rPr>
          <w:rFonts w:asciiTheme="minorHAnsi" w:hAnsiTheme="minorHAnsi" w:cs="Arial"/>
          <w:b/>
          <w:sz w:val="21"/>
          <w:szCs w:val="21"/>
        </w:rPr>
        <w:t>) above, consider the following:</w:t>
      </w:r>
    </w:p>
    <w:p w14:paraId="2866C4BA" w14:textId="1E98020F" w:rsidR="002F7E37" w:rsidRDefault="002F7E37" w:rsidP="002F7E37">
      <w:pPr>
        <w:pStyle w:val="ListParagraph"/>
        <w:numPr>
          <w:ilvl w:val="0"/>
          <w:numId w:val="10"/>
        </w:numPr>
        <w:jc w:val="both"/>
        <w:rPr>
          <w:rFonts w:asciiTheme="minorHAnsi" w:hAnsiTheme="minorHAnsi" w:cs="Arial"/>
          <w:b/>
          <w:sz w:val="21"/>
          <w:szCs w:val="21"/>
        </w:rPr>
      </w:pPr>
      <w:r>
        <w:rPr>
          <w:rFonts w:asciiTheme="minorHAnsi" w:hAnsiTheme="minorHAnsi" w:cs="Arial"/>
          <w:b/>
          <w:sz w:val="21"/>
          <w:szCs w:val="21"/>
        </w:rPr>
        <w:t>Would it make any difference to your answer if A1 and A2 were not paid any purchase money at the time of the mortgage, but were instead granted an overdraft facility? Over the next year, A1 and A2 became overdrawn to £500,000 at which point C sought to enforce the security</w:t>
      </w:r>
      <w:r w:rsidR="009B6139">
        <w:rPr>
          <w:rFonts w:asciiTheme="minorHAnsi" w:hAnsiTheme="minorHAnsi" w:cs="Arial"/>
          <w:b/>
          <w:sz w:val="21"/>
          <w:szCs w:val="21"/>
        </w:rPr>
        <w:t>.</w:t>
      </w:r>
    </w:p>
    <w:p w14:paraId="77176EDF" w14:textId="77777777" w:rsidR="002F7E37" w:rsidRDefault="002F7E37" w:rsidP="002F7E37">
      <w:pPr>
        <w:pStyle w:val="ListParagraph"/>
        <w:ind w:left="1080"/>
        <w:jc w:val="both"/>
        <w:rPr>
          <w:rFonts w:asciiTheme="minorHAnsi" w:hAnsiTheme="minorHAnsi" w:cs="Arial"/>
          <w:b/>
          <w:sz w:val="21"/>
          <w:szCs w:val="21"/>
        </w:rPr>
      </w:pPr>
    </w:p>
    <w:p w14:paraId="7F831588" w14:textId="66A7D417" w:rsidR="002F7E37" w:rsidRDefault="002F7E37" w:rsidP="002F7E37">
      <w:pPr>
        <w:pStyle w:val="ListParagraph"/>
        <w:numPr>
          <w:ilvl w:val="0"/>
          <w:numId w:val="10"/>
        </w:numPr>
        <w:jc w:val="both"/>
        <w:rPr>
          <w:rFonts w:asciiTheme="minorHAnsi" w:hAnsiTheme="minorHAnsi" w:cs="Arial"/>
          <w:b/>
          <w:sz w:val="21"/>
          <w:szCs w:val="21"/>
        </w:rPr>
      </w:pPr>
      <w:r>
        <w:rPr>
          <w:rFonts w:asciiTheme="minorHAnsi" w:hAnsiTheme="minorHAnsi" w:cs="Arial"/>
          <w:b/>
          <w:sz w:val="21"/>
          <w:szCs w:val="21"/>
        </w:rPr>
        <w:t>Would it make any difference to your answer if A1 and A2 did not have power to mortgage, so the grant of the mortgage by them was an ultra vires breach of trust?</w:t>
      </w:r>
    </w:p>
    <w:p w14:paraId="0D8226F0" w14:textId="77777777" w:rsidR="002F7E37" w:rsidRPr="002F7E37" w:rsidRDefault="002F7E37" w:rsidP="002F7E37">
      <w:pPr>
        <w:pStyle w:val="ListParagraph"/>
        <w:rPr>
          <w:rFonts w:asciiTheme="minorHAnsi" w:hAnsiTheme="minorHAnsi" w:cs="Arial"/>
          <w:b/>
          <w:sz w:val="21"/>
          <w:szCs w:val="21"/>
        </w:rPr>
      </w:pPr>
    </w:p>
    <w:p w14:paraId="4F80712A" w14:textId="18841134" w:rsidR="002F7E37" w:rsidRPr="002F7E37" w:rsidRDefault="002F7E37" w:rsidP="002F7E37">
      <w:pPr>
        <w:pStyle w:val="ListParagraph"/>
        <w:numPr>
          <w:ilvl w:val="0"/>
          <w:numId w:val="10"/>
        </w:numPr>
        <w:jc w:val="both"/>
        <w:rPr>
          <w:rFonts w:asciiTheme="minorHAnsi" w:hAnsiTheme="minorHAnsi" w:cs="Arial"/>
          <w:b/>
          <w:sz w:val="21"/>
          <w:szCs w:val="21"/>
        </w:rPr>
      </w:pPr>
      <w:r>
        <w:rPr>
          <w:rFonts w:asciiTheme="minorHAnsi" w:hAnsiTheme="minorHAnsi" w:cs="Arial"/>
          <w:b/>
          <w:sz w:val="21"/>
          <w:szCs w:val="21"/>
        </w:rPr>
        <w:t>What courses of action, if any, might B have against C?</w:t>
      </w:r>
    </w:p>
    <w:p w14:paraId="54CAC8F5" w14:textId="6765CBFB" w:rsidR="002F7E37" w:rsidRDefault="002F7E37" w:rsidP="002F7E37">
      <w:pPr>
        <w:jc w:val="both"/>
        <w:rPr>
          <w:rFonts w:asciiTheme="minorHAnsi" w:hAnsiTheme="minorHAnsi" w:cs="Arial"/>
          <w:b/>
          <w:sz w:val="21"/>
          <w:szCs w:val="21"/>
        </w:rPr>
      </w:pPr>
    </w:p>
    <w:p w14:paraId="474F3978" w14:textId="6AD8AC7A" w:rsidR="00012A03" w:rsidRDefault="009B6139" w:rsidP="002F7E37">
      <w:pPr>
        <w:jc w:val="both"/>
        <w:rPr>
          <w:rFonts w:asciiTheme="minorHAnsi" w:hAnsiTheme="minorHAnsi" w:cs="Arial"/>
          <w:sz w:val="21"/>
          <w:szCs w:val="21"/>
        </w:rPr>
      </w:pPr>
      <w:r>
        <w:rPr>
          <w:rFonts w:asciiTheme="minorHAnsi" w:hAnsiTheme="minorHAnsi" w:cs="Arial"/>
          <w:sz w:val="21"/>
          <w:szCs w:val="21"/>
        </w:rPr>
        <w:t>As for Question 7(a), w</w:t>
      </w:r>
      <w:r w:rsidR="00012A03">
        <w:rPr>
          <w:rFonts w:asciiTheme="minorHAnsi" w:hAnsiTheme="minorHAnsi" w:cs="Arial"/>
          <w:sz w:val="21"/>
          <w:szCs w:val="21"/>
        </w:rPr>
        <w:t xml:space="preserve">e saw in answer to Question 6(b) above that C would be able to use the overreaching defence to take priority if there was a standard mortgage transaction. On the facts of Question 7(a), no capital money is paid initially, and so there is no payment to at least two trustees. This does not however prevent overreaching occurring. The requirement of s 27 of the LPA 1925 is that, </w:t>
      </w:r>
      <w:r w:rsidR="00012A03">
        <w:rPr>
          <w:rFonts w:asciiTheme="minorHAnsi" w:hAnsiTheme="minorHAnsi" w:cs="Arial"/>
          <w:i/>
          <w:sz w:val="21"/>
          <w:szCs w:val="21"/>
        </w:rPr>
        <w:t xml:space="preserve">if </w:t>
      </w:r>
      <w:r w:rsidR="00012A03">
        <w:rPr>
          <w:rFonts w:asciiTheme="minorHAnsi" w:hAnsiTheme="minorHAnsi" w:cs="Arial"/>
          <w:sz w:val="21"/>
          <w:szCs w:val="21"/>
        </w:rPr>
        <w:t>capital money is paid, it must be paid to at least two trustees or a trust corporation: there is no requirement that capital money must be paid</w:t>
      </w:r>
      <w:r w:rsidR="000A6413">
        <w:rPr>
          <w:rFonts w:asciiTheme="minorHAnsi" w:hAnsiTheme="minorHAnsi" w:cs="Arial"/>
          <w:sz w:val="21"/>
          <w:szCs w:val="21"/>
        </w:rPr>
        <w:t xml:space="preserve"> (see </w:t>
      </w:r>
      <w:r w:rsidR="000A6413">
        <w:rPr>
          <w:rFonts w:asciiTheme="minorHAnsi" w:hAnsiTheme="minorHAnsi" w:cs="Arial"/>
          <w:i/>
          <w:sz w:val="21"/>
          <w:szCs w:val="21"/>
        </w:rPr>
        <w:t xml:space="preserve">State Bank of India v Sood </w:t>
      </w:r>
      <w:r w:rsidR="000A6413">
        <w:rPr>
          <w:rFonts w:asciiTheme="minorHAnsi" w:hAnsiTheme="minorHAnsi" w:cs="Arial"/>
          <w:sz w:val="21"/>
          <w:szCs w:val="21"/>
        </w:rPr>
        <w:t>(1997) (</w:t>
      </w:r>
      <w:r w:rsidR="000A6413">
        <w:rPr>
          <w:rFonts w:asciiTheme="minorHAnsi" w:hAnsiTheme="minorHAnsi" w:cs="Arial"/>
          <w:b/>
          <w:sz w:val="21"/>
          <w:szCs w:val="21"/>
        </w:rPr>
        <w:t>11.77</w:t>
      </w:r>
      <w:r w:rsidR="000A6413">
        <w:rPr>
          <w:rFonts w:asciiTheme="minorHAnsi" w:hAnsiTheme="minorHAnsi" w:cs="Arial"/>
          <w:sz w:val="21"/>
          <w:szCs w:val="21"/>
        </w:rPr>
        <w:t>)</w:t>
      </w:r>
      <w:r w:rsidR="00012A03">
        <w:rPr>
          <w:rFonts w:asciiTheme="minorHAnsi" w:hAnsiTheme="minorHAnsi" w:cs="Arial"/>
          <w:sz w:val="21"/>
          <w:szCs w:val="21"/>
        </w:rPr>
        <w:t xml:space="preserve">. There is a requirement that C provide </w:t>
      </w:r>
      <w:r w:rsidR="000A6413">
        <w:rPr>
          <w:rFonts w:asciiTheme="minorHAnsi" w:hAnsiTheme="minorHAnsi" w:cs="Arial"/>
          <w:sz w:val="21"/>
          <w:szCs w:val="21"/>
        </w:rPr>
        <w:t xml:space="preserve">valuable </w:t>
      </w:r>
      <w:r w:rsidR="00012A03">
        <w:rPr>
          <w:rFonts w:asciiTheme="minorHAnsi" w:hAnsiTheme="minorHAnsi" w:cs="Arial"/>
          <w:sz w:val="21"/>
          <w:szCs w:val="21"/>
        </w:rPr>
        <w:t>consideration (see s 2</w:t>
      </w:r>
      <w:r w:rsidR="000A6413">
        <w:rPr>
          <w:rFonts w:asciiTheme="minorHAnsi" w:hAnsiTheme="minorHAnsi" w:cs="Arial"/>
          <w:sz w:val="21"/>
          <w:szCs w:val="21"/>
        </w:rPr>
        <w:t>(1)</w:t>
      </w:r>
      <w:r w:rsidR="00012A03">
        <w:rPr>
          <w:rFonts w:asciiTheme="minorHAnsi" w:hAnsiTheme="minorHAnsi" w:cs="Arial"/>
          <w:sz w:val="21"/>
          <w:szCs w:val="21"/>
        </w:rPr>
        <w:t xml:space="preserve"> of the LPA 1925) but this is met by provision of the overdraft facility. </w:t>
      </w:r>
    </w:p>
    <w:p w14:paraId="1FC9DEB5" w14:textId="658ABC1A" w:rsidR="000A6413" w:rsidRPr="001E583F" w:rsidRDefault="000A6413" w:rsidP="002F7E37">
      <w:pPr>
        <w:jc w:val="both"/>
        <w:rPr>
          <w:rFonts w:asciiTheme="minorHAnsi" w:hAnsiTheme="minorHAnsi" w:cs="Arial"/>
          <w:sz w:val="21"/>
          <w:szCs w:val="21"/>
        </w:rPr>
      </w:pPr>
      <w:r>
        <w:rPr>
          <w:rFonts w:asciiTheme="minorHAnsi" w:hAnsiTheme="minorHAnsi" w:cs="Arial"/>
          <w:sz w:val="21"/>
          <w:szCs w:val="21"/>
        </w:rPr>
        <w:lastRenderedPageBreak/>
        <w:t>As</w:t>
      </w:r>
      <w:r w:rsidR="000B5A13">
        <w:rPr>
          <w:rFonts w:asciiTheme="minorHAnsi" w:hAnsiTheme="minorHAnsi" w:cs="Arial"/>
          <w:sz w:val="21"/>
          <w:szCs w:val="21"/>
        </w:rPr>
        <w:t xml:space="preserve"> for Question 7(b), as </w:t>
      </w:r>
      <w:r>
        <w:rPr>
          <w:rFonts w:asciiTheme="minorHAnsi" w:hAnsiTheme="minorHAnsi" w:cs="Arial"/>
          <w:sz w:val="21"/>
          <w:szCs w:val="21"/>
        </w:rPr>
        <w:t xml:space="preserve">noted at </w:t>
      </w:r>
      <w:r>
        <w:rPr>
          <w:rFonts w:asciiTheme="minorHAnsi" w:hAnsiTheme="minorHAnsi" w:cs="Arial"/>
          <w:b/>
          <w:sz w:val="21"/>
          <w:szCs w:val="21"/>
        </w:rPr>
        <w:t>11.84</w:t>
      </w:r>
      <w:r>
        <w:rPr>
          <w:rFonts w:asciiTheme="minorHAnsi" w:hAnsiTheme="minorHAnsi" w:cs="Arial"/>
          <w:sz w:val="21"/>
          <w:szCs w:val="21"/>
        </w:rPr>
        <w:t xml:space="preserve">, as the overreaching defence is ultimately based on A (or A1 and A2, etc) exercising a power to give C a right free from B’s pre-existing property right, if A1 and A2 truly have no power to confer a charge on C, overreaching cannot take place. In relation to registered land, however, s 23 of the LRA 2002 gives A1 and A2 a wide set of owner’s powers, and a limit on those powers can affect C only if it is entered on the register as a restriction (see </w:t>
      </w:r>
      <w:r>
        <w:rPr>
          <w:rFonts w:asciiTheme="minorHAnsi" w:hAnsiTheme="minorHAnsi" w:cs="Arial"/>
          <w:b/>
          <w:sz w:val="21"/>
          <w:szCs w:val="21"/>
        </w:rPr>
        <w:t>11.</w:t>
      </w:r>
      <w:r w:rsidR="000B5A13">
        <w:rPr>
          <w:rFonts w:asciiTheme="minorHAnsi" w:hAnsiTheme="minorHAnsi" w:cs="Arial"/>
          <w:b/>
          <w:sz w:val="21"/>
          <w:szCs w:val="21"/>
        </w:rPr>
        <w:t>23-11.26</w:t>
      </w:r>
      <w:r>
        <w:rPr>
          <w:rFonts w:asciiTheme="minorHAnsi" w:hAnsiTheme="minorHAnsi" w:cs="Arial"/>
          <w:sz w:val="21"/>
          <w:szCs w:val="21"/>
        </w:rPr>
        <w:t xml:space="preserve">). So, if there were to be a limit on the powers of A1 and A2 to create a charge (such as eg the need for consent from X before the charge is granted), then it would have to be entered on the register as a restriction to make a difference to C. </w:t>
      </w:r>
      <w:r w:rsidR="001E583F">
        <w:rPr>
          <w:rFonts w:asciiTheme="minorHAnsi" w:hAnsiTheme="minorHAnsi" w:cs="Arial"/>
          <w:sz w:val="21"/>
          <w:szCs w:val="21"/>
        </w:rPr>
        <w:t xml:space="preserve">As noted at </w:t>
      </w:r>
      <w:r w:rsidR="001E583F">
        <w:rPr>
          <w:rFonts w:asciiTheme="minorHAnsi" w:hAnsiTheme="minorHAnsi" w:cs="Arial"/>
          <w:b/>
          <w:sz w:val="21"/>
          <w:szCs w:val="21"/>
        </w:rPr>
        <w:t>11.85</w:t>
      </w:r>
      <w:r w:rsidR="001E583F">
        <w:rPr>
          <w:rFonts w:asciiTheme="minorHAnsi" w:hAnsiTheme="minorHAnsi" w:cs="Arial"/>
          <w:sz w:val="21"/>
          <w:szCs w:val="21"/>
        </w:rPr>
        <w:t>, the argument has been made that s 6(6) of the Trusts of Land and Appointment of Trustees Act</w:t>
      </w:r>
      <w:r w:rsidR="009B6139">
        <w:rPr>
          <w:rFonts w:asciiTheme="minorHAnsi" w:hAnsiTheme="minorHAnsi" w:cs="Arial"/>
          <w:sz w:val="21"/>
          <w:szCs w:val="21"/>
        </w:rPr>
        <w:t xml:space="preserve"> 1996 </w:t>
      </w:r>
      <w:r w:rsidR="001E583F">
        <w:rPr>
          <w:rFonts w:asciiTheme="minorHAnsi" w:hAnsiTheme="minorHAnsi" w:cs="Arial"/>
          <w:sz w:val="21"/>
          <w:szCs w:val="21"/>
        </w:rPr>
        <w:t xml:space="preserve">limits the power of trustees to make a disposition </w:t>
      </w:r>
      <w:r w:rsidR="009B6139">
        <w:rPr>
          <w:rFonts w:asciiTheme="minorHAnsi" w:hAnsiTheme="minorHAnsi" w:cs="Arial"/>
          <w:sz w:val="21"/>
          <w:szCs w:val="21"/>
        </w:rPr>
        <w:t>that is also a</w:t>
      </w:r>
      <w:r w:rsidR="001E583F">
        <w:rPr>
          <w:rFonts w:asciiTheme="minorHAnsi" w:hAnsiTheme="minorHAnsi" w:cs="Arial"/>
          <w:sz w:val="21"/>
          <w:szCs w:val="21"/>
        </w:rPr>
        <w:t xml:space="preserve"> breach of </w:t>
      </w:r>
      <w:r w:rsidR="009B6139">
        <w:rPr>
          <w:rFonts w:asciiTheme="minorHAnsi" w:hAnsiTheme="minorHAnsi" w:cs="Arial"/>
          <w:sz w:val="21"/>
          <w:szCs w:val="21"/>
        </w:rPr>
        <w:t xml:space="preserve">a </w:t>
      </w:r>
      <w:r w:rsidR="001E583F">
        <w:rPr>
          <w:rFonts w:asciiTheme="minorHAnsi" w:hAnsiTheme="minorHAnsi" w:cs="Arial"/>
          <w:sz w:val="21"/>
          <w:szCs w:val="21"/>
        </w:rPr>
        <w:t>duty</w:t>
      </w:r>
      <w:r w:rsidR="009B6139">
        <w:rPr>
          <w:rFonts w:asciiTheme="minorHAnsi" w:hAnsiTheme="minorHAnsi" w:cs="Arial"/>
          <w:sz w:val="21"/>
          <w:szCs w:val="21"/>
        </w:rPr>
        <w:t xml:space="preserve"> owed to B1 and B2</w:t>
      </w:r>
      <w:r w:rsidR="000B5A13">
        <w:rPr>
          <w:rFonts w:asciiTheme="minorHAnsi" w:hAnsiTheme="minorHAnsi" w:cs="Arial"/>
          <w:sz w:val="21"/>
          <w:szCs w:val="21"/>
        </w:rPr>
        <w:t>. This would be surprising, however, and the Law Commission (2018) has recently recommended clarifying the law to put the point beyond doubt.</w:t>
      </w:r>
    </w:p>
    <w:p w14:paraId="3052DBD6" w14:textId="36948AAA" w:rsidR="000A6413" w:rsidRPr="000B5A13" w:rsidRDefault="000B5A13" w:rsidP="002F7E37">
      <w:pPr>
        <w:jc w:val="both"/>
        <w:rPr>
          <w:rFonts w:asciiTheme="minorHAnsi" w:hAnsiTheme="minorHAnsi" w:cs="Arial"/>
          <w:sz w:val="21"/>
          <w:szCs w:val="21"/>
        </w:rPr>
      </w:pPr>
      <w:r>
        <w:rPr>
          <w:rFonts w:asciiTheme="minorHAnsi" w:hAnsiTheme="minorHAnsi" w:cs="Arial"/>
          <w:sz w:val="21"/>
          <w:szCs w:val="21"/>
        </w:rPr>
        <w:t>As for Question 7(c), the operation of overreaching will give C priority over B1 and B2’s pre-existing beneficial interests. It does not, by itself, prevent B1 and B2 instead arguing that they have a different type of claim against C, for example based on a new, direct right against C (</w:t>
      </w:r>
      <w:r w:rsidR="009B6139">
        <w:rPr>
          <w:rFonts w:asciiTheme="minorHAnsi" w:hAnsiTheme="minorHAnsi" w:cs="Arial"/>
          <w:sz w:val="21"/>
          <w:szCs w:val="21"/>
        </w:rPr>
        <w:t>see</w:t>
      </w:r>
      <w:r>
        <w:rPr>
          <w:rFonts w:asciiTheme="minorHAnsi" w:hAnsiTheme="minorHAnsi" w:cs="Arial"/>
          <w:sz w:val="21"/>
          <w:szCs w:val="21"/>
        </w:rPr>
        <w:t xml:space="preserve"> </w:t>
      </w:r>
      <w:r>
        <w:rPr>
          <w:rFonts w:asciiTheme="minorHAnsi" w:hAnsiTheme="minorHAnsi" w:cs="Arial"/>
          <w:b/>
          <w:sz w:val="21"/>
          <w:szCs w:val="21"/>
        </w:rPr>
        <w:t>3.83-3.86</w:t>
      </w:r>
      <w:r>
        <w:rPr>
          <w:rFonts w:asciiTheme="minorHAnsi" w:hAnsiTheme="minorHAnsi" w:cs="Arial"/>
          <w:sz w:val="21"/>
          <w:szCs w:val="21"/>
        </w:rPr>
        <w:t xml:space="preserve">). As noted at </w:t>
      </w:r>
      <w:r>
        <w:rPr>
          <w:rFonts w:asciiTheme="minorHAnsi" w:hAnsiTheme="minorHAnsi" w:cs="Arial"/>
          <w:b/>
          <w:sz w:val="21"/>
          <w:szCs w:val="21"/>
        </w:rPr>
        <w:t>11.91</w:t>
      </w:r>
      <w:r>
        <w:rPr>
          <w:rFonts w:asciiTheme="minorHAnsi" w:hAnsiTheme="minorHAnsi" w:cs="Arial"/>
          <w:sz w:val="21"/>
          <w:szCs w:val="21"/>
        </w:rPr>
        <w:t>, however, it will only be in rare cases, for example involving fraud or the making of a promise by C, that C will act in such a way as to give rise to a new, direct right of B1 and B2.</w:t>
      </w:r>
    </w:p>
    <w:p w14:paraId="0B8E1FA6" w14:textId="6660DA9A" w:rsidR="002F7E37" w:rsidRDefault="002F7E37" w:rsidP="002F7E37">
      <w:pPr>
        <w:jc w:val="both"/>
        <w:rPr>
          <w:rFonts w:asciiTheme="minorHAnsi" w:hAnsiTheme="minorHAnsi" w:cs="Arial"/>
          <w:b/>
          <w:sz w:val="21"/>
          <w:szCs w:val="21"/>
        </w:rPr>
      </w:pPr>
    </w:p>
    <w:p w14:paraId="513B9A14" w14:textId="77777777" w:rsidR="00122D08" w:rsidRPr="002E5D50" w:rsidRDefault="00122D08" w:rsidP="002E5D50">
      <w:pPr>
        <w:pStyle w:val="PlainText"/>
        <w:spacing w:after="0" w:line="240" w:lineRule="auto"/>
        <w:jc w:val="both"/>
        <w:rPr>
          <w:rFonts w:asciiTheme="minorHAnsi" w:hAnsiTheme="minorHAnsi" w:cs="Arial"/>
          <w:sz w:val="21"/>
          <w:szCs w:val="21"/>
        </w:rPr>
      </w:pPr>
    </w:p>
    <w:sectPr w:rsidR="00122D08" w:rsidRPr="002E5D50" w:rsidSect="00695554">
      <w:headerReference w:type="default" r:id="rId7"/>
      <w:footerReference w:type="default" r:id="rId8"/>
      <w:pgSz w:w="11906" w:h="16838"/>
      <w:pgMar w:top="1440" w:right="1152" w:bottom="1560" w:left="1152"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3D2FD" w14:textId="77777777" w:rsidR="00A80211" w:rsidRDefault="00A80211">
      <w:r>
        <w:separator/>
      </w:r>
    </w:p>
  </w:endnote>
  <w:endnote w:type="continuationSeparator" w:id="0">
    <w:p w14:paraId="2996DD5B" w14:textId="77777777" w:rsidR="00A80211" w:rsidRDefault="00A8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E3FA" w14:textId="77777777" w:rsidR="008A7600" w:rsidRPr="002E5D50" w:rsidRDefault="002E5D50" w:rsidP="002E5D50">
    <w:pPr>
      <w:pStyle w:val="Footer"/>
      <w:jc w:val="right"/>
      <w:rPr>
        <w:rFonts w:asciiTheme="minorHAnsi" w:hAnsiTheme="minorHAnsi"/>
        <w:color w:val="808080"/>
        <w:sz w:val="20"/>
        <w:szCs w:val="20"/>
      </w:rPr>
    </w:pPr>
    <w:r>
      <w:rPr>
        <w:rFonts w:asciiTheme="minorHAnsi" w:hAnsiTheme="minorHAnsi"/>
        <w:noProof/>
        <w:color w:val="808080"/>
        <w:sz w:val="20"/>
        <w:szCs w:val="20"/>
        <w:lang w:val="en-US"/>
      </w:rPr>
      <w:drawing>
        <wp:inline distT="0" distB="0" distL="0" distR="0" wp14:anchorId="694E81C9" wp14:editId="03D5FD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24ADFA4" w14:textId="47FDE01E" w:rsidR="00BC0487" w:rsidRPr="002E5D50" w:rsidRDefault="008A7600" w:rsidP="002E5D50">
    <w:pPr>
      <w:pStyle w:val="Footer"/>
      <w:rPr>
        <w:rFonts w:asciiTheme="minorHAnsi" w:hAnsiTheme="minorHAnsi"/>
        <w:color w:val="808080"/>
        <w:sz w:val="20"/>
        <w:szCs w:val="20"/>
      </w:rPr>
    </w:pPr>
    <w:r w:rsidRPr="002E5D50">
      <w:rPr>
        <w:rFonts w:asciiTheme="minorHAnsi" w:hAnsiTheme="minorHAnsi"/>
        <w:color w:val="808080"/>
        <w:sz w:val="20"/>
        <w:szCs w:val="20"/>
      </w:rPr>
      <w:t xml:space="preserve">© </w:t>
    </w:r>
    <w:r w:rsidR="002E5D50" w:rsidRPr="002E5D50">
      <w:rPr>
        <w:rFonts w:asciiTheme="minorHAnsi" w:hAnsiTheme="minorHAnsi"/>
        <w:color w:val="808080"/>
        <w:sz w:val="20"/>
        <w:szCs w:val="20"/>
      </w:rPr>
      <w:t>B McFarlane, SA Nield</w:t>
    </w:r>
    <w:r w:rsidRPr="002E5D50">
      <w:rPr>
        <w:rFonts w:asciiTheme="minorHAnsi" w:hAnsiTheme="minorHAnsi"/>
        <w:color w:val="808080"/>
        <w:sz w:val="20"/>
        <w:szCs w:val="20"/>
      </w:rPr>
      <w:t>, 20</w:t>
    </w:r>
    <w:r w:rsidR="008775C3">
      <w:rPr>
        <w:rFonts w:asciiTheme="minorHAnsi" w:hAnsiTheme="minorHAnsi"/>
        <w:color w:val="808080"/>
        <w:sz w:val="20"/>
        <w:szCs w:val="20"/>
      </w:rPr>
      <w:t>20</w:t>
    </w:r>
    <w:r w:rsidRPr="002E5D50">
      <w:rPr>
        <w:rFonts w:asciiTheme="minorHAnsi" w:hAnsiTheme="minorHAnsi"/>
        <w:color w:val="808080"/>
        <w:sz w:val="20"/>
        <w:szCs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C5AE" w14:textId="77777777" w:rsidR="00A80211" w:rsidRDefault="00A80211">
      <w:r>
        <w:separator/>
      </w:r>
    </w:p>
  </w:footnote>
  <w:footnote w:type="continuationSeparator" w:id="0">
    <w:p w14:paraId="2C73A56B" w14:textId="77777777" w:rsidR="00A80211" w:rsidRDefault="00A8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7541" w14:textId="77777777" w:rsidR="002E5D50" w:rsidRDefault="00BC0487" w:rsidP="002E5D50">
    <w:pPr>
      <w:pStyle w:val="Header"/>
      <w:spacing w:after="0" w:line="240" w:lineRule="auto"/>
      <w:jc w:val="center"/>
      <w:rPr>
        <w:rFonts w:asciiTheme="minorHAnsi" w:hAnsiTheme="minorHAnsi" w:cs="Arial"/>
        <w:color w:val="808080"/>
        <w:sz w:val="20"/>
        <w:szCs w:val="24"/>
      </w:rPr>
    </w:pPr>
    <w:r w:rsidRPr="002E5D50">
      <w:rPr>
        <w:rFonts w:asciiTheme="minorHAnsi" w:hAnsiTheme="minorHAnsi" w:cs="Arial"/>
        <w:color w:val="808080"/>
        <w:sz w:val="20"/>
        <w:szCs w:val="24"/>
      </w:rPr>
      <w:t xml:space="preserve">McFarlane, Hopkins &amp; Nield: </w:t>
    </w:r>
    <w:r w:rsidR="00AA1A92">
      <w:rPr>
        <w:rFonts w:asciiTheme="minorHAnsi" w:hAnsiTheme="minorHAnsi" w:cs="Arial"/>
        <w:i/>
        <w:color w:val="808080"/>
        <w:sz w:val="20"/>
        <w:szCs w:val="24"/>
      </w:rPr>
      <w:t xml:space="preserve">Core Text: </w:t>
    </w:r>
    <w:r w:rsidRPr="002E5D50">
      <w:rPr>
        <w:rFonts w:asciiTheme="minorHAnsi" w:hAnsiTheme="minorHAnsi" w:cs="Arial"/>
        <w:i/>
        <w:color w:val="808080"/>
        <w:sz w:val="20"/>
        <w:szCs w:val="24"/>
      </w:rPr>
      <w:t>Land Law</w:t>
    </w:r>
    <w:r w:rsidR="00AA1A92">
      <w:rPr>
        <w:rFonts w:asciiTheme="minorHAnsi" w:hAnsiTheme="minorHAnsi" w:cs="Arial"/>
        <w:i/>
        <w:color w:val="808080"/>
        <w:sz w:val="20"/>
        <w:szCs w:val="24"/>
      </w:rPr>
      <w:t xml:space="preserve"> </w:t>
    </w:r>
    <w:r w:rsidR="00AA1A92">
      <w:rPr>
        <w:rFonts w:asciiTheme="minorHAnsi" w:hAnsiTheme="minorHAnsi" w:cs="Arial"/>
        <w:color w:val="808080"/>
        <w:sz w:val="20"/>
        <w:szCs w:val="24"/>
      </w:rPr>
      <w:t>2</w:t>
    </w:r>
    <w:r w:rsidR="00AA1A92" w:rsidRPr="00AA1A92">
      <w:rPr>
        <w:rFonts w:asciiTheme="minorHAnsi" w:hAnsiTheme="minorHAnsi" w:cs="Arial"/>
        <w:color w:val="808080"/>
        <w:sz w:val="20"/>
        <w:szCs w:val="24"/>
        <w:vertAlign w:val="superscript"/>
      </w:rPr>
      <w:t>nd</w:t>
    </w:r>
    <w:r w:rsidR="00AA1A92">
      <w:rPr>
        <w:rFonts w:asciiTheme="minorHAnsi" w:hAnsiTheme="minorHAnsi" w:cs="Arial"/>
        <w:color w:val="808080"/>
        <w:sz w:val="20"/>
        <w:szCs w:val="24"/>
      </w:rPr>
      <w:t xml:space="preserve"> </w:t>
    </w:r>
    <w:r w:rsidR="002E5D50">
      <w:rPr>
        <w:rFonts w:asciiTheme="minorHAnsi" w:hAnsiTheme="minorHAnsi" w:cs="Arial"/>
        <w:color w:val="808080"/>
        <w:sz w:val="20"/>
        <w:szCs w:val="24"/>
      </w:rPr>
      <w:t>edition</w:t>
    </w:r>
  </w:p>
  <w:p w14:paraId="273D1036" w14:textId="77777777" w:rsidR="00BC0487" w:rsidRPr="002E5D50" w:rsidRDefault="002E5D50" w:rsidP="002E5D50">
    <w:pPr>
      <w:pStyle w:val="Header"/>
      <w:spacing w:after="0" w:line="240" w:lineRule="auto"/>
      <w:jc w:val="center"/>
      <w:rPr>
        <w:rFonts w:asciiTheme="minorHAnsi" w:hAnsiTheme="minorHAnsi" w:cs="Arial"/>
        <w:color w:val="808080"/>
        <w:sz w:val="20"/>
        <w:szCs w:val="24"/>
      </w:rPr>
    </w:pPr>
    <w:r>
      <w:rPr>
        <w:rFonts w:asciiTheme="minorHAnsi" w:hAnsiTheme="minorHAnsi" w:cs="Arial"/>
        <w:color w:val="808080"/>
        <w:sz w:val="20"/>
        <w:szCs w:val="24"/>
      </w:rPr>
      <w:t>Answer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74F"/>
    <w:multiLevelType w:val="hybridMultilevel"/>
    <w:tmpl w:val="0FEC1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104B2"/>
    <w:multiLevelType w:val="hybridMultilevel"/>
    <w:tmpl w:val="7E44673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36363858">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B3655"/>
    <w:multiLevelType w:val="hybridMultilevel"/>
    <w:tmpl w:val="F698CC32"/>
    <w:lvl w:ilvl="0" w:tplc="19D2D02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D2B3B"/>
    <w:multiLevelType w:val="hybridMultilevel"/>
    <w:tmpl w:val="0160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107D4"/>
    <w:multiLevelType w:val="hybridMultilevel"/>
    <w:tmpl w:val="FB848542"/>
    <w:lvl w:ilvl="0" w:tplc="2D58DC92">
      <w:numFmt w:val="bullet"/>
      <w:lvlText w:val="-"/>
      <w:lvlJc w:val="left"/>
      <w:pPr>
        <w:ind w:left="720" w:hanging="360"/>
      </w:pPr>
      <w:rPr>
        <w:rFonts w:ascii="Calibri" w:eastAsiaTheme="minorHAnsi" w:hAnsi="Calibri" w:cstheme="minorBidi" w:hint="default"/>
      </w:rPr>
    </w:lvl>
    <w:lvl w:ilvl="1" w:tplc="2D58DC9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B7AC0"/>
    <w:multiLevelType w:val="hybridMultilevel"/>
    <w:tmpl w:val="5364AB9E"/>
    <w:lvl w:ilvl="0" w:tplc="044E8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460ADD"/>
    <w:multiLevelType w:val="hybridMultilevel"/>
    <w:tmpl w:val="C41E4466"/>
    <w:lvl w:ilvl="0" w:tplc="C4A8D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62B0C"/>
    <w:multiLevelType w:val="hybridMultilevel"/>
    <w:tmpl w:val="1B5877DA"/>
    <w:lvl w:ilvl="0" w:tplc="40464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3203E"/>
    <w:multiLevelType w:val="hybridMultilevel"/>
    <w:tmpl w:val="9F52A866"/>
    <w:lvl w:ilvl="0" w:tplc="4ECE9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71A2"/>
    <w:multiLevelType w:val="hybridMultilevel"/>
    <w:tmpl w:val="A4CE167A"/>
    <w:lvl w:ilvl="0" w:tplc="BDA86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A92558"/>
    <w:multiLevelType w:val="hybridMultilevel"/>
    <w:tmpl w:val="B414C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2D1E8B"/>
    <w:multiLevelType w:val="hybridMultilevel"/>
    <w:tmpl w:val="A2DA148E"/>
    <w:lvl w:ilvl="0" w:tplc="6EF2B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3820FE4"/>
    <w:multiLevelType w:val="hybridMultilevel"/>
    <w:tmpl w:val="969A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9665F6"/>
    <w:multiLevelType w:val="hybridMultilevel"/>
    <w:tmpl w:val="31A84FC8"/>
    <w:lvl w:ilvl="0" w:tplc="3A3A1C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
  </w:num>
  <w:num w:numId="3">
    <w:abstractNumId w:val="12"/>
  </w:num>
  <w:num w:numId="4">
    <w:abstractNumId w:val="7"/>
  </w:num>
  <w:num w:numId="5">
    <w:abstractNumId w:val="13"/>
  </w:num>
  <w:num w:numId="6">
    <w:abstractNumId w:val="2"/>
  </w:num>
  <w:num w:numId="7">
    <w:abstractNumId w:val="11"/>
  </w:num>
  <w:num w:numId="8">
    <w:abstractNumId w:val="5"/>
  </w:num>
  <w:num w:numId="9">
    <w:abstractNumId w:val="6"/>
  </w:num>
  <w:num w:numId="10">
    <w:abstractNumId w:val="9"/>
  </w:num>
  <w:num w:numId="11">
    <w:abstractNumId w:val="10"/>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12A03"/>
    <w:rsid w:val="000150D5"/>
    <w:rsid w:val="000230AF"/>
    <w:rsid w:val="000631DA"/>
    <w:rsid w:val="000A6413"/>
    <w:rsid w:val="000A7DE5"/>
    <w:rsid w:val="000B019A"/>
    <w:rsid w:val="000B5A13"/>
    <w:rsid w:val="000D6F31"/>
    <w:rsid w:val="000D77D8"/>
    <w:rsid w:val="000E260E"/>
    <w:rsid w:val="001132E1"/>
    <w:rsid w:val="00120BB1"/>
    <w:rsid w:val="00122D08"/>
    <w:rsid w:val="0015356B"/>
    <w:rsid w:val="001778C3"/>
    <w:rsid w:val="00187B32"/>
    <w:rsid w:val="001A4D9D"/>
    <w:rsid w:val="001A6506"/>
    <w:rsid w:val="001E583F"/>
    <w:rsid w:val="001F087F"/>
    <w:rsid w:val="001F4DB9"/>
    <w:rsid w:val="00204F58"/>
    <w:rsid w:val="00214B18"/>
    <w:rsid w:val="00232F9A"/>
    <w:rsid w:val="0026373E"/>
    <w:rsid w:val="002A666D"/>
    <w:rsid w:val="002C1084"/>
    <w:rsid w:val="002E5D50"/>
    <w:rsid w:val="002F7E37"/>
    <w:rsid w:val="003038CF"/>
    <w:rsid w:val="0031535A"/>
    <w:rsid w:val="003241BF"/>
    <w:rsid w:val="00336F0B"/>
    <w:rsid w:val="00395582"/>
    <w:rsid w:val="00437217"/>
    <w:rsid w:val="00467390"/>
    <w:rsid w:val="00470134"/>
    <w:rsid w:val="004A2969"/>
    <w:rsid w:val="004B53C6"/>
    <w:rsid w:val="004F1D5B"/>
    <w:rsid w:val="005207F5"/>
    <w:rsid w:val="00534E05"/>
    <w:rsid w:val="00554203"/>
    <w:rsid w:val="00595D76"/>
    <w:rsid w:val="005A0009"/>
    <w:rsid w:val="005D2FEB"/>
    <w:rsid w:val="005F347D"/>
    <w:rsid w:val="00651EF2"/>
    <w:rsid w:val="00667E1F"/>
    <w:rsid w:val="00672232"/>
    <w:rsid w:val="006940C6"/>
    <w:rsid w:val="00695554"/>
    <w:rsid w:val="006B5CAC"/>
    <w:rsid w:val="006E2005"/>
    <w:rsid w:val="006E426E"/>
    <w:rsid w:val="007079A2"/>
    <w:rsid w:val="00727C02"/>
    <w:rsid w:val="00735524"/>
    <w:rsid w:val="00764D7A"/>
    <w:rsid w:val="00775E3F"/>
    <w:rsid w:val="0079517F"/>
    <w:rsid w:val="00795A73"/>
    <w:rsid w:val="007D2BEA"/>
    <w:rsid w:val="00813E96"/>
    <w:rsid w:val="00823CFC"/>
    <w:rsid w:val="00837C74"/>
    <w:rsid w:val="00843397"/>
    <w:rsid w:val="00850126"/>
    <w:rsid w:val="008775C3"/>
    <w:rsid w:val="00877DC1"/>
    <w:rsid w:val="008A7600"/>
    <w:rsid w:val="008D5961"/>
    <w:rsid w:val="008F4590"/>
    <w:rsid w:val="00932532"/>
    <w:rsid w:val="00932BAF"/>
    <w:rsid w:val="009B6139"/>
    <w:rsid w:val="009C237B"/>
    <w:rsid w:val="009E00BF"/>
    <w:rsid w:val="00A22434"/>
    <w:rsid w:val="00A238FB"/>
    <w:rsid w:val="00A45C5D"/>
    <w:rsid w:val="00A80211"/>
    <w:rsid w:val="00A87F1F"/>
    <w:rsid w:val="00A90EE2"/>
    <w:rsid w:val="00A94811"/>
    <w:rsid w:val="00AA1A92"/>
    <w:rsid w:val="00AA6841"/>
    <w:rsid w:val="00AD5138"/>
    <w:rsid w:val="00AF5FB4"/>
    <w:rsid w:val="00B057BE"/>
    <w:rsid w:val="00B47B26"/>
    <w:rsid w:val="00B602BB"/>
    <w:rsid w:val="00BB2B89"/>
    <w:rsid w:val="00BC0487"/>
    <w:rsid w:val="00BF0028"/>
    <w:rsid w:val="00C06623"/>
    <w:rsid w:val="00C138CB"/>
    <w:rsid w:val="00C16D85"/>
    <w:rsid w:val="00C2703F"/>
    <w:rsid w:val="00CA1F62"/>
    <w:rsid w:val="00CA77DA"/>
    <w:rsid w:val="00D33391"/>
    <w:rsid w:val="00D65F7F"/>
    <w:rsid w:val="00DF0F11"/>
    <w:rsid w:val="00E24A7F"/>
    <w:rsid w:val="00E602DE"/>
    <w:rsid w:val="00E86406"/>
    <w:rsid w:val="00E91680"/>
    <w:rsid w:val="00EA6782"/>
    <w:rsid w:val="00EC2D12"/>
    <w:rsid w:val="00EF1460"/>
    <w:rsid w:val="00F0155A"/>
    <w:rsid w:val="00F35606"/>
    <w:rsid w:val="00F44357"/>
    <w:rsid w:val="00FA3284"/>
    <w:rsid w:val="00FB0BFB"/>
    <w:rsid w:val="00FE2BB9"/>
    <w:rsid w:val="00F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A151"/>
  <w15:docId w15:val="{88553330-34A0-B147-AC85-4D0767C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7B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documentbody1">
    <w:name w:val="documentbody1"/>
    <w:rsid w:val="00B057BE"/>
    <w:rPr>
      <w:rFonts w:ascii="Verdana" w:hAnsi="Verdana" w:cs="Times New Roman"/>
      <w:sz w:val="19"/>
      <w:szCs w:val="19"/>
    </w:rPr>
  </w:style>
  <w:style w:type="character" w:customStyle="1" w:styleId="FooterChar">
    <w:name w:val="Footer Char"/>
    <w:link w:val="Footer"/>
    <w:rsid w:val="008A7600"/>
    <w:rPr>
      <w:sz w:val="22"/>
      <w:szCs w:val="22"/>
      <w:lang w:eastAsia="en-US"/>
    </w:rPr>
  </w:style>
  <w:style w:type="paragraph" w:styleId="BalloonText">
    <w:name w:val="Balloon Text"/>
    <w:basedOn w:val="Normal"/>
    <w:link w:val="BalloonTextChar"/>
    <w:rsid w:val="002E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5D50"/>
    <w:rPr>
      <w:rFonts w:ascii="Tahoma" w:hAnsi="Tahoma" w:cs="Tahoma"/>
      <w:sz w:val="16"/>
      <w:szCs w:val="16"/>
      <w:lang w:val="en-GB"/>
    </w:rPr>
  </w:style>
  <w:style w:type="paragraph" w:styleId="ListParagraph">
    <w:name w:val="List Paragraph"/>
    <w:basedOn w:val="Normal"/>
    <w:uiPriority w:val="34"/>
    <w:qFormat/>
    <w:rsid w:val="00AA1A92"/>
    <w:pPr>
      <w:spacing w:after="0" w:line="240" w:lineRule="auto"/>
      <w:ind w:left="720"/>
      <w:contextualSpacing/>
    </w:pPr>
    <w:rPr>
      <w:rFonts w:eastAsia="SimSun"/>
      <w:sz w:val="24"/>
      <w:szCs w:val="24"/>
      <w:lang w:val="en-US" w:eastAsia="zh-CN"/>
    </w:rPr>
  </w:style>
  <w:style w:type="paragraph" w:customStyle="1" w:styleId="ColorfulList-Accent11">
    <w:name w:val="Colorful List - Accent 11"/>
    <w:basedOn w:val="Normal"/>
    <w:qFormat/>
    <w:rsid w:val="00520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12</cp:revision>
  <dcterms:created xsi:type="dcterms:W3CDTF">2020-04-05T11:48:00Z</dcterms:created>
  <dcterms:modified xsi:type="dcterms:W3CDTF">2020-04-09T12:49:00Z</dcterms:modified>
</cp:coreProperties>
</file>