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97" w:rsidRDefault="00610C97"/>
    <w:p w:rsidR="006450E5" w:rsidRDefault="00610C97" w:rsidP="00610C97">
      <w:pPr>
        <w:jc w:val="center"/>
        <w:rPr>
          <w:b/>
          <w:sz w:val="26"/>
        </w:rPr>
      </w:pPr>
      <w:r w:rsidRPr="00610C97">
        <w:rPr>
          <w:b/>
          <w:sz w:val="26"/>
        </w:rPr>
        <w:t>Cha</w:t>
      </w:r>
      <w:r w:rsidR="006450E5">
        <w:rPr>
          <w:b/>
          <w:sz w:val="26"/>
        </w:rPr>
        <w:t>pter 12: Covenants in Leasehold</w:t>
      </w:r>
    </w:p>
    <w:p w:rsidR="00610C97" w:rsidRPr="00610C97" w:rsidRDefault="006450E5" w:rsidP="00610C97">
      <w:pPr>
        <w:jc w:val="center"/>
        <w:rPr>
          <w:b/>
          <w:sz w:val="26"/>
        </w:rPr>
      </w:pPr>
      <w:r>
        <w:rPr>
          <w:b/>
          <w:sz w:val="26"/>
        </w:rPr>
        <w:t>Li</w:t>
      </w:r>
      <w:r w:rsidR="00610C97" w:rsidRPr="00610C97">
        <w:rPr>
          <w:b/>
          <w:sz w:val="26"/>
        </w:rPr>
        <w:t>nks to judgments on BAILLI</w:t>
      </w:r>
    </w:p>
    <w:p w:rsidR="00610C97" w:rsidRPr="00557165" w:rsidRDefault="00610C97" w:rsidP="00610C97">
      <w:pPr>
        <w:rPr>
          <w:b/>
          <w:bCs/>
          <w:u w:val="single"/>
        </w:rPr>
      </w:pPr>
      <w:bookmarkStart w:id="0" w:name="_GoBack"/>
      <w:bookmarkEnd w:id="0"/>
    </w:p>
    <w:p w:rsidR="00610C97" w:rsidRPr="00610C97" w:rsidRDefault="00610C97" w:rsidP="00610C97">
      <w:pPr>
        <w:jc w:val="both"/>
        <w:rPr>
          <w:bCs/>
        </w:rPr>
      </w:pPr>
      <w:r w:rsidRPr="00610C97">
        <w:rPr>
          <w:bCs/>
        </w:rPr>
        <w:t xml:space="preserve">Here you will find links to judgments (on </w:t>
      </w:r>
      <w:proofErr w:type="spellStart"/>
      <w:r w:rsidRPr="00610C97">
        <w:rPr>
          <w:bCs/>
        </w:rPr>
        <w:t>Bailii</w:t>
      </w:r>
      <w:proofErr w:type="spellEnd"/>
      <w:r w:rsidRPr="00610C97">
        <w:rPr>
          <w:bCs/>
        </w:rPr>
        <w:t>) of some of most important and recent decisions on leasehold covenants (focusing on forfeiture)</w:t>
      </w:r>
      <w:r>
        <w:rPr>
          <w:bCs/>
        </w:rPr>
        <w:t>,</w:t>
      </w:r>
      <w:r w:rsidRPr="00610C97">
        <w:rPr>
          <w:bCs/>
        </w:rPr>
        <w:t xml:space="preserve"> which have been discussed in Chapter 12</w:t>
      </w:r>
      <w:r>
        <w:rPr>
          <w:bCs/>
        </w:rPr>
        <w:t xml:space="preserve"> of the book. They are well </w:t>
      </w:r>
      <w:r w:rsidRPr="00610C97">
        <w:rPr>
          <w:bCs/>
        </w:rPr>
        <w:t>worth a read!</w:t>
      </w:r>
    </w:p>
    <w:p w:rsidR="00610C97" w:rsidRPr="00557165" w:rsidRDefault="00610C97" w:rsidP="00610C97">
      <w:pPr>
        <w:rPr>
          <w:b/>
          <w:bCs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44"/>
        <w:gridCol w:w="6962"/>
      </w:tblGrid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pStyle w:val="NormalWeb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57165">
              <w:rPr>
                <w:b/>
                <w:bCs/>
                <w:i/>
                <w:iCs/>
              </w:rPr>
              <w:t>Akici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v L. R. </w:t>
            </w:r>
            <w:proofErr w:type="spellStart"/>
            <w:r w:rsidRPr="00557165">
              <w:rPr>
                <w:b/>
                <w:bCs/>
                <w:i/>
                <w:iCs/>
              </w:rPr>
              <w:t>Butlin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Ltd </w:t>
            </w:r>
            <w:r w:rsidRPr="00557165">
              <w:rPr>
                <w:b/>
                <w:bCs/>
              </w:rPr>
              <w:t>(2005)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6" w:history="1">
              <w:r w:rsidRPr="00557165">
                <w:rPr>
                  <w:rStyle w:val="Hyperlink"/>
                  <w:b/>
                  <w:bCs/>
                </w:rPr>
                <w:t>https://www.bailii.org/ew/cases/EWCA/Civ/2005/1296.html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pStyle w:val="NormalWeb"/>
              <w:spacing w:line="276" w:lineRule="auto"/>
              <w:rPr>
                <w:b/>
                <w:bCs/>
                <w:i/>
                <w:iCs/>
              </w:rPr>
            </w:pPr>
            <w:r w:rsidRPr="00557165">
              <w:rPr>
                <w:b/>
                <w:bCs/>
                <w:i/>
                <w:iCs/>
              </w:rPr>
              <w:t xml:space="preserve">Expert Clothing Service &amp; Sales Ltd v </w:t>
            </w:r>
            <w:proofErr w:type="spellStart"/>
            <w:r w:rsidRPr="00557165">
              <w:rPr>
                <w:b/>
                <w:bCs/>
                <w:i/>
                <w:iCs/>
              </w:rPr>
              <w:t>Hillgate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House Ltd </w:t>
            </w:r>
            <w:r w:rsidRPr="00557165">
              <w:rPr>
                <w:b/>
                <w:bCs/>
              </w:rPr>
              <w:t>(1986)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7" w:history="1">
              <w:r w:rsidRPr="00557165">
                <w:rPr>
                  <w:rStyle w:val="Hyperlink"/>
                  <w:b/>
                  <w:bCs/>
                </w:rPr>
                <w:t>https://www.bailii.org/ew/cases/EWCA/Civ/1985/4.html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pStyle w:val="NormalWeb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57165">
              <w:rPr>
                <w:b/>
                <w:bCs/>
                <w:i/>
                <w:iCs/>
              </w:rPr>
              <w:t>Freifeld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v West Kensington Court Ltd </w:t>
            </w:r>
            <w:r w:rsidRPr="00557165">
              <w:rPr>
                <w:b/>
                <w:bCs/>
              </w:rPr>
              <w:t>(2015)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8" w:history="1">
              <w:r w:rsidRPr="00557165">
                <w:rPr>
                  <w:rStyle w:val="Hyperlink"/>
                  <w:b/>
                  <w:bCs/>
                </w:rPr>
                <w:t>https://www.bailii.org/ew/cases/EWCA/Civ/2015/806.html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i/>
                <w:iCs/>
              </w:rPr>
            </w:pPr>
            <w:r w:rsidRPr="00557165">
              <w:rPr>
                <w:b/>
                <w:bCs/>
                <w:i/>
                <w:iCs/>
                <w:color w:val="000000"/>
              </w:rPr>
              <w:t xml:space="preserve">London Diocesan Fund v </w:t>
            </w:r>
            <w:proofErr w:type="spellStart"/>
            <w:r w:rsidRPr="00557165">
              <w:rPr>
                <w:b/>
                <w:bCs/>
                <w:i/>
                <w:iCs/>
                <w:color w:val="000000"/>
              </w:rPr>
              <w:t>Avonridge</w:t>
            </w:r>
            <w:proofErr w:type="spellEnd"/>
            <w:r w:rsidRPr="00557165">
              <w:rPr>
                <w:b/>
                <w:bCs/>
                <w:i/>
                <w:iCs/>
                <w:color w:val="000000"/>
              </w:rPr>
              <w:t xml:space="preserve"> Property Company Ltd </w:t>
            </w:r>
            <w:r w:rsidRPr="00557165">
              <w:rPr>
                <w:b/>
                <w:bCs/>
                <w:color w:val="000000"/>
              </w:rPr>
              <w:t>(2005)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9" w:history="1">
              <w:r w:rsidRPr="00557165">
                <w:rPr>
                  <w:rStyle w:val="Hyperlink"/>
                  <w:b/>
                  <w:bCs/>
                </w:rPr>
                <w:t>https://www.bailii.org/uk/cases/UKHL/2005/70.html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pStyle w:val="NormalWeb"/>
              <w:spacing w:line="276" w:lineRule="auto"/>
              <w:rPr>
                <w:b/>
                <w:bCs/>
                <w:i/>
                <w:iCs/>
              </w:rPr>
            </w:pPr>
            <w:r w:rsidRPr="00557165">
              <w:rPr>
                <w:b/>
                <w:bCs/>
                <w:i/>
                <w:iCs/>
              </w:rPr>
              <w:t xml:space="preserve">Patel v K. &amp; J. Restaurants Ltd </w:t>
            </w:r>
            <w:r w:rsidRPr="00557165">
              <w:rPr>
                <w:b/>
                <w:bCs/>
              </w:rPr>
              <w:t>(2010)</w:t>
            </w:r>
            <w:r w:rsidRPr="0055716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10" w:history="1">
              <w:r w:rsidRPr="00557165">
                <w:rPr>
                  <w:rStyle w:val="Hyperlink"/>
                  <w:b/>
                  <w:bCs/>
                </w:rPr>
                <w:t>https://www.bailii.org/ew/cases/EWCA/Civ/2010/1211.html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pStyle w:val="NormalWeb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57165">
              <w:rPr>
                <w:b/>
                <w:bCs/>
                <w:i/>
                <w:iCs/>
              </w:rPr>
              <w:t>Pineport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v </w:t>
            </w:r>
            <w:proofErr w:type="spellStart"/>
            <w:r w:rsidRPr="00557165">
              <w:rPr>
                <w:b/>
                <w:bCs/>
                <w:i/>
                <w:iCs/>
              </w:rPr>
              <w:t>Grangeglen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</w:t>
            </w:r>
            <w:r w:rsidRPr="00557165">
              <w:rPr>
                <w:b/>
                <w:bCs/>
              </w:rPr>
              <w:t>(2016)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11" w:history="1">
              <w:r w:rsidRPr="00557165">
                <w:rPr>
                  <w:rStyle w:val="Hyperlink"/>
                  <w:b/>
                  <w:bCs/>
                </w:rPr>
                <w:t>https://www.bailii.org/ew/cases/EWHC/Ch/2016/1318.html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pStyle w:val="NormalWeb"/>
              <w:spacing w:line="276" w:lineRule="auto"/>
              <w:rPr>
                <w:b/>
                <w:bCs/>
                <w:i/>
                <w:iCs/>
              </w:rPr>
            </w:pPr>
            <w:r w:rsidRPr="00557165">
              <w:rPr>
                <w:b/>
                <w:bCs/>
                <w:i/>
                <w:iCs/>
              </w:rPr>
              <w:t xml:space="preserve">Savva v Hussein </w:t>
            </w:r>
            <w:r w:rsidRPr="00557165">
              <w:rPr>
                <w:b/>
                <w:bCs/>
              </w:rPr>
              <w:t>(1997)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12" w:history="1">
              <w:r w:rsidRPr="00557165">
                <w:rPr>
                  <w:rStyle w:val="Hyperlink"/>
                  <w:b/>
                  <w:bCs/>
                </w:rPr>
                <w:t>https://www.bailii.org/ew/cases/EWCA/Civ/1996/1302.html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10C97" w:rsidRPr="00557165" w:rsidTr="00610C97">
        <w:tc>
          <w:tcPr>
            <w:tcW w:w="3244" w:type="dxa"/>
          </w:tcPr>
          <w:p w:rsidR="00610C97" w:rsidRPr="00557165" w:rsidRDefault="00610C97" w:rsidP="0004187C">
            <w:pPr>
              <w:pStyle w:val="NormalWeb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557165">
              <w:rPr>
                <w:b/>
                <w:bCs/>
                <w:i/>
                <w:iCs/>
              </w:rPr>
              <w:t>Telchadder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v </w:t>
            </w:r>
            <w:proofErr w:type="spellStart"/>
            <w:r w:rsidRPr="00557165">
              <w:rPr>
                <w:b/>
                <w:bCs/>
                <w:i/>
                <w:iCs/>
              </w:rPr>
              <w:t>Wickland</w:t>
            </w:r>
            <w:proofErr w:type="spellEnd"/>
            <w:r w:rsidRPr="00557165">
              <w:rPr>
                <w:b/>
                <w:bCs/>
                <w:i/>
                <w:iCs/>
              </w:rPr>
              <w:t xml:space="preserve"> Holdings Ltd </w:t>
            </w:r>
            <w:r w:rsidRPr="00557165">
              <w:rPr>
                <w:b/>
                <w:bCs/>
              </w:rPr>
              <w:t>(2014)</w:t>
            </w:r>
          </w:p>
        </w:tc>
        <w:tc>
          <w:tcPr>
            <w:tcW w:w="6962" w:type="dxa"/>
          </w:tcPr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  <w:hyperlink r:id="rId13" w:history="1">
              <w:r w:rsidRPr="00557165">
                <w:rPr>
                  <w:rStyle w:val="Hyperlink"/>
                  <w:b/>
                  <w:bCs/>
                </w:rPr>
                <w:t>https://www.bailii.org/uk/cases/UKSC/2014/57.html</w:t>
              </w:r>
            </w:hyperlink>
          </w:p>
          <w:p w:rsidR="00610C97" w:rsidRPr="00557165" w:rsidRDefault="00610C97" w:rsidP="0004187C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:rsidR="00610C97" w:rsidRDefault="00610C97"/>
    <w:sectPr w:rsidR="00610C9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97" w:rsidRDefault="00610C97" w:rsidP="00610C97">
      <w:pPr>
        <w:spacing w:after="0" w:line="240" w:lineRule="auto"/>
      </w:pPr>
      <w:r>
        <w:separator/>
      </w:r>
    </w:p>
  </w:endnote>
  <w:endnote w:type="continuationSeparator" w:id="0">
    <w:p w:rsidR="00610C97" w:rsidRDefault="00610C97" w:rsidP="0061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97" w:rsidRPr="00610C97" w:rsidRDefault="00610C97" w:rsidP="00610C97">
    <w:pPr>
      <w:pStyle w:val="Footer"/>
      <w:jc w:val="center"/>
      <w:rPr>
        <w:sz w:val="26"/>
      </w:rPr>
    </w:pPr>
    <w:r w:rsidRPr="00610C97">
      <w:rPr>
        <w:rFonts w:ascii="MinionPro-Regular" w:hAnsi="MinionPro-Regular" w:cs="MinionPro-Regular"/>
        <w:sz w:val="20"/>
        <w:szCs w:val="16"/>
      </w:rPr>
      <w:t>© Oxford University Press 2020</w:t>
    </w:r>
  </w:p>
  <w:p w:rsidR="00610C97" w:rsidRDefault="0061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97" w:rsidRDefault="00610C97" w:rsidP="00610C97">
      <w:pPr>
        <w:spacing w:after="0" w:line="240" w:lineRule="auto"/>
      </w:pPr>
      <w:r>
        <w:separator/>
      </w:r>
    </w:p>
  </w:footnote>
  <w:footnote w:type="continuationSeparator" w:id="0">
    <w:p w:rsidR="00610C97" w:rsidRDefault="00610C97" w:rsidP="0061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97" w:rsidRDefault="00610C97" w:rsidP="00610C97">
    <w:pPr>
      <w:pStyle w:val="Header"/>
      <w:jc w:val="center"/>
    </w:pPr>
    <w:r>
      <w:t>Bevan, Land Law 2</w:t>
    </w:r>
    <w:r w:rsidRPr="00610C97">
      <w:rPr>
        <w:vertAlign w:val="superscript"/>
      </w:rPr>
      <w:t>nd</w:t>
    </w:r>
    <w: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97"/>
    <w:rsid w:val="0025617F"/>
    <w:rsid w:val="005750A5"/>
    <w:rsid w:val="00610C97"/>
    <w:rsid w:val="006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8FBB"/>
  <w15:chartTrackingRefBased/>
  <w15:docId w15:val="{7239D4DD-1DEA-4E14-858B-50BEBD7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C97"/>
    <w:pPr>
      <w:spacing w:after="0" w:line="240" w:lineRule="auto"/>
    </w:pPr>
    <w:rPr>
      <w:rFonts w:ascii="Calibri" w:hAnsi="Calibri" w:cs="Calibri (Body)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C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97"/>
  </w:style>
  <w:style w:type="paragraph" w:styleId="Footer">
    <w:name w:val="footer"/>
    <w:basedOn w:val="Normal"/>
    <w:link w:val="FooterChar"/>
    <w:uiPriority w:val="99"/>
    <w:unhideWhenUsed/>
    <w:rsid w:val="0061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lii.org/ew/cases/EWCA/Civ/2015/806.html" TargetMode="External"/><Relationship Id="rId13" Type="http://schemas.openxmlformats.org/officeDocument/2006/relationships/hyperlink" Target="https://www.bailii.org/uk/cases/UKSC/2014/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ilii.org/ew/cases/EWCA/Civ/1985/4.html" TargetMode="External"/><Relationship Id="rId12" Type="http://schemas.openxmlformats.org/officeDocument/2006/relationships/hyperlink" Target="https://www.bailii.org/ew/cases/EWCA/Civ/1996/130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ailii.org/ew/cases/EWCA/Civ/2005/1296.html" TargetMode="External"/><Relationship Id="rId11" Type="http://schemas.openxmlformats.org/officeDocument/2006/relationships/hyperlink" Target="https://www.bailii.org/ew/cases/EWHC/Ch/2016/1318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bailii.org/ew/cases/EWCA/Civ/2010/121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ilii.org/uk/cases/UKHL/2005/7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OUP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SHEFFIELD, Emma</dc:creator>
  <cp:keywords/>
  <dc:description/>
  <cp:lastModifiedBy>SHEFFIELD, Emma</cp:lastModifiedBy>
  <cp:revision>3</cp:revision>
  <dcterms:created xsi:type="dcterms:W3CDTF">2020-02-05T16:03:00Z</dcterms:created>
  <dcterms:modified xsi:type="dcterms:W3CDTF">2020-02-05T16:07:00Z</dcterms:modified>
</cp:coreProperties>
</file>