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C67" w:rsidRDefault="006A7B4C">
      <w:pPr>
        <w:rPr>
          <w:rFonts w:ascii="HelveticaNeueLTStd-Bd" w:hAnsi="HelveticaNeueLTStd-Bd" w:cs="HelveticaNeueLTStd-Bd"/>
          <w:color w:val="244584"/>
          <w:sz w:val="32"/>
          <w:szCs w:val="28"/>
        </w:rPr>
      </w:pPr>
      <w:r>
        <w:rPr>
          <w:rFonts w:ascii="HelveticaNeueLTStd-Bd" w:hAnsi="HelveticaNeueLTStd-Bd" w:cs="HelveticaNeueLTStd-Bd"/>
          <w:color w:val="244584"/>
          <w:sz w:val="32"/>
          <w:szCs w:val="28"/>
        </w:rPr>
        <w:t>Chapter 4</w:t>
      </w:r>
    </w:p>
    <w:p w:rsidR="003739E0" w:rsidRDefault="003739E0" w:rsidP="003739E0">
      <w:pPr>
        <w:autoSpaceDE w:val="0"/>
        <w:autoSpaceDN w:val="0"/>
        <w:adjustRightInd w:val="0"/>
        <w:spacing w:after="0" w:line="240" w:lineRule="auto"/>
        <w:rPr>
          <w:rFonts w:ascii="HelveticaNeueLTStd-Lt" w:hAnsi="HelveticaNeueLTStd-Lt" w:cs="HelveticaNeueLTStd-Lt"/>
          <w:color w:val="000000"/>
          <w:sz w:val="21"/>
          <w:szCs w:val="17"/>
        </w:rPr>
      </w:pPr>
      <w:r w:rsidRPr="003739E0">
        <w:rPr>
          <w:rFonts w:ascii="HelveticaNeueLTStd-Lt" w:hAnsi="HelveticaNeueLTStd-Lt" w:cs="HelveticaNeueLTStd-Lt"/>
          <w:color w:val="000000"/>
          <w:sz w:val="21"/>
          <w:szCs w:val="17"/>
        </w:rPr>
        <w:t>To consolidate your learning, the key points from this chapter are summarized here:</w:t>
      </w:r>
    </w:p>
    <w:p w:rsidR="003739E0" w:rsidRPr="003739E0" w:rsidRDefault="003739E0" w:rsidP="003739E0">
      <w:pPr>
        <w:autoSpaceDE w:val="0"/>
        <w:autoSpaceDN w:val="0"/>
        <w:adjustRightInd w:val="0"/>
        <w:spacing w:after="0" w:line="240" w:lineRule="auto"/>
        <w:rPr>
          <w:rFonts w:ascii="HelveticaNeueLTStd-Lt" w:hAnsi="HelveticaNeueLTStd-Lt" w:cs="HelveticaNeueLTStd-Lt"/>
          <w:color w:val="000000"/>
          <w:sz w:val="21"/>
          <w:szCs w:val="17"/>
        </w:rPr>
      </w:pPr>
    </w:p>
    <w:p w:rsidR="006A7B4C" w:rsidRPr="006A7B4C" w:rsidRDefault="006A7B4C" w:rsidP="006A7B4C">
      <w:pPr>
        <w:autoSpaceDE w:val="0"/>
        <w:autoSpaceDN w:val="0"/>
        <w:adjustRightInd w:val="0"/>
        <w:spacing w:after="0" w:line="240" w:lineRule="auto"/>
        <w:rPr>
          <w:rFonts w:ascii="HelveticaNeueLTStd-Md" w:eastAsia="ZapfDingbatsStd" w:hAnsi="HelveticaNeueLTStd-Md" w:cs="HelveticaNeueLTStd-Md"/>
          <w:color w:val="952973"/>
          <w:sz w:val="21"/>
          <w:szCs w:val="17"/>
        </w:rPr>
      </w:pPr>
      <w:r w:rsidRPr="006A7B4C">
        <w:rPr>
          <w:rFonts w:ascii="ZapfDingbatsStd" w:eastAsia="ZapfDingbatsStd" w:cs="ZapfDingbatsStd" w:hint="eastAsia"/>
          <w:color w:val="952973"/>
          <w:sz w:val="18"/>
          <w:szCs w:val="14"/>
        </w:rPr>
        <w:t>■</w:t>
      </w:r>
      <w:r w:rsidRPr="006A7B4C">
        <w:rPr>
          <w:rFonts w:ascii="ZapfDingbatsStd" w:eastAsia="ZapfDingbatsStd" w:cs="ZapfDingbatsStd"/>
          <w:color w:val="952973"/>
          <w:sz w:val="18"/>
          <w:szCs w:val="14"/>
        </w:rPr>
        <w:t xml:space="preserve"> </w:t>
      </w:r>
      <w:r w:rsidRPr="006A7B4C">
        <w:rPr>
          <w:rFonts w:ascii="HelveticaNeueLTStd-Md" w:eastAsia="ZapfDingbatsStd" w:hAnsi="HelveticaNeueLTStd-Md" w:cs="HelveticaNeueLTStd-Md"/>
          <w:color w:val="952973"/>
          <w:sz w:val="21"/>
          <w:szCs w:val="17"/>
        </w:rPr>
        <w:t>Identify and define the three core areas of the marketing environment.</w:t>
      </w:r>
    </w:p>
    <w:p w:rsidR="006A7B4C" w:rsidRDefault="006A7B4C" w:rsidP="006A7B4C">
      <w:pPr>
        <w:autoSpaceDE w:val="0"/>
        <w:autoSpaceDN w:val="0"/>
        <w:adjustRightInd w:val="0"/>
        <w:spacing w:after="0" w:line="240" w:lineRule="auto"/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</w:pPr>
      <w:r w:rsidRPr="006A7B4C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The marketing environment incorporates the external environment, t</w:t>
      </w:r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he performance environment, and t</w:t>
      </w:r>
      <w:r w:rsidRPr="006A7B4C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he internal environment. The external environment incorporates </w:t>
      </w:r>
      <w:proofErr w:type="spellStart"/>
      <w:r w:rsidRPr="006A7B4C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macroenv</w:t>
      </w:r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ironmental</w:t>
      </w:r>
      <w:proofErr w:type="spellEnd"/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 factors, which are </w:t>
      </w:r>
      <w:r w:rsidRPr="006A7B4C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largely uncontrollable and which organizations generally cannot influen</w:t>
      </w:r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ce. The performance environment </w:t>
      </w:r>
      <w:r w:rsidRPr="006A7B4C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incorporates key factors within an industry that impact on strategi</w:t>
      </w:r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c decision-making. The internal </w:t>
      </w:r>
      <w:r w:rsidRPr="006A7B4C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environment is controllable and is the principal means by which an organi</w:t>
      </w:r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zation influences its strategy, </w:t>
      </w:r>
      <w:r w:rsidRPr="006A7B4C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through its resource base.</w:t>
      </w:r>
    </w:p>
    <w:p w:rsidR="006A7B4C" w:rsidRPr="006A7B4C" w:rsidRDefault="006A7B4C" w:rsidP="006A7B4C">
      <w:pPr>
        <w:autoSpaceDE w:val="0"/>
        <w:autoSpaceDN w:val="0"/>
        <w:adjustRightInd w:val="0"/>
        <w:spacing w:after="0" w:line="240" w:lineRule="auto"/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</w:pPr>
    </w:p>
    <w:p w:rsidR="006A7B4C" w:rsidRPr="006A7B4C" w:rsidRDefault="006A7B4C" w:rsidP="006A7B4C">
      <w:pPr>
        <w:autoSpaceDE w:val="0"/>
        <w:autoSpaceDN w:val="0"/>
        <w:adjustRightInd w:val="0"/>
        <w:spacing w:after="0" w:line="240" w:lineRule="auto"/>
        <w:rPr>
          <w:rFonts w:ascii="HelveticaNeueLTStd-Md" w:eastAsia="ZapfDingbatsStd" w:hAnsi="HelveticaNeueLTStd-Md" w:cs="HelveticaNeueLTStd-Md"/>
          <w:color w:val="952973"/>
          <w:sz w:val="21"/>
          <w:szCs w:val="17"/>
        </w:rPr>
      </w:pPr>
      <w:r w:rsidRPr="006A7B4C">
        <w:rPr>
          <w:rFonts w:ascii="ZapfDingbatsStd" w:eastAsia="ZapfDingbatsStd" w:cs="ZapfDingbatsStd" w:hint="eastAsia"/>
          <w:color w:val="952973"/>
          <w:sz w:val="18"/>
          <w:szCs w:val="14"/>
        </w:rPr>
        <w:t>■</w:t>
      </w:r>
      <w:r w:rsidRPr="006A7B4C">
        <w:rPr>
          <w:rFonts w:ascii="ZapfDingbatsStd" w:eastAsia="ZapfDingbatsStd" w:cs="ZapfDingbatsStd"/>
          <w:color w:val="952973"/>
          <w:sz w:val="18"/>
          <w:szCs w:val="14"/>
        </w:rPr>
        <w:t xml:space="preserve"> </w:t>
      </w:r>
      <w:r w:rsidRPr="006A7B4C">
        <w:rPr>
          <w:rFonts w:ascii="HelveticaNeueLTStd-Md" w:eastAsia="ZapfDingbatsStd" w:hAnsi="HelveticaNeueLTStd-Md" w:cs="HelveticaNeueLTStd-Md"/>
          <w:color w:val="952973"/>
          <w:sz w:val="21"/>
          <w:szCs w:val="17"/>
        </w:rPr>
        <w:t>Describe the key characteristics associated with the marketing environment.</w:t>
      </w:r>
    </w:p>
    <w:p w:rsidR="006A7B4C" w:rsidRDefault="006A7B4C" w:rsidP="006A7B4C">
      <w:pPr>
        <w:autoSpaceDE w:val="0"/>
        <w:autoSpaceDN w:val="0"/>
        <w:adjustRightInd w:val="0"/>
        <w:spacing w:after="0" w:line="240" w:lineRule="auto"/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</w:pPr>
      <w:r w:rsidRPr="006A7B4C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The external environment consists of the political, social, and technologica</w:t>
      </w:r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l influences, and organizations </w:t>
      </w:r>
      <w:r w:rsidRPr="006A7B4C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have limited influence over these. The performance environment consists of </w:t>
      </w:r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the competitors, suppliers, and </w:t>
      </w:r>
      <w:r w:rsidRPr="006A7B4C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indirect service providers, shaping the way in which organizations achieve </w:t>
      </w:r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their objectives. Organizations </w:t>
      </w:r>
      <w:r w:rsidRPr="006A7B4C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have more influence over these. The internal environment concerns the res</w:t>
      </w:r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ources, processes, and policies </w:t>
      </w:r>
      <w:r w:rsidRPr="006A7B4C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with which organizations manage to achieve their goals.</w:t>
      </w:r>
    </w:p>
    <w:p w:rsidR="006A7B4C" w:rsidRPr="006A7B4C" w:rsidRDefault="006A7B4C" w:rsidP="006A7B4C">
      <w:pPr>
        <w:autoSpaceDE w:val="0"/>
        <w:autoSpaceDN w:val="0"/>
        <w:adjustRightInd w:val="0"/>
        <w:spacing w:after="0" w:line="240" w:lineRule="auto"/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</w:pPr>
    </w:p>
    <w:p w:rsidR="006A7B4C" w:rsidRPr="006A7B4C" w:rsidRDefault="006A7B4C" w:rsidP="006A7B4C">
      <w:pPr>
        <w:autoSpaceDE w:val="0"/>
        <w:autoSpaceDN w:val="0"/>
        <w:adjustRightInd w:val="0"/>
        <w:spacing w:after="0" w:line="240" w:lineRule="auto"/>
        <w:rPr>
          <w:rFonts w:ascii="HelveticaNeueLTStd-Md" w:eastAsia="ZapfDingbatsStd" w:hAnsi="HelveticaNeueLTStd-Md" w:cs="HelveticaNeueLTStd-Md"/>
          <w:color w:val="952973"/>
          <w:sz w:val="21"/>
          <w:szCs w:val="17"/>
        </w:rPr>
      </w:pPr>
      <w:r w:rsidRPr="006A7B4C">
        <w:rPr>
          <w:rFonts w:ascii="ZapfDingbatsStd" w:eastAsia="ZapfDingbatsStd" w:cs="ZapfDingbatsStd" w:hint="eastAsia"/>
          <w:color w:val="952973"/>
          <w:sz w:val="18"/>
          <w:szCs w:val="14"/>
        </w:rPr>
        <w:t>■</w:t>
      </w:r>
      <w:r w:rsidRPr="006A7B4C">
        <w:rPr>
          <w:rFonts w:ascii="ZapfDingbatsStd" w:eastAsia="ZapfDingbatsStd" w:cs="ZapfDingbatsStd"/>
          <w:color w:val="952973"/>
          <w:sz w:val="18"/>
          <w:szCs w:val="14"/>
        </w:rPr>
        <w:t xml:space="preserve"> </w:t>
      </w:r>
      <w:r w:rsidRPr="006A7B4C">
        <w:rPr>
          <w:rFonts w:ascii="HelveticaNeueLTStd-Md" w:eastAsia="ZapfDingbatsStd" w:hAnsi="HelveticaNeueLTStd-Md" w:cs="HelveticaNeueLTStd-Md"/>
          <w:color w:val="952973"/>
          <w:sz w:val="21"/>
          <w:szCs w:val="17"/>
        </w:rPr>
        <w:t>Explain PESTLE analysis and show how it is used to understand the external environment.</w:t>
      </w:r>
    </w:p>
    <w:p w:rsidR="006A7B4C" w:rsidRDefault="006A7B4C" w:rsidP="006A7B4C">
      <w:pPr>
        <w:autoSpaceDE w:val="0"/>
        <w:autoSpaceDN w:val="0"/>
        <w:adjustRightInd w:val="0"/>
        <w:spacing w:after="0" w:line="240" w:lineRule="auto"/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</w:pPr>
      <w:r w:rsidRPr="006A7B4C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We considered the various components of the external marketing env</w:t>
      </w:r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ironment that may impact on any </w:t>
      </w:r>
      <w:r w:rsidRPr="006A7B4C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particular organization using the PESTLE acronym, which assesses the polit</w:t>
      </w:r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ical, economic, socio-cultural, </w:t>
      </w:r>
      <w:r w:rsidRPr="006A7B4C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technological, legal, and ecological factors. Some of these factors are mo</w:t>
      </w:r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re important than others in any </w:t>
      </w:r>
      <w:r w:rsidRPr="006A7B4C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particular industry.</w:t>
      </w:r>
    </w:p>
    <w:p w:rsidR="006A7B4C" w:rsidRPr="006A7B4C" w:rsidRDefault="006A7B4C" w:rsidP="006A7B4C">
      <w:pPr>
        <w:autoSpaceDE w:val="0"/>
        <w:autoSpaceDN w:val="0"/>
        <w:adjustRightInd w:val="0"/>
        <w:spacing w:after="0" w:line="240" w:lineRule="auto"/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</w:pPr>
    </w:p>
    <w:p w:rsidR="006A7B4C" w:rsidRPr="006A7B4C" w:rsidRDefault="006A7B4C" w:rsidP="006A7B4C">
      <w:pPr>
        <w:autoSpaceDE w:val="0"/>
        <w:autoSpaceDN w:val="0"/>
        <w:adjustRightInd w:val="0"/>
        <w:spacing w:after="0" w:line="240" w:lineRule="auto"/>
        <w:rPr>
          <w:rFonts w:ascii="HelveticaNeueLTStd-Md" w:eastAsia="ZapfDingbatsStd" w:hAnsi="HelveticaNeueLTStd-Md" w:cs="HelveticaNeueLTStd-Md"/>
          <w:color w:val="952973"/>
          <w:sz w:val="21"/>
          <w:szCs w:val="17"/>
        </w:rPr>
      </w:pPr>
      <w:r w:rsidRPr="006A7B4C">
        <w:rPr>
          <w:rFonts w:ascii="ZapfDingbatsStd" w:eastAsia="ZapfDingbatsStd" w:cs="ZapfDingbatsStd" w:hint="eastAsia"/>
          <w:color w:val="952973"/>
          <w:sz w:val="18"/>
          <w:szCs w:val="14"/>
        </w:rPr>
        <w:t>■</w:t>
      </w:r>
      <w:r w:rsidRPr="006A7B4C">
        <w:rPr>
          <w:rFonts w:ascii="ZapfDingbatsStd" w:eastAsia="ZapfDingbatsStd" w:cs="ZapfDingbatsStd"/>
          <w:color w:val="952973"/>
          <w:sz w:val="18"/>
          <w:szCs w:val="14"/>
        </w:rPr>
        <w:t xml:space="preserve"> </w:t>
      </w:r>
      <w:r w:rsidRPr="006A7B4C">
        <w:rPr>
          <w:rFonts w:ascii="HelveticaNeueLTStd-Md" w:eastAsia="ZapfDingbatsStd" w:hAnsi="HelveticaNeueLTStd-Md" w:cs="HelveticaNeueLTStd-Md"/>
          <w:color w:val="952973"/>
          <w:sz w:val="21"/>
          <w:szCs w:val="17"/>
        </w:rPr>
        <w:t>Explain the environmental scanning process.</w:t>
      </w:r>
    </w:p>
    <w:p w:rsidR="006A7B4C" w:rsidRDefault="006A7B4C" w:rsidP="006A7B4C">
      <w:pPr>
        <w:autoSpaceDE w:val="0"/>
        <w:autoSpaceDN w:val="0"/>
        <w:adjustRightInd w:val="0"/>
        <w:spacing w:after="0" w:line="240" w:lineRule="auto"/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</w:pPr>
      <w:r w:rsidRPr="006A7B4C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The environmental scanning process consists of the data-gathering phase, th</w:t>
      </w:r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e environmental interpretation/ </w:t>
      </w:r>
      <w:r w:rsidRPr="006A7B4C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analysis phase, and the strategy formulation phase. The three processes are </w:t>
      </w:r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interlinked, but over time more </w:t>
      </w:r>
      <w:r w:rsidRPr="006A7B4C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attention is focused on each one more than the others, so that, at the end</w:t>
      </w:r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 of the process, greater effort </w:t>
      </w:r>
      <w:r w:rsidRPr="006A7B4C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is expended on using knowledge gleaned from the external and competitive enviro</w:t>
      </w:r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nments to formulate </w:t>
      </w:r>
      <w:r w:rsidRPr="006A7B4C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strategy based on changes occurring and identified in the company’s environment.</w:t>
      </w:r>
    </w:p>
    <w:p w:rsidR="006A7B4C" w:rsidRPr="006A7B4C" w:rsidRDefault="006A7B4C" w:rsidP="006A7B4C">
      <w:pPr>
        <w:autoSpaceDE w:val="0"/>
        <w:autoSpaceDN w:val="0"/>
        <w:adjustRightInd w:val="0"/>
        <w:spacing w:after="0" w:line="240" w:lineRule="auto"/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</w:pPr>
    </w:p>
    <w:p w:rsidR="006A7B4C" w:rsidRPr="006A7B4C" w:rsidRDefault="006A7B4C" w:rsidP="006A7B4C">
      <w:pPr>
        <w:autoSpaceDE w:val="0"/>
        <w:autoSpaceDN w:val="0"/>
        <w:adjustRightInd w:val="0"/>
        <w:spacing w:after="0" w:line="240" w:lineRule="auto"/>
        <w:rPr>
          <w:rFonts w:ascii="HelveticaNeueLTStd-Md" w:eastAsia="ZapfDingbatsStd" w:hAnsi="HelveticaNeueLTStd-Md" w:cs="HelveticaNeueLTStd-Md"/>
          <w:color w:val="952973"/>
          <w:sz w:val="21"/>
          <w:szCs w:val="17"/>
        </w:rPr>
      </w:pPr>
      <w:r w:rsidRPr="006A7B4C">
        <w:rPr>
          <w:rFonts w:ascii="ZapfDingbatsStd" w:eastAsia="ZapfDingbatsStd" w:cs="ZapfDingbatsStd" w:hint="eastAsia"/>
          <w:color w:val="952973"/>
          <w:sz w:val="18"/>
          <w:szCs w:val="14"/>
        </w:rPr>
        <w:t>■</w:t>
      </w:r>
      <w:r w:rsidRPr="006A7B4C">
        <w:rPr>
          <w:rFonts w:ascii="ZapfDingbatsStd" w:eastAsia="ZapfDingbatsStd" w:cs="ZapfDingbatsStd"/>
          <w:color w:val="952973"/>
          <w:sz w:val="18"/>
          <w:szCs w:val="14"/>
        </w:rPr>
        <w:t xml:space="preserve"> </w:t>
      </w:r>
      <w:r w:rsidRPr="006A7B4C">
        <w:rPr>
          <w:rFonts w:ascii="HelveticaNeueLTStd-Md" w:eastAsia="ZapfDingbatsStd" w:hAnsi="HelveticaNeueLTStd-Md" w:cs="HelveticaNeueLTStd-Md"/>
          <w:color w:val="952973"/>
          <w:sz w:val="21"/>
          <w:szCs w:val="17"/>
        </w:rPr>
        <w:t>Analyse the performance environment using the Porter’s Five Forces industry analysis model.</w:t>
      </w:r>
    </w:p>
    <w:p w:rsidR="006A7B4C" w:rsidRDefault="006A7B4C" w:rsidP="006A7B4C">
      <w:pPr>
        <w:autoSpaceDE w:val="0"/>
        <w:autoSpaceDN w:val="0"/>
        <w:adjustRightInd w:val="0"/>
        <w:spacing w:after="0" w:line="240" w:lineRule="auto"/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</w:pPr>
      <w:r w:rsidRPr="006A7B4C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The most common technique used to analyse the performance environment is Porter’</w:t>
      </w:r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s Five Forces </w:t>
      </w:r>
      <w:r w:rsidRPr="006A7B4C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model of competitive analysis. Porter (1980) concludes that the more </w:t>
      </w:r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intense the rivalry between the </w:t>
      </w:r>
      <w:r w:rsidRPr="006A7B4C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industry players, the lower will be their overall performance. Conversely, the</w:t>
      </w:r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 lower the rivalry, the greater </w:t>
      </w:r>
      <w:r w:rsidRPr="006A7B4C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will be the performance of the industry players. Porter’s Five Force</w:t>
      </w:r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s comprise: supplier bargaining </w:t>
      </w:r>
      <w:r w:rsidRPr="006A7B4C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power; buyer bargaining power; the threat of new entrants; rivalry am</w:t>
      </w:r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ong competitors; and the threat </w:t>
      </w:r>
      <w:r w:rsidRPr="006A7B4C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of substitutes.</w:t>
      </w:r>
    </w:p>
    <w:p w:rsidR="006A7B4C" w:rsidRPr="006A7B4C" w:rsidRDefault="006A7B4C" w:rsidP="006A7B4C">
      <w:pPr>
        <w:autoSpaceDE w:val="0"/>
        <w:autoSpaceDN w:val="0"/>
        <w:adjustRightInd w:val="0"/>
        <w:spacing w:after="0" w:line="240" w:lineRule="auto"/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</w:pPr>
    </w:p>
    <w:p w:rsidR="006A7B4C" w:rsidRPr="006A7B4C" w:rsidRDefault="006A7B4C" w:rsidP="006A7B4C">
      <w:pPr>
        <w:autoSpaceDE w:val="0"/>
        <w:autoSpaceDN w:val="0"/>
        <w:adjustRightInd w:val="0"/>
        <w:spacing w:after="0" w:line="240" w:lineRule="auto"/>
        <w:rPr>
          <w:rFonts w:ascii="HelveticaNeueLTStd-Md" w:eastAsia="ZapfDingbatsStd" w:hAnsi="HelveticaNeueLTStd-Md" w:cs="HelveticaNeueLTStd-Md"/>
          <w:color w:val="952973"/>
          <w:sz w:val="21"/>
          <w:szCs w:val="17"/>
        </w:rPr>
      </w:pPr>
      <w:r w:rsidRPr="006A7B4C">
        <w:rPr>
          <w:rFonts w:ascii="ZapfDingbatsStd" w:eastAsia="ZapfDingbatsStd" w:cs="ZapfDingbatsStd" w:hint="eastAsia"/>
          <w:color w:val="952973"/>
          <w:sz w:val="18"/>
          <w:szCs w:val="14"/>
        </w:rPr>
        <w:t>■</w:t>
      </w:r>
      <w:r w:rsidRPr="006A7B4C">
        <w:rPr>
          <w:rFonts w:ascii="ZapfDingbatsStd" w:eastAsia="ZapfDingbatsStd" w:cs="ZapfDingbatsStd"/>
          <w:color w:val="952973"/>
          <w:sz w:val="18"/>
          <w:szCs w:val="14"/>
        </w:rPr>
        <w:t xml:space="preserve"> </w:t>
      </w:r>
      <w:r w:rsidRPr="006A7B4C">
        <w:rPr>
          <w:rFonts w:ascii="HelveticaNeueLTStd-Md" w:eastAsia="ZapfDingbatsStd" w:hAnsi="HelveticaNeueLTStd-Md" w:cs="HelveticaNeueLTStd-Md"/>
          <w:color w:val="952973"/>
          <w:sz w:val="21"/>
          <w:szCs w:val="17"/>
        </w:rPr>
        <w:t>Analyse an organization’s product/service portfolio to aid resource planning.</w:t>
      </w:r>
    </w:p>
    <w:p w:rsidR="00ED1163" w:rsidRPr="006A7B4C" w:rsidRDefault="006A7B4C" w:rsidP="006A7B4C">
      <w:pPr>
        <w:autoSpaceDE w:val="0"/>
        <w:autoSpaceDN w:val="0"/>
        <w:adjustRightInd w:val="0"/>
        <w:spacing w:after="0" w:line="240" w:lineRule="auto"/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</w:pPr>
      <w:r w:rsidRPr="006A7B4C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An organization’s principal resources relate to the portfolio of offerings th</w:t>
      </w:r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at it carries and the financial </w:t>
      </w:r>
      <w:r w:rsidRPr="006A7B4C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resources at its disposal. We use portfolio analysis—specifically, the Boston Box—</w:t>
      </w:r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to determine whether </w:t>
      </w:r>
      <w:r w:rsidRPr="006A7B4C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different SBUs or product/service formulations are </w:t>
      </w:r>
      <w:proofErr w:type="gramStart"/>
      <w:r w:rsidRPr="006A7B4C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stars,</w:t>
      </w:r>
      <w:proofErr w:type="gramEnd"/>
      <w:r w:rsidRPr="006A7B4C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 dogs, questi</w:t>
      </w:r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on marks, or cash cows. Each of </w:t>
      </w:r>
      <w:r w:rsidRPr="006A7B4C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these categories suggest differing levels of cash flow and require different resources if they are to develo</w:t>
      </w:r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p. It </w:t>
      </w:r>
      <w:r w:rsidRPr="006A7B4C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is important to undertake a marketing audit as a preliminary measure on the</w:t>
      </w:r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 basis of which we can properly </w:t>
      </w:r>
      <w:bookmarkStart w:id="0" w:name="_GoBack"/>
      <w:bookmarkEnd w:id="0"/>
      <w:r w:rsidRPr="006A7B4C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develop our marketing strategy.</w:t>
      </w:r>
    </w:p>
    <w:sectPr w:rsidR="00ED1163" w:rsidRPr="006A7B4C" w:rsidSect="003E0C67">
      <w:headerReference w:type="default" r:id="rId7"/>
      <w:footerReference w:type="default" r:id="rId8"/>
      <w:pgSz w:w="11906" w:h="16838"/>
      <w:pgMar w:top="1440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0C67" w:rsidRDefault="003E0C67" w:rsidP="003E0C67">
      <w:pPr>
        <w:spacing w:after="0" w:line="240" w:lineRule="auto"/>
      </w:pPr>
      <w:r>
        <w:separator/>
      </w:r>
    </w:p>
  </w:endnote>
  <w:endnote w:type="continuationSeparator" w:id="0">
    <w:p w:rsidR="003E0C67" w:rsidRDefault="003E0C67" w:rsidP="003E0C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Std-B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Std-L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ZapfDingbatsSt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elveticaNeueLTStd-M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UP Swift">
    <w:panose1 w:val="02000503080000020004"/>
    <w:charset w:val="00"/>
    <w:family w:val="auto"/>
    <w:pitch w:val="variable"/>
    <w:sig w:usb0="8000002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C67" w:rsidRDefault="003E0C67" w:rsidP="003E0C67">
    <w:pPr>
      <w:pStyle w:val="Footer"/>
      <w:jc w:val="right"/>
    </w:pPr>
    <w:r>
      <w:t>© Oxford University Press, 2020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0C67" w:rsidRDefault="003E0C67" w:rsidP="003E0C67">
      <w:pPr>
        <w:spacing w:after="0" w:line="240" w:lineRule="auto"/>
      </w:pPr>
      <w:r>
        <w:separator/>
      </w:r>
    </w:p>
  </w:footnote>
  <w:footnote w:type="continuationSeparator" w:id="0">
    <w:p w:rsidR="003E0C67" w:rsidRDefault="003E0C67" w:rsidP="003E0C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C67" w:rsidRPr="003E0C67" w:rsidRDefault="003E0C67">
    <w:pPr>
      <w:pStyle w:val="Header"/>
      <w:rPr>
        <w:rFonts w:ascii="OUP Swift" w:hAnsi="OUP Swift"/>
      </w:rPr>
    </w:pPr>
    <w:r w:rsidRPr="003E0C67">
      <w:rPr>
        <w:rFonts w:ascii="OUP Swift" w:hAnsi="OUP Swift"/>
        <w:i/>
      </w:rPr>
      <w:t>Marketing</w:t>
    </w:r>
    <w:r>
      <w:rPr>
        <w:rFonts w:ascii="OUP Swift" w:hAnsi="OUP Swift"/>
        <w:i/>
      </w:rPr>
      <w:t xml:space="preserve"> </w:t>
    </w:r>
    <w:r>
      <w:rPr>
        <w:rFonts w:ascii="OUP Swift" w:hAnsi="OUP Swift"/>
      </w:rPr>
      <w:t>International Edition</w:t>
    </w:r>
  </w:p>
  <w:p w:rsidR="003E0C67" w:rsidRPr="003E0C67" w:rsidRDefault="003739E0">
    <w:pPr>
      <w:pStyle w:val="Header"/>
      <w:rPr>
        <w:rFonts w:ascii="OUP Swift" w:hAnsi="OUP Swift"/>
      </w:rPr>
    </w:pPr>
    <w:r>
      <w:rPr>
        <w:rFonts w:ascii="OUP Swift" w:hAnsi="OUP Swift"/>
      </w:rPr>
      <w:t>Chapter Summary</w:t>
    </w:r>
  </w:p>
  <w:p w:rsidR="003E0C67" w:rsidRDefault="003E0C6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C67"/>
    <w:rsid w:val="0016377B"/>
    <w:rsid w:val="003739E0"/>
    <w:rsid w:val="003E0C67"/>
    <w:rsid w:val="006A7B4C"/>
    <w:rsid w:val="00993272"/>
    <w:rsid w:val="00C333F5"/>
    <w:rsid w:val="00D709B6"/>
    <w:rsid w:val="00ED1163"/>
    <w:rsid w:val="00FA4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0C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0C67"/>
  </w:style>
  <w:style w:type="paragraph" w:styleId="Footer">
    <w:name w:val="footer"/>
    <w:basedOn w:val="Normal"/>
    <w:link w:val="FooterChar"/>
    <w:uiPriority w:val="99"/>
    <w:unhideWhenUsed/>
    <w:rsid w:val="003E0C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0C67"/>
  </w:style>
  <w:style w:type="paragraph" w:styleId="BalloonText">
    <w:name w:val="Balloon Text"/>
    <w:basedOn w:val="Normal"/>
    <w:link w:val="BalloonTextChar"/>
    <w:uiPriority w:val="99"/>
    <w:semiHidden/>
    <w:unhideWhenUsed/>
    <w:rsid w:val="003E0C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0C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0C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0C67"/>
  </w:style>
  <w:style w:type="paragraph" w:styleId="Footer">
    <w:name w:val="footer"/>
    <w:basedOn w:val="Normal"/>
    <w:link w:val="FooterChar"/>
    <w:uiPriority w:val="99"/>
    <w:unhideWhenUsed/>
    <w:rsid w:val="003E0C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0C67"/>
  </w:style>
  <w:style w:type="paragraph" w:styleId="BalloonText">
    <w:name w:val="Balloon Text"/>
    <w:basedOn w:val="Normal"/>
    <w:link w:val="BalloonTextChar"/>
    <w:uiPriority w:val="99"/>
    <w:semiHidden/>
    <w:unhideWhenUsed/>
    <w:rsid w:val="003E0C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0C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522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University Press</Company>
  <LinksUpToDate>false</LinksUpToDate>
  <CharactersWithSpaces>3493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BELL, Jennifer</dc:creator>
  <cp:lastModifiedBy>BELL, Jennifer</cp:lastModifiedBy>
  <cp:revision>2</cp:revision>
  <dcterms:created xsi:type="dcterms:W3CDTF">2019-10-23T15:06:00Z</dcterms:created>
  <dcterms:modified xsi:type="dcterms:W3CDTF">2019-10-23T15:06:00Z</dcterms:modified>
</cp:coreProperties>
</file>