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3A" w:rsidRPr="00671109" w:rsidRDefault="00E6293A" w:rsidP="00E6293A">
      <w:pPr>
        <w:spacing w:after="0" w:line="240" w:lineRule="auto"/>
        <w:rPr>
          <w:rFonts w:cstheme="minorHAnsi"/>
          <w:b/>
          <w:bCs/>
          <w:color w:val="DA000D"/>
          <w:sz w:val="22"/>
          <w:szCs w:val="22"/>
        </w:rPr>
      </w:pPr>
      <w:r w:rsidRPr="00671109">
        <w:rPr>
          <w:rFonts w:cstheme="minorHAnsi"/>
          <w:b/>
          <w:bCs/>
          <w:color w:val="DA000D"/>
          <w:sz w:val="22"/>
          <w:szCs w:val="22"/>
        </w:rPr>
        <w:t>22 Altruism and antisocial behaviour</w:t>
      </w:r>
    </w:p>
    <w:p w:rsidR="00E6293A" w:rsidRDefault="00E6293A" w:rsidP="00E6293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Altruism: human beings at their best</w:t>
      </w:r>
    </w:p>
    <w:p w:rsidR="00E6293A" w:rsidRPr="00B578BE" w:rsidRDefault="00E6293A" w:rsidP="00E6293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Humans have the tendency to unpredictably offer help to those in need, including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strangers.</w:t>
      </w:r>
    </w:p>
    <w:p w:rsidR="00E6293A" w:rsidRPr="00B578BE" w:rsidRDefault="00E6293A" w:rsidP="00E6293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The proximate causes of empathy appear to be related to empathy. Contemporary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research suggests that empathy has a neurological basis involving mirror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neurons.</w:t>
      </w:r>
    </w:p>
    <w:p w:rsidR="00E6293A" w:rsidRPr="00B578BE" w:rsidRDefault="00E6293A" w:rsidP="00E6293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Altruism also requires an ultimate explanation. One such explanation involves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inclusive fitness, the idea that we instinctively favour those with similar genetic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make-up in order to promote the survival of our genes to future generations.</w:t>
      </w:r>
    </w:p>
    <w:p w:rsidR="00E6293A" w:rsidRPr="00B578BE" w:rsidRDefault="00E6293A" w:rsidP="00E6293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An alternative ultimate explanation involves reciprocal altruism. This occurs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when people assist one another knowing that this is likely to be reciprocated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when the actor needs help in the future.</w:t>
      </w:r>
    </w:p>
    <w:p w:rsidR="00E6293A" w:rsidRDefault="00E6293A" w:rsidP="00E6293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Bystander apathy</w:t>
      </w:r>
    </w:p>
    <w:p w:rsidR="00E6293A" w:rsidRPr="00B578BE" w:rsidRDefault="00E6293A" w:rsidP="00E6293A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Research into bystander behaviour was stimulated by the high-profile murder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Kitty Genovese, in which a number of neighbours reportedly failed to intervene.</w:t>
      </w:r>
    </w:p>
    <w:p w:rsidR="00E6293A" w:rsidRPr="00B578BE" w:rsidRDefault="00E6293A" w:rsidP="00E6293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Although Genovese case was widely misreported, the principle that people in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larger numbers are less likely to intervene to offer help has been upheld by experimental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research.</w:t>
      </w:r>
    </w:p>
    <w:p w:rsidR="00E6293A" w:rsidRPr="00B578BE" w:rsidRDefault="00E6293A" w:rsidP="00E6293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The probability of bystander apathy also increases where the situation is ambiguous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and where those needing help are strangers, and decreases where there is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physical danger and when males are present.</w:t>
      </w:r>
    </w:p>
    <w:p w:rsidR="00E6293A" w:rsidRPr="00B578BE" w:rsidRDefault="00E6293A" w:rsidP="00E6293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Recent high-profile mass instances of bystander apathy by health professionals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towards patients have spawned the term ‘compassion deficit’ describing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disposition of the carers. There are, however, situational explanations for this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behaviour.</w:t>
      </w:r>
    </w:p>
    <w:p w:rsidR="00E6293A" w:rsidRDefault="00E6293A" w:rsidP="00E6293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Prejudice</w:t>
      </w:r>
    </w:p>
    <w:p w:rsidR="00E6293A" w:rsidRPr="00B578BE" w:rsidRDefault="00E6293A" w:rsidP="00E6293A">
      <w:pPr>
        <w:pStyle w:val="ListParagraph"/>
        <w:numPr>
          <w:ilvl w:val="0"/>
          <w:numId w:val="19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A prejudice is an extreme attitude with cognitive, affective, and behavioural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components. Prejudices can have structural as well as individual forms and can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be hostile or benevolent in their intent.</w:t>
      </w:r>
    </w:p>
    <w:p w:rsidR="00E6293A" w:rsidRPr="00B578BE" w:rsidRDefault="00E6293A" w:rsidP="00E6293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Stereotyping is an inevitable cognitive process but can have serious consequences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for the target groups involved. Stereotypes can include positive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negative characteristics and can be thought of as having two dimensions, competence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and warmth.</w:t>
      </w:r>
    </w:p>
    <w:p w:rsidR="00E6293A" w:rsidRPr="00B578BE" w:rsidRDefault="00E6293A" w:rsidP="00E6293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Humans have a tendency for bias in favour of their own social categories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against members of different social categories. This is exacerbated by competition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and can be tackled by the pursuit of shared goals.</w:t>
      </w:r>
    </w:p>
    <w:p w:rsidR="00E6293A" w:rsidRPr="00B578BE" w:rsidRDefault="00E6293A" w:rsidP="00E6293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Even those who reject group stereotypes and deny conscious bias may have implicit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prejudice, unconscious bias towards particular social categories. However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the standard tool for measuring implicit bias, the IAT, is controversial.</w:t>
      </w:r>
    </w:p>
    <w:p w:rsidR="00E6293A" w:rsidRPr="00B578BE" w:rsidRDefault="00E6293A" w:rsidP="00E6293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There may be an existential aspect to prejudice as we boost our own self-esteem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and cultural identity at the expense of others in order to help manage the terror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of our own mortality.</w:t>
      </w:r>
    </w:p>
    <w:p w:rsidR="00E6293A" w:rsidRDefault="00E6293A" w:rsidP="00E6293A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Aggression</w:t>
      </w:r>
    </w:p>
    <w:p w:rsidR="00E6293A" w:rsidRPr="00B578BE" w:rsidRDefault="00E6293A" w:rsidP="00E6293A">
      <w:pPr>
        <w:pStyle w:val="ListParagraph"/>
        <w:numPr>
          <w:ilvl w:val="0"/>
          <w:numId w:val="2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Aggression involves the attempt to harm another person by carrying out an act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in the knowledge that it will be harmful and against the wishes of the person.</w:t>
      </w:r>
    </w:p>
    <w:p w:rsidR="00E6293A" w:rsidRPr="00B578BE" w:rsidRDefault="00E6293A" w:rsidP="00E6293A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There are important distinctions between aggression and violence, between hostile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and instrumental aggression and between real and ritual violence.</w:t>
      </w:r>
    </w:p>
    <w:p w:rsidR="00E6293A" w:rsidRPr="00B578BE" w:rsidRDefault="00E6293A" w:rsidP="00E6293A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There are sex differences in aggression, with males responsible for more direct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or physical aggression than females.</w:t>
      </w:r>
    </w:p>
    <w:p w:rsidR="00E6293A" w:rsidRPr="00B578BE" w:rsidRDefault="00E6293A" w:rsidP="00E6293A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There are a range of factors affecting aggression including frustration and observational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learning. The general aggression model takes into account a range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of external factors, including frustration and provocation, and internal factors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such as personality, sex, and decision-making.</w:t>
      </w:r>
    </w:p>
    <w:p w:rsidR="00E6293A" w:rsidRPr="00B578BE" w:rsidRDefault="00E6293A" w:rsidP="00E6293A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t>In keeping with what we know about self-serving bias, it appears that people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>find ways to justify their aggression.</w:t>
      </w:r>
    </w:p>
    <w:p w:rsidR="00E6293A" w:rsidRPr="00B578BE" w:rsidRDefault="00E6293A" w:rsidP="00E6293A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B578BE">
        <w:rPr>
          <w:rFonts w:cstheme="minorHAnsi"/>
          <w:color w:val="333333"/>
          <w:sz w:val="22"/>
          <w:szCs w:val="22"/>
        </w:rPr>
        <w:lastRenderedPageBreak/>
        <w:t>Intergroup conflict accounts for much large-scale aggression. This is characterized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B578BE">
        <w:rPr>
          <w:rFonts w:cstheme="minorHAnsi"/>
          <w:color w:val="333333"/>
          <w:sz w:val="22"/>
          <w:szCs w:val="22"/>
        </w:rPr>
        <w:t xml:space="preserve">by dehumanization and </w:t>
      </w:r>
      <w:proofErr w:type="spellStart"/>
      <w:r w:rsidRPr="00B578BE">
        <w:rPr>
          <w:rFonts w:cstheme="minorHAnsi"/>
          <w:color w:val="333333"/>
          <w:sz w:val="22"/>
          <w:szCs w:val="22"/>
        </w:rPr>
        <w:t>deindividuation</w:t>
      </w:r>
      <w:proofErr w:type="spellEnd"/>
      <w:r w:rsidRPr="00B578BE">
        <w:rPr>
          <w:rFonts w:cstheme="minorHAnsi"/>
          <w:color w:val="333333"/>
          <w:sz w:val="22"/>
          <w:szCs w:val="22"/>
        </w:rPr>
        <w:t>.</w:t>
      </w:r>
    </w:p>
    <w:p w:rsidR="0074276B" w:rsidRPr="00E6293A" w:rsidRDefault="0074276B" w:rsidP="00E6293A">
      <w:bookmarkStart w:id="0" w:name="_GoBack"/>
      <w:bookmarkEnd w:id="0"/>
    </w:p>
    <w:sectPr w:rsidR="0074276B" w:rsidRPr="00E629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C0" w:rsidRDefault="00E629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3773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70D6F" w:rsidRDefault="00E629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0D6F" w:rsidRDefault="00E629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C0" w:rsidRDefault="00E6293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C0" w:rsidRDefault="00E629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D6F" w:rsidRDefault="00E6293A" w:rsidP="0009175F">
    <w:pPr>
      <w:pStyle w:val="Header"/>
      <w:tabs>
        <w:tab w:val="clear" w:pos="4513"/>
      </w:tabs>
    </w:pPr>
    <w:r w:rsidRPr="0009175F">
      <w:rPr>
        <w:i/>
      </w:rPr>
      <w:t>Principles of Psychology</w:t>
    </w:r>
    <w:r>
      <w:tab/>
      <w:t>Chapter outlines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5C0" w:rsidRDefault="00E629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4F4"/>
    <w:multiLevelType w:val="hybridMultilevel"/>
    <w:tmpl w:val="47DC3AC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71AB6"/>
    <w:multiLevelType w:val="hybridMultilevel"/>
    <w:tmpl w:val="E91EBBB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B92F0E"/>
    <w:multiLevelType w:val="hybridMultilevel"/>
    <w:tmpl w:val="E0E0A15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080531"/>
    <w:multiLevelType w:val="hybridMultilevel"/>
    <w:tmpl w:val="A788AFF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4552F"/>
    <w:multiLevelType w:val="hybridMultilevel"/>
    <w:tmpl w:val="4D980E4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BF6C41"/>
    <w:multiLevelType w:val="hybridMultilevel"/>
    <w:tmpl w:val="9BCEBBC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457F77"/>
    <w:multiLevelType w:val="hybridMultilevel"/>
    <w:tmpl w:val="A458457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B13FA"/>
    <w:multiLevelType w:val="hybridMultilevel"/>
    <w:tmpl w:val="3E50DDA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E493E"/>
    <w:multiLevelType w:val="hybridMultilevel"/>
    <w:tmpl w:val="117C2AE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841AA"/>
    <w:multiLevelType w:val="hybridMultilevel"/>
    <w:tmpl w:val="0902FE8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F1B23"/>
    <w:multiLevelType w:val="hybridMultilevel"/>
    <w:tmpl w:val="AA2A7F3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D97642"/>
    <w:multiLevelType w:val="hybridMultilevel"/>
    <w:tmpl w:val="339EA3F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62765B"/>
    <w:multiLevelType w:val="hybridMultilevel"/>
    <w:tmpl w:val="A62C5E7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1609A"/>
    <w:multiLevelType w:val="hybridMultilevel"/>
    <w:tmpl w:val="82462A7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724D8"/>
    <w:multiLevelType w:val="hybridMultilevel"/>
    <w:tmpl w:val="3620CF8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602556"/>
    <w:multiLevelType w:val="hybridMultilevel"/>
    <w:tmpl w:val="13308C7A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3767F6"/>
    <w:multiLevelType w:val="hybridMultilevel"/>
    <w:tmpl w:val="0B74DD4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15"/>
  </w:num>
  <w:num w:numId="7">
    <w:abstractNumId w:val="1"/>
  </w:num>
  <w:num w:numId="8">
    <w:abstractNumId w:val="5"/>
  </w:num>
  <w:num w:numId="9">
    <w:abstractNumId w:val="14"/>
  </w:num>
  <w:num w:numId="10">
    <w:abstractNumId w:val="16"/>
  </w:num>
  <w:num w:numId="11">
    <w:abstractNumId w:val="6"/>
  </w:num>
  <w:num w:numId="12">
    <w:abstractNumId w:val="17"/>
  </w:num>
  <w:num w:numId="13">
    <w:abstractNumId w:val="4"/>
  </w:num>
  <w:num w:numId="14">
    <w:abstractNumId w:val="18"/>
  </w:num>
  <w:num w:numId="15">
    <w:abstractNumId w:val="9"/>
  </w:num>
  <w:num w:numId="16">
    <w:abstractNumId w:val="19"/>
  </w:num>
  <w:num w:numId="17">
    <w:abstractNumId w:val="13"/>
  </w:num>
  <w:num w:numId="18">
    <w:abstractNumId w:val="20"/>
  </w:num>
  <w:num w:numId="19">
    <w:abstractNumId w:val="7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316D60"/>
    <w:rsid w:val="0074276B"/>
    <w:rsid w:val="00CB003C"/>
    <w:rsid w:val="00CF0DFA"/>
    <w:rsid w:val="00D069C0"/>
    <w:rsid w:val="00DA046A"/>
    <w:rsid w:val="00E6293A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93A"/>
    <w:rPr>
      <w:rFonts w:eastAsiaTheme="minorEastAsia"/>
      <w:sz w:val="21"/>
      <w:szCs w:val="21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93A"/>
    <w:rPr>
      <w:rFonts w:eastAsiaTheme="minorEastAsia"/>
      <w:sz w:val="21"/>
      <w:szCs w:val="2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93A"/>
    <w:rPr>
      <w:rFonts w:eastAsiaTheme="minorEastAsia"/>
      <w:sz w:val="21"/>
      <w:szCs w:val="21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E6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93A"/>
    <w:rPr>
      <w:rFonts w:eastAsiaTheme="minorEastAsia"/>
      <w:sz w:val="21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5</cp:revision>
  <dcterms:created xsi:type="dcterms:W3CDTF">2019-11-25T10:14:00Z</dcterms:created>
  <dcterms:modified xsi:type="dcterms:W3CDTF">2019-11-25T10:28:00Z</dcterms:modified>
</cp:coreProperties>
</file>