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FB" w:rsidRDefault="00FE6EFB" w:rsidP="00FE6EFB">
      <w:pPr>
        <w:pStyle w:val="Heading1"/>
      </w:pPr>
      <w:r>
        <w:t>Chapter 21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valid do you think the 15-a-day figure might be?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</w:pPr>
      <w:r>
        <w:rPr>
          <w:rFonts w:ascii="Calibri" w:hAnsi="Calibri"/>
        </w:rPr>
        <w:t>Discuss your personal (not too personal) examples of social facilitation and social inhibition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we conform?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has the idea of informational influence informed our understanding of on-line “echo chambers?”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is groupthink so dangerous?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are the findings of modern obedience studies consistent with Milgram’s?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 Milgram’s conclusions exemplify the complementarity of quantitative and qualitative data?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does social identity theory provide a better explanation for classic findings in social psychology?</w:t>
      </w:r>
    </w:p>
    <w:p w:rsidR="00FE6EFB" w:rsidRDefault="00FE6EFB" w:rsidP="00FE6EFB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attractiveness universal?</w:t>
      </w:r>
    </w:p>
    <w:p w:rsidR="00FE6EFB" w:rsidRDefault="00FE6EFB" w:rsidP="00FE6EFB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5900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D6"/>
    <w:rsid w:val="000528D6"/>
    <w:rsid w:val="000D7AE6"/>
    <w:rsid w:val="00125BF1"/>
    <w:rsid w:val="00DC7A8C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F4146-3331-4417-A28C-6D0EC98F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FB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EF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FB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2019-11-07T06:02:00Z</dcterms:created>
  <dcterms:modified xsi:type="dcterms:W3CDTF">2019-11-07T06:02:00Z</dcterms:modified>
</cp:coreProperties>
</file>