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6E" w:rsidRPr="00EC7054" w:rsidRDefault="001F206E" w:rsidP="001F206E">
      <w:pPr>
        <w:pStyle w:val="Heading1"/>
        <w:rPr>
          <w:rFonts w:eastAsia="Times New Roman"/>
        </w:rPr>
      </w:pPr>
      <w:r w:rsidRPr="00EC7054">
        <w:rPr>
          <w:rFonts w:eastAsia="Times New Roman"/>
        </w:rPr>
        <w:t>Further Reading</w:t>
      </w:r>
    </w:p>
    <w:p w:rsidR="001F206E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r w:rsidRPr="002C4BEB">
        <w:rPr>
          <w:rFonts w:ascii="Calibri" w:eastAsia="Times New Roman" w:hAnsi="Calibri"/>
        </w:rPr>
        <w:t>Baadsgaard</w:t>
      </w:r>
      <w:proofErr w:type="spellEnd"/>
      <w:r w:rsidRPr="002C4BEB">
        <w:rPr>
          <w:rFonts w:ascii="Calibri" w:eastAsia="Times New Roman" w:hAnsi="Calibri"/>
        </w:rPr>
        <w:t xml:space="preserve">, A., 2016. </w:t>
      </w:r>
      <w:proofErr w:type="gramStart"/>
      <w:r w:rsidRPr="002C4BEB">
        <w:rPr>
          <w:rFonts w:ascii="Calibri" w:eastAsia="Times New Roman" w:hAnsi="Calibri"/>
        </w:rPr>
        <w:t>All the</w:t>
      </w:r>
      <w:proofErr w:type="gramEnd"/>
      <w:r w:rsidRPr="002C4BEB">
        <w:rPr>
          <w:rFonts w:ascii="Calibri" w:eastAsia="Times New Roman" w:hAnsi="Calibri"/>
        </w:rPr>
        <w:t xml:space="preserve"> Queen's Clothes: Identifying Female Royalty at Early Dynastic Ur. </w:t>
      </w:r>
      <w:proofErr w:type="gramStart"/>
      <w:r w:rsidRPr="002C4BEB">
        <w:rPr>
          <w:rFonts w:ascii="Calibri" w:eastAsia="Times New Roman" w:hAnsi="Calibri"/>
          <w:i/>
          <w:iCs/>
        </w:rPr>
        <w:t>Near Eastern Archaeology</w:t>
      </w:r>
      <w:r w:rsidRPr="002C4BEB">
        <w:rPr>
          <w:rFonts w:ascii="Calibri" w:eastAsia="Times New Roman" w:hAnsi="Calibri"/>
        </w:rPr>
        <w:t>, </w:t>
      </w:r>
      <w:r w:rsidRPr="002C4BEB">
        <w:rPr>
          <w:rFonts w:ascii="Calibri" w:eastAsia="Times New Roman" w:hAnsi="Calibri"/>
          <w:i/>
          <w:iCs/>
        </w:rPr>
        <w:t>79</w:t>
      </w:r>
      <w:r w:rsidRPr="002C4BEB">
        <w:rPr>
          <w:rFonts w:ascii="Calibri" w:eastAsia="Times New Roman" w:hAnsi="Calibri"/>
        </w:rPr>
        <w:t>(3), pp.148-155.</w:t>
      </w:r>
      <w:proofErr w:type="gramEnd"/>
    </w:p>
    <w:p w:rsidR="001F206E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206E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  <w:r w:rsidRPr="00596663">
        <w:rPr>
          <w:rFonts w:ascii="Calibri" w:eastAsia="Times New Roman" w:hAnsi="Calibri"/>
        </w:rPr>
        <w:t xml:space="preserve">Bauer, A.A., 2015. </w:t>
      </w:r>
      <w:proofErr w:type="gramStart"/>
      <w:r w:rsidRPr="00596663">
        <w:rPr>
          <w:rFonts w:ascii="Calibri" w:eastAsia="Times New Roman" w:hAnsi="Calibri"/>
        </w:rPr>
        <w:t>The destruction of heritage in Syria and Iraq and its</w:t>
      </w:r>
      <w:r>
        <w:rPr>
          <w:rFonts w:ascii="Calibri" w:eastAsia="Times New Roman" w:hAnsi="Calibri"/>
        </w:rPr>
        <w:t xml:space="preserve"> </w:t>
      </w:r>
      <w:r w:rsidRPr="00596663">
        <w:rPr>
          <w:rFonts w:ascii="Calibri" w:eastAsia="Times New Roman" w:hAnsi="Calibri"/>
        </w:rPr>
        <w:t>implications.</w:t>
      </w:r>
      <w:proofErr w:type="gramEnd"/>
      <w:r>
        <w:rPr>
          <w:rFonts w:ascii="Calibri" w:eastAsia="Times New Roman" w:hAnsi="Calibri"/>
        </w:rPr>
        <w:t xml:space="preserve"> </w:t>
      </w:r>
      <w:r w:rsidRPr="00596663">
        <w:rPr>
          <w:rFonts w:ascii="Calibri" w:eastAsia="Times New Roman" w:hAnsi="Calibri"/>
        </w:rPr>
        <w:t> </w:t>
      </w:r>
      <w:proofErr w:type="gramStart"/>
      <w:r w:rsidRPr="00596663">
        <w:rPr>
          <w:rFonts w:ascii="Calibri" w:eastAsia="Times New Roman" w:hAnsi="Calibri"/>
          <w:i/>
          <w:iCs/>
        </w:rPr>
        <w:t>International Journal of Cultural Property</w:t>
      </w:r>
      <w:r w:rsidRPr="00596663">
        <w:rPr>
          <w:rFonts w:ascii="Calibri" w:eastAsia="Times New Roman" w:hAnsi="Calibri"/>
        </w:rPr>
        <w:t>, </w:t>
      </w:r>
      <w:r w:rsidRPr="00596663">
        <w:rPr>
          <w:rFonts w:ascii="Calibri" w:eastAsia="Times New Roman" w:hAnsi="Calibri"/>
          <w:i/>
          <w:iCs/>
        </w:rPr>
        <w:t>22</w:t>
      </w:r>
      <w:r w:rsidRPr="00596663">
        <w:rPr>
          <w:rFonts w:ascii="Calibri" w:eastAsia="Times New Roman" w:hAnsi="Calibri"/>
        </w:rPr>
        <w:t>(1), pp.1-6.</w:t>
      </w:r>
      <w:proofErr w:type="gramEnd"/>
    </w:p>
    <w:p w:rsidR="001F206E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r w:rsidRPr="00EC7054">
        <w:rPr>
          <w:rFonts w:ascii="Calibri" w:eastAsia="Times New Roman" w:hAnsi="Calibri"/>
        </w:rPr>
        <w:t>Dalley</w:t>
      </w:r>
      <w:proofErr w:type="spellEnd"/>
      <w:r w:rsidRPr="00EC7054">
        <w:rPr>
          <w:rFonts w:ascii="Calibri" w:eastAsia="Times New Roman" w:hAnsi="Calibri"/>
        </w:rPr>
        <w:t xml:space="preserve">, S. 2009. </w:t>
      </w:r>
      <w:r w:rsidRPr="00EC7054">
        <w:rPr>
          <w:rFonts w:ascii="Calibri" w:eastAsia="Times New Roman" w:hAnsi="Calibri"/>
          <w:i/>
        </w:rPr>
        <w:t>Myths from Mesopotamia: Creation, the Flood, Gilgamesh, and Others</w:t>
      </w:r>
      <w:r w:rsidRPr="00EC7054">
        <w:rPr>
          <w:rFonts w:ascii="Calibri" w:eastAsia="Times New Roman" w:hAnsi="Calibri"/>
        </w:rPr>
        <w:t>. Oxford: Oxford Paperbacks.</w:t>
      </w: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proofErr w:type="gramStart"/>
      <w:r w:rsidRPr="00EC7054">
        <w:rPr>
          <w:rFonts w:ascii="Calibri" w:eastAsia="Times New Roman" w:hAnsi="Calibri"/>
        </w:rPr>
        <w:t>Finkel</w:t>
      </w:r>
      <w:proofErr w:type="spellEnd"/>
      <w:r w:rsidRPr="00EC7054">
        <w:rPr>
          <w:rFonts w:ascii="Calibri" w:eastAsia="Times New Roman" w:hAnsi="Calibri"/>
        </w:rPr>
        <w:t>, I., and J. Taylor.</w:t>
      </w:r>
      <w:proofErr w:type="gramEnd"/>
      <w:r w:rsidRPr="00EC7054">
        <w:rPr>
          <w:rFonts w:ascii="Calibri" w:eastAsia="Times New Roman" w:hAnsi="Calibri"/>
        </w:rPr>
        <w:t xml:space="preserve"> 2015. </w:t>
      </w:r>
      <w:r w:rsidRPr="00EC7054">
        <w:rPr>
          <w:rFonts w:ascii="Calibri" w:eastAsia="Times New Roman" w:hAnsi="Calibri"/>
          <w:i/>
        </w:rPr>
        <w:t>Cuneiform: Ancient Scripts</w:t>
      </w:r>
      <w:r w:rsidRPr="00EC7054">
        <w:rPr>
          <w:rFonts w:ascii="Calibri" w:eastAsia="Times New Roman" w:hAnsi="Calibri"/>
        </w:rPr>
        <w:t>. Los Angeles: J. Paul Getty Museum.</w:t>
      </w: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  <w:r w:rsidRPr="00EC7054">
        <w:rPr>
          <w:rFonts w:ascii="Calibri" w:eastAsia="Times New Roman" w:hAnsi="Calibri"/>
        </w:rPr>
        <w:t xml:space="preserve">Foster, B. R., and K. P. Foster. 2011. </w:t>
      </w:r>
      <w:r w:rsidRPr="00EC7054">
        <w:rPr>
          <w:rFonts w:ascii="Calibri" w:eastAsia="Times New Roman" w:hAnsi="Calibri"/>
          <w:i/>
        </w:rPr>
        <w:t>Civilizations of Ancient Iraq</w:t>
      </w:r>
      <w:r w:rsidRPr="00EC7054">
        <w:rPr>
          <w:rFonts w:ascii="Calibri" w:eastAsia="Times New Roman" w:hAnsi="Calibri"/>
        </w:rPr>
        <w:t>. Princeton, NJ: Princeton University Press.</w:t>
      </w: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  <w:proofErr w:type="gramStart"/>
      <w:r w:rsidRPr="00EC7054">
        <w:rPr>
          <w:rFonts w:ascii="Calibri" w:eastAsia="Times New Roman" w:hAnsi="Calibri"/>
        </w:rPr>
        <w:t>George, A. 2003.</w:t>
      </w:r>
      <w:proofErr w:type="gramEnd"/>
      <w:r w:rsidRPr="00EC7054">
        <w:rPr>
          <w:rFonts w:ascii="Calibri" w:eastAsia="Times New Roman" w:hAnsi="Calibri"/>
        </w:rPr>
        <w:t xml:space="preserve"> </w:t>
      </w:r>
      <w:proofErr w:type="gramStart"/>
      <w:r w:rsidRPr="00EC7054">
        <w:rPr>
          <w:rFonts w:ascii="Calibri" w:eastAsia="Times New Roman" w:hAnsi="Calibri"/>
          <w:i/>
        </w:rPr>
        <w:t>The Epic of Gilgamesh</w:t>
      </w:r>
      <w:r w:rsidRPr="00EC7054">
        <w:rPr>
          <w:rFonts w:ascii="Calibri" w:eastAsia="Times New Roman" w:hAnsi="Calibri"/>
        </w:rPr>
        <w:t>.</w:t>
      </w:r>
      <w:proofErr w:type="gramEnd"/>
      <w:r w:rsidRPr="00EC7054">
        <w:rPr>
          <w:rFonts w:ascii="Calibri" w:eastAsia="Times New Roman" w:hAnsi="Calibri"/>
        </w:rPr>
        <w:t xml:space="preserve"> London: Penguin Press.</w:t>
      </w: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r w:rsidRPr="00EC7054">
        <w:rPr>
          <w:rFonts w:ascii="Calibri" w:eastAsia="Times New Roman" w:hAnsi="Calibri"/>
        </w:rPr>
        <w:t>Leick</w:t>
      </w:r>
      <w:proofErr w:type="spellEnd"/>
      <w:r w:rsidRPr="00EC7054">
        <w:rPr>
          <w:rFonts w:ascii="Calibri" w:eastAsia="Times New Roman" w:hAnsi="Calibri"/>
        </w:rPr>
        <w:t xml:space="preserve">, G. 2003. </w:t>
      </w:r>
      <w:r w:rsidRPr="00EC7054">
        <w:rPr>
          <w:rFonts w:ascii="Calibri" w:eastAsia="Times New Roman" w:hAnsi="Calibri"/>
          <w:i/>
        </w:rPr>
        <w:t>Mesopotamia: The Invention of the City</w:t>
      </w:r>
      <w:r w:rsidRPr="00EC7054">
        <w:rPr>
          <w:rFonts w:ascii="Calibri" w:eastAsia="Times New Roman" w:hAnsi="Calibri"/>
        </w:rPr>
        <w:t>. London: Penguin Press.</w:t>
      </w: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  <w:proofErr w:type="gramStart"/>
      <w:r w:rsidRPr="00EC7054">
        <w:rPr>
          <w:rFonts w:ascii="Calibri" w:eastAsia="Times New Roman" w:hAnsi="Calibri"/>
        </w:rPr>
        <w:t>Matthews, R. 2003.</w:t>
      </w:r>
      <w:proofErr w:type="gramEnd"/>
      <w:r w:rsidRPr="00EC7054">
        <w:rPr>
          <w:rFonts w:ascii="Calibri" w:eastAsia="Times New Roman" w:hAnsi="Calibri"/>
        </w:rPr>
        <w:t xml:space="preserve"> </w:t>
      </w:r>
      <w:r w:rsidRPr="00EC7054">
        <w:rPr>
          <w:rFonts w:ascii="Calibri" w:eastAsia="Times New Roman" w:hAnsi="Calibri"/>
          <w:i/>
        </w:rPr>
        <w:t>The Archaeology of Mesopotamia: Theories and Approaches</w:t>
      </w:r>
      <w:r w:rsidRPr="00EC7054">
        <w:rPr>
          <w:rFonts w:ascii="Calibri" w:eastAsia="Times New Roman" w:hAnsi="Calibri"/>
        </w:rPr>
        <w:t xml:space="preserve">. London: </w:t>
      </w:r>
      <w:proofErr w:type="spellStart"/>
      <w:r w:rsidRPr="00EC7054">
        <w:rPr>
          <w:rFonts w:ascii="Calibri" w:eastAsia="Times New Roman" w:hAnsi="Calibri"/>
        </w:rPr>
        <w:t>Routledge</w:t>
      </w:r>
      <w:proofErr w:type="spellEnd"/>
      <w:r w:rsidRPr="00EC7054">
        <w:rPr>
          <w:rFonts w:ascii="Calibri" w:eastAsia="Times New Roman" w:hAnsi="Calibri"/>
        </w:rPr>
        <w:t>.</w:t>
      </w: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206E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proofErr w:type="gramStart"/>
      <w:r w:rsidRPr="00EC7054">
        <w:rPr>
          <w:rFonts w:ascii="Calibri" w:eastAsia="Times New Roman" w:hAnsi="Calibri"/>
        </w:rPr>
        <w:t>Schmandt-Besserat</w:t>
      </w:r>
      <w:proofErr w:type="spellEnd"/>
      <w:r w:rsidRPr="00EC7054">
        <w:rPr>
          <w:rFonts w:ascii="Calibri" w:eastAsia="Times New Roman" w:hAnsi="Calibri"/>
        </w:rPr>
        <w:t>, D. 2006.</w:t>
      </w:r>
      <w:proofErr w:type="gramEnd"/>
      <w:r w:rsidRPr="00EC7054">
        <w:rPr>
          <w:rFonts w:ascii="Calibri" w:eastAsia="Times New Roman" w:hAnsi="Calibri"/>
        </w:rPr>
        <w:t xml:space="preserve"> </w:t>
      </w:r>
      <w:r w:rsidRPr="00EC7054">
        <w:rPr>
          <w:rFonts w:ascii="Calibri" w:eastAsia="Times New Roman" w:hAnsi="Calibri"/>
          <w:i/>
        </w:rPr>
        <w:t>How Writing Came About</w:t>
      </w:r>
      <w:r w:rsidRPr="00EC7054">
        <w:rPr>
          <w:rFonts w:ascii="Calibri" w:eastAsia="Times New Roman" w:hAnsi="Calibri"/>
        </w:rPr>
        <w:t>. Austin: University of Texas Press.</w:t>
      </w:r>
    </w:p>
    <w:p w:rsidR="001F206E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r w:rsidRPr="002C4BEB">
        <w:rPr>
          <w:rFonts w:ascii="Calibri" w:eastAsia="Times New Roman" w:hAnsi="Calibri"/>
        </w:rPr>
        <w:t>Twiss</w:t>
      </w:r>
      <w:proofErr w:type="spellEnd"/>
      <w:r w:rsidRPr="002C4BEB">
        <w:rPr>
          <w:rFonts w:ascii="Calibri" w:eastAsia="Times New Roman" w:hAnsi="Calibri"/>
        </w:rPr>
        <w:t xml:space="preserve">, K.C., 2017. Animals of the </w:t>
      </w:r>
      <w:proofErr w:type="spellStart"/>
      <w:r w:rsidRPr="002C4BEB">
        <w:rPr>
          <w:rFonts w:ascii="Calibri" w:eastAsia="Times New Roman" w:hAnsi="Calibri"/>
        </w:rPr>
        <w:t>Sealands</w:t>
      </w:r>
      <w:proofErr w:type="spellEnd"/>
      <w:r w:rsidRPr="002C4BEB">
        <w:rPr>
          <w:rFonts w:ascii="Calibri" w:eastAsia="Times New Roman" w:hAnsi="Calibri"/>
        </w:rPr>
        <w:t>: Ceremonial Activities in the Southern Mesopotamian “Dark Age”. </w:t>
      </w:r>
      <w:proofErr w:type="gramStart"/>
      <w:r w:rsidRPr="002C4BEB">
        <w:rPr>
          <w:rFonts w:ascii="Calibri" w:eastAsia="Times New Roman" w:hAnsi="Calibri"/>
          <w:i/>
          <w:iCs/>
        </w:rPr>
        <w:t>IRAQ</w:t>
      </w:r>
      <w:r w:rsidRPr="002C4BEB">
        <w:rPr>
          <w:rFonts w:ascii="Calibri" w:eastAsia="Times New Roman" w:hAnsi="Calibri"/>
        </w:rPr>
        <w:t>, </w:t>
      </w:r>
      <w:r w:rsidRPr="002C4BEB">
        <w:rPr>
          <w:rFonts w:ascii="Calibri" w:eastAsia="Times New Roman" w:hAnsi="Calibri"/>
          <w:i/>
          <w:iCs/>
        </w:rPr>
        <w:t>79</w:t>
      </w:r>
      <w:r w:rsidRPr="002C4BEB">
        <w:rPr>
          <w:rFonts w:ascii="Calibri" w:eastAsia="Times New Roman" w:hAnsi="Calibri"/>
        </w:rPr>
        <w:t>, pp.257-267.</w:t>
      </w:r>
      <w:proofErr w:type="gramEnd"/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  <w:r w:rsidRPr="00EC7054">
        <w:rPr>
          <w:rFonts w:ascii="Calibri" w:eastAsia="Times New Roman" w:hAnsi="Calibri"/>
        </w:rPr>
        <w:t xml:space="preserve">Van De </w:t>
      </w:r>
      <w:proofErr w:type="spellStart"/>
      <w:r w:rsidRPr="00EC7054">
        <w:rPr>
          <w:rFonts w:ascii="Calibri" w:eastAsia="Times New Roman" w:hAnsi="Calibri"/>
        </w:rPr>
        <w:t>Mieroop</w:t>
      </w:r>
      <w:proofErr w:type="spellEnd"/>
      <w:r w:rsidRPr="00EC7054">
        <w:rPr>
          <w:rFonts w:ascii="Calibri" w:eastAsia="Times New Roman" w:hAnsi="Calibri"/>
        </w:rPr>
        <w:t xml:space="preserve">, M. 2015. </w:t>
      </w:r>
      <w:proofErr w:type="gramStart"/>
      <w:r w:rsidRPr="00EC7054">
        <w:rPr>
          <w:rFonts w:ascii="Calibri" w:eastAsia="Times New Roman" w:hAnsi="Calibri"/>
          <w:i/>
        </w:rPr>
        <w:t>A History of the Ancient Near East, ca. 3000–323 BC</w:t>
      </w:r>
      <w:r w:rsidRPr="00EC7054">
        <w:rPr>
          <w:rFonts w:ascii="Calibri" w:eastAsia="Times New Roman" w:hAnsi="Calibri"/>
        </w:rPr>
        <w:t>, 3rd edition.</w:t>
      </w:r>
      <w:proofErr w:type="gramEnd"/>
      <w:r w:rsidRPr="00EC7054">
        <w:rPr>
          <w:rFonts w:ascii="Calibri" w:eastAsia="Times New Roman" w:hAnsi="Calibri"/>
        </w:rPr>
        <w:t xml:space="preserve"> Hoboken, NJ: Wiley-Blackwell.</w:t>
      </w: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  <w:r w:rsidRPr="00EC7054">
        <w:rPr>
          <w:rFonts w:ascii="Calibri" w:eastAsia="Times New Roman" w:hAnsi="Calibri"/>
        </w:rPr>
        <w:t xml:space="preserve">Wright, D. P. 2013. </w:t>
      </w:r>
      <w:r w:rsidRPr="00EC7054">
        <w:rPr>
          <w:rFonts w:ascii="Calibri" w:eastAsia="Times New Roman" w:hAnsi="Calibri"/>
          <w:i/>
        </w:rPr>
        <w:t>Inventing God’s Law: How the Covenant Code of the Bible Used and Revised the Laws of Hammurabi</w:t>
      </w:r>
      <w:r w:rsidRPr="00EC7054">
        <w:rPr>
          <w:rFonts w:ascii="Calibri" w:eastAsia="Times New Roman" w:hAnsi="Calibri"/>
        </w:rPr>
        <w:t>. Oxford: Oxford University Press.</w:t>
      </w: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  <w:b/>
          <w:sz w:val="28"/>
          <w:szCs w:val="28"/>
        </w:rPr>
      </w:pPr>
    </w:p>
    <w:p w:rsidR="001F206E" w:rsidRPr="00EC7054" w:rsidRDefault="001F206E" w:rsidP="001F206E">
      <w:pPr>
        <w:pStyle w:val="Heading1"/>
        <w:rPr>
          <w:rFonts w:eastAsia="Times New Roman"/>
        </w:rPr>
      </w:pPr>
      <w:r w:rsidRPr="00EC7054">
        <w:rPr>
          <w:rFonts w:eastAsia="Times New Roman"/>
        </w:rPr>
        <w:t>Web Links</w:t>
      </w:r>
    </w:p>
    <w:p w:rsidR="001F206E" w:rsidRDefault="001F206E" w:rsidP="001F206E">
      <w:pPr>
        <w:spacing w:after="0" w:line="240" w:lineRule="auto"/>
        <w:ind w:firstLine="0"/>
      </w:pPr>
      <w:r>
        <w:rPr>
          <w:rFonts w:ascii="Calibri" w:eastAsia="Times New Roman" w:hAnsi="Calibri"/>
        </w:rPr>
        <w:t xml:space="preserve">BBC Radio 4 In Our Time Podcast: </w:t>
      </w:r>
      <w:r w:rsidRPr="006F60EC">
        <w:rPr>
          <w:rFonts w:ascii="Calibri" w:eastAsia="Times New Roman" w:hAnsi="Calibri"/>
        </w:rPr>
        <w:t>Epic of Gilgamesh</w:t>
      </w:r>
      <w:r>
        <w:rPr>
          <w:rFonts w:ascii="Calibri" w:eastAsia="Times New Roman" w:hAnsi="Calibri"/>
        </w:rPr>
        <w:t xml:space="preserve"> (43 minutes); “</w:t>
      </w:r>
      <w:r w:rsidRPr="006F60EC">
        <w:rPr>
          <w:rFonts w:ascii="Calibri" w:eastAsia="Times New Roman" w:hAnsi="Calibri"/>
        </w:rPr>
        <w:t xml:space="preserve">Melvyn Bragg and guests discuss the Gilgamesh Epic, often described as the earliest surviving great work of literature, </w:t>
      </w:r>
      <w:r w:rsidRPr="006F60EC">
        <w:rPr>
          <w:rFonts w:ascii="Calibri" w:eastAsia="Times New Roman" w:hAnsi="Calibri"/>
        </w:rPr>
        <w:lastRenderedPageBreak/>
        <w:t>with origins in Mesopotamia in the 3rd millennium BC.</w:t>
      </w:r>
      <w:proofErr w:type="gramStart"/>
      <w:r>
        <w:rPr>
          <w:rFonts w:ascii="Calibri" w:eastAsia="Times New Roman" w:hAnsi="Calibri"/>
        </w:rPr>
        <w:t>” :</w:t>
      </w:r>
      <w:proofErr w:type="gramEnd"/>
      <w:r>
        <w:rPr>
          <w:rFonts w:ascii="Calibri" w:eastAsia="Times New Roman" w:hAnsi="Calibri"/>
        </w:rPr>
        <w:t xml:space="preserve"> </w:t>
      </w:r>
      <w:hyperlink r:id="rId5" w:history="1">
        <w:r>
          <w:rPr>
            <w:rStyle w:val="Hyperlink"/>
          </w:rPr>
          <w:t>https://www.bbc.co.uk/programmes/b080wbrq</w:t>
        </w:r>
      </w:hyperlink>
    </w:p>
    <w:p w:rsidR="001F206E" w:rsidRDefault="001F206E" w:rsidP="001F206E">
      <w:pPr>
        <w:spacing w:after="0" w:line="240" w:lineRule="auto"/>
        <w:ind w:firstLine="0"/>
      </w:pPr>
    </w:p>
    <w:p w:rsidR="001F206E" w:rsidRDefault="001F206E" w:rsidP="001F206E">
      <w:pPr>
        <w:spacing w:after="0" w:line="240" w:lineRule="auto"/>
        <w:ind w:firstLine="0"/>
      </w:pPr>
      <w:r>
        <w:t>Archaeology Podcast: The World’s Oldest Writing: “</w:t>
      </w:r>
      <w:r w:rsidRPr="006F60EC">
        <w:t>In their special feature, “The World's Oldest Writing,” ARCHAEOLOGY magazine's editors explore cuneiform—ancient Mesopotamia's robust, long-lived system of notation—and present some of the most impressive examples of cuneiform texts tied to the lives of kings, the rule of law, the practice of medicine, and more.</w:t>
      </w:r>
      <w:r>
        <w:t xml:space="preserve">”: </w:t>
      </w:r>
      <w:hyperlink r:id="rId6" w:history="1">
        <w:r>
          <w:rPr>
            <w:rStyle w:val="Hyperlink"/>
          </w:rPr>
          <w:t>https://www.archaeology.org/podcasts/287-podcasts/6383-cuneiform-reading</w:t>
        </w:r>
      </w:hyperlink>
    </w:p>
    <w:p w:rsidR="001F206E" w:rsidRDefault="001F206E" w:rsidP="001F206E">
      <w:pPr>
        <w:spacing w:after="0" w:line="240" w:lineRule="auto"/>
        <w:ind w:firstLine="0"/>
      </w:pPr>
    </w:p>
    <w:p w:rsidR="001F206E" w:rsidRDefault="001F206E" w:rsidP="001F206E">
      <w:pPr>
        <w:spacing w:after="0" w:line="240" w:lineRule="auto"/>
        <w:ind w:firstLine="0"/>
      </w:pPr>
      <w:r>
        <w:t>The Atlantic: It’s Disturbingly Easy to Buy Iraq’s Archeological Treasures</w:t>
      </w:r>
    </w:p>
    <w:p w:rsidR="001F206E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  <w:r>
        <w:t>U.S. forces invaded the country 15 years ago this week—and left behind a booming trade in looted artifacts. (</w:t>
      </w:r>
      <w:proofErr w:type="gramStart"/>
      <w:r>
        <w:t>from</w:t>
      </w:r>
      <w:proofErr w:type="gramEnd"/>
      <w:r>
        <w:t xml:space="preserve"> March 19, 2018): </w:t>
      </w:r>
      <w:hyperlink r:id="rId7" w:history="1">
        <w:r>
          <w:rPr>
            <w:rStyle w:val="Hyperlink"/>
          </w:rPr>
          <w:t>https://www.theatlantic.com/international/archive/2018/03/iraq-war-archeology-invasion/555200/</w:t>
        </w:r>
      </w:hyperlink>
    </w:p>
    <w:p w:rsidR="001F206E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  <w:r w:rsidRPr="00EC7054">
        <w:rPr>
          <w:rFonts w:ascii="Calibri" w:eastAsia="Times New Roman" w:hAnsi="Calibri"/>
        </w:rPr>
        <w:t xml:space="preserve">British Museum Guide to Ancient Mesopotamia: </w:t>
      </w:r>
      <w:hyperlink r:id="rId8" w:history="1">
        <w:r w:rsidRPr="00891CF1">
          <w:rPr>
            <w:rStyle w:val="Hyperlink"/>
            <w:rFonts w:ascii="Calibri" w:eastAsia="Times New Roman" w:hAnsi="Calibri"/>
            <w:b/>
          </w:rPr>
          <w:t>http://www.mesopotamia.co.uk/</w:t>
        </w:r>
      </w:hyperlink>
      <w:r>
        <w:rPr>
          <w:rFonts w:ascii="Calibri" w:eastAsia="Times New Roman" w:hAnsi="Calibri"/>
          <w:b/>
        </w:rPr>
        <w:t xml:space="preserve"> </w:t>
      </w: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  <w:b/>
        </w:rPr>
      </w:pPr>
      <w:r w:rsidRPr="00EC7054">
        <w:rPr>
          <w:rFonts w:ascii="Calibri" w:eastAsia="Times New Roman" w:hAnsi="Calibri"/>
        </w:rPr>
        <w:t xml:space="preserve">ETANA—Electronic Tools and Ancient Near East Archives: </w:t>
      </w:r>
      <w:hyperlink r:id="rId9" w:history="1">
        <w:r w:rsidRPr="00891CF1">
          <w:rPr>
            <w:rStyle w:val="Hyperlink"/>
            <w:rFonts w:ascii="Calibri" w:eastAsia="Times New Roman" w:hAnsi="Calibri"/>
            <w:b/>
          </w:rPr>
          <w:t>http://www.etana.org/</w:t>
        </w:r>
      </w:hyperlink>
      <w:r>
        <w:rPr>
          <w:rFonts w:ascii="Calibri" w:eastAsia="Times New Roman" w:hAnsi="Calibri"/>
          <w:b/>
        </w:rPr>
        <w:t xml:space="preserve"> </w:t>
      </w: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  <w:b/>
        </w:rPr>
      </w:pP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  <w:b/>
        </w:rPr>
      </w:pPr>
      <w:r w:rsidRPr="00EC7054">
        <w:rPr>
          <w:rFonts w:ascii="Calibri" w:eastAsia="Times New Roman" w:hAnsi="Calibri"/>
        </w:rPr>
        <w:t>Metropolitan Museum of Art—</w:t>
      </w:r>
      <w:proofErr w:type="spellStart"/>
      <w:r w:rsidRPr="00EC7054">
        <w:rPr>
          <w:rFonts w:ascii="Calibri" w:eastAsia="Times New Roman" w:hAnsi="Calibri"/>
        </w:rPr>
        <w:t>Uruk</w:t>
      </w:r>
      <w:proofErr w:type="spellEnd"/>
      <w:r w:rsidRPr="00EC7054">
        <w:rPr>
          <w:rFonts w:ascii="Calibri" w:eastAsia="Times New Roman" w:hAnsi="Calibri"/>
        </w:rPr>
        <w:t xml:space="preserve">: The First City: </w:t>
      </w:r>
      <w:hyperlink r:id="rId10" w:history="1">
        <w:r w:rsidRPr="00891CF1">
          <w:rPr>
            <w:rStyle w:val="Hyperlink"/>
            <w:rFonts w:ascii="Calibri" w:eastAsia="Times New Roman" w:hAnsi="Calibri"/>
            <w:b/>
          </w:rPr>
          <w:t>http://www.metmuseum.org/toah/hd/uruk/hd_uruk.htm</w:t>
        </w:r>
      </w:hyperlink>
      <w:r>
        <w:rPr>
          <w:rFonts w:ascii="Calibri" w:eastAsia="Times New Roman" w:hAnsi="Calibri"/>
          <w:b/>
        </w:rPr>
        <w:t xml:space="preserve"> </w:t>
      </w: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  <w:b/>
        </w:rPr>
      </w:pP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  <w:r w:rsidRPr="00EC7054">
        <w:rPr>
          <w:rFonts w:ascii="Calibri" w:eastAsia="Times New Roman" w:hAnsi="Calibri"/>
        </w:rPr>
        <w:t>DLR Earth Observation Center—</w:t>
      </w:r>
      <w:proofErr w:type="spellStart"/>
      <w:r w:rsidRPr="00EC7054">
        <w:rPr>
          <w:rFonts w:ascii="Calibri" w:eastAsia="Times New Roman" w:hAnsi="Calibri"/>
        </w:rPr>
        <w:t>Uruk</w:t>
      </w:r>
      <w:proofErr w:type="spellEnd"/>
      <w:r w:rsidRPr="00EC7054">
        <w:rPr>
          <w:rFonts w:ascii="Calibri" w:eastAsia="Times New Roman" w:hAnsi="Calibri"/>
        </w:rPr>
        <w:t>: Reconstruction Based on Satellite Data:</w:t>
      </w: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  <w:b/>
        </w:rPr>
      </w:pPr>
      <w:r w:rsidRPr="00EC7054">
        <w:rPr>
          <w:rFonts w:ascii="Calibri" w:eastAsia="Times New Roman" w:hAnsi="Calibri"/>
          <w:b/>
        </w:rPr>
        <w:t xml:space="preserve"> </w:t>
      </w:r>
      <w:hyperlink r:id="rId11" w:history="1">
        <w:r w:rsidRPr="00891CF1">
          <w:rPr>
            <w:rStyle w:val="Hyperlink"/>
            <w:rFonts w:ascii="Calibri" w:eastAsia="Times New Roman" w:hAnsi="Calibri"/>
            <w:b/>
          </w:rPr>
          <w:t>http://www.dlr.de/eoc/en/desktopdefault.aspx/tabid-8297/14218_read-37947/</w:t>
        </w:r>
      </w:hyperlink>
      <w:r>
        <w:rPr>
          <w:rFonts w:ascii="Calibri" w:eastAsia="Times New Roman" w:hAnsi="Calibri"/>
          <w:b/>
        </w:rPr>
        <w:t xml:space="preserve"> </w:t>
      </w: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  <w:b/>
        </w:rPr>
      </w:pPr>
      <w:r w:rsidRPr="00EC7054">
        <w:rPr>
          <w:rFonts w:ascii="Calibri" w:eastAsia="Times New Roman" w:hAnsi="Calibri"/>
        </w:rPr>
        <w:t xml:space="preserve">Metropolitan Museum of Art—The </w:t>
      </w:r>
      <w:proofErr w:type="spellStart"/>
      <w:r w:rsidRPr="00EC7054">
        <w:rPr>
          <w:rFonts w:ascii="Calibri" w:eastAsia="Times New Roman" w:hAnsi="Calibri"/>
        </w:rPr>
        <w:t>Akkadian</w:t>
      </w:r>
      <w:proofErr w:type="spellEnd"/>
      <w:r w:rsidRPr="00EC7054">
        <w:rPr>
          <w:rFonts w:ascii="Calibri" w:eastAsia="Times New Roman" w:hAnsi="Calibri"/>
        </w:rPr>
        <w:t xml:space="preserve"> Period (ca. 2350–2150 BC): </w:t>
      </w:r>
      <w:hyperlink r:id="rId12" w:history="1">
        <w:r w:rsidRPr="00891CF1">
          <w:rPr>
            <w:rStyle w:val="Hyperlink"/>
            <w:rFonts w:ascii="Calibri" w:eastAsia="Times New Roman" w:hAnsi="Calibri"/>
            <w:b/>
          </w:rPr>
          <w:t>http://www.metmuseum.org/toah/hd/akka/hd_akka.htm</w:t>
        </w:r>
      </w:hyperlink>
      <w:r>
        <w:rPr>
          <w:rFonts w:ascii="Calibri" w:eastAsia="Times New Roman" w:hAnsi="Calibri"/>
          <w:b/>
        </w:rPr>
        <w:t xml:space="preserve"> </w:t>
      </w: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  <w:proofErr w:type="gramStart"/>
      <w:r w:rsidRPr="00EC7054">
        <w:rPr>
          <w:rFonts w:ascii="Calibri" w:eastAsia="Times New Roman" w:hAnsi="Calibri"/>
        </w:rPr>
        <w:t>University of Pennsylvania Museum of Archaeology and Anthropology.</w:t>
      </w:r>
      <w:proofErr w:type="gramEnd"/>
      <w:r w:rsidRPr="00EC7054">
        <w:rPr>
          <w:rFonts w:ascii="Calibri" w:eastAsia="Times New Roman" w:hAnsi="Calibri"/>
        </w:rPr>
        <w:t xml:space="preserve"> Iraq’s Ancient </w:t>
      </w:r>
      <w:proofErr w:type="gramStart"/>
      <w:r w:rsidRPr="00EC7054">
        <w:rPr>
          <w:rFonts w:ascii="Calibri" w:eastAsia="Times New Roman" w:hAnsi="Calibri"/>
        </w:rPr>
        <w:t>Past—</w:t>
      </w:r>
      <w:proofErr w:type="gramEnd"/>
      <w:r w:rsidRPr="00EC7054">
        <w:rPr>
          <w:rFonts w:ascii="Calibri" w:eastAsia="Times New Roman" w:hAnsi="Calibri"/>
        </w:rPr>
        <w:t xml:space="preserve">Rediscovering Ur’s Royal Cemetery: </w:t>
      </w:r>
      <w:hyperlink r:id="rId13" w:history="1">
        <w:r w:rsidRPr="00891CF1">
          <w:rPr>
            <w:rStyle w:val="Hyperlink"/>
            <w:rFonts w:ascii="Calibri" w:eastAsia="Times New Roman" w:hAnsi="Calibri"/>
            <w:b/>
          </w:rPr>
          <w:t>http://www.penn.museum/sites/iraq/?page_id=26</w:t>
        </w:r>
      </w:hyperlink>
      <w:r>
        <w:rPr>
          <w:rFonts w:ascii="Calibri" w:eastAsia="Times New Roman" w:hAnsi="Calibri"/>
          <w:b/>
        </w:rPr>
        <w:t xml:space="preserve"> </w:t>
      </w: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  <w:r w:rsidRPr="00EC7054">
        <w:rPr>
          <w:rFonts w:ascii="Calibri" w:eastAsia="Times New Roman" w:hAnsi="Calibri"/>
        </w:rPr>
        <w:t xml:space="preserve">University of Chicago Oriental Institute—Treasures from the Royal Tombs of Ur: </w:t>
      </w:r>
      <w:hyperlink r:id="rId14" w:history="1">
        <w:r w:rsidRPr="00891CF1">
          <w:rPr>
            <w:rStyle w:val="Hyperlink"/>
            <w:rFonts w:ascii="Calibri" w:eastAsia="Times New Roman" w:hAnsi="Calibri"/>
            <w:b/>
          </w:rPr>
          <w:t>https://oi.uchicago.edu/museum-exhibits/special-exhibits/treasures-royal-tombs-ur-1</w:t>
        </w:r>
      </w:hyperlink>
      <w:r>
        <w:rPr>
          <w:rFonts w:ascii="Calibri" w:eastAsia="Times New Roman" w:hAnsi="Calibri"/>
          <w:b/>
        </w:rPr>
        <w:t xml:space="preserve"> </w:t>
      </w: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  <w:b/>
        </w:rPr>
      </w:pPr>
      <w:r w:rsidRPr="006A7470">
        <w:rPr>
          <w:rFonts w:ascii="Calibri" w:eastAsia="Times New Roman" w:hAnsi="Calibri"/>
        </w:rPr>
        <w:t>The Epic of Gilgamesh: Crash Course World Mythology #26</w:t>
      </w:r>
      <w:r w:rsidRPr="00EC7054">
        <w:rPr>
          <w:rFonts w:ascii="Calibri" w:eastAsia="Times New Roman" w:hAnsi="Calibri"/>
        </w:rPr>
        <w:t xml:space="preserve">: </w:t>
      </w:r>
      <w:hyperlink r:id="rId15" w:history="1">
        <w:r>
          <w:rPr>
            <w:rStyle w:val="Hyperlink"/>
          </w:rPr>
          <w:t>https://www.youtube.com/watch?v=sWppk7-Mti4</w:t>
        </w:r>
      </w:hyperlink>
    </w:p>
    <w:p w:rsidR="001F206E" w:rsidRPr="00EC7054" w:rsidRDefault="001F206E" w:rsidP="001F206E">
      <w:pPr>
        <w:spacing w:after="0" w:line="240" w:lineRule="auto"/>
        <w:ind w:firstLine="0"/>
        <w:rPr>
          <w:rFonts w:ascii="Calibri" w:eastAsia="Times New Roman" w:hAnsi="Calibri"/>
          <w:b/>
          <w:sz w:val="28"/>
          <w:szCs w:val="28"/>
        </w:rPr>
      </w:pPr>
    </w:p>
    <w:p w:rsidR="00B754B2" w:rsidRDefault="00B754B2">
      <w:bookmarkStart w:id="0" w:name="_GoBack"/>
      <w:bookmarkEnd w:id="0"/>
    </w:p>
    <w:sectPr w:rsidR="00B75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6E"/>
    <w:rsid w:val="001F206E"/>
    <w:rsid w:val="00B7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06E"/>
    <w:pPr>
      <w:spacing w:after="160" w:line="480" w:lineRule="auto"/>
      <w:ind w:firstLine="360"/>
    </w:pPr>
    <w:rPr>
      <w:rFonts w:eastAsiaTheme="minorEastAs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0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06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F20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06E"/>
    <w:pPr>
      <w:spacing w:after="160" w:line="480" w:lineRule="auto"/>
      <w:ind w:firstLine="360"/>
    </w:pPr>
    <w:rPr>
      <w:rFonts w:eastAsiaTheme="minorEastAs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0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06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F20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opotamia.co.uk/" TargetMode="External"/><Relationship Id="rId13" Type="http://schemas.openxmlformats.org/officeDocument/2006/relationships/hyperlink" Target="http://www.penn.museum/sites/iraq/?page_id=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atlantic.com/international/archive/2018/03/iraq-war-archeology-invasion/555200/" TargetMode="External"/><Relationship Id="rId12" Type="http://schemas.openxmlformats.org/officeDocument/2006/relationships/hyperlink" Target="http://www.metmuseum.org/toah/hd/akka/hd_akka.ht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rchaeology.org/podcasts/287-podcasts/6383-cuneiform-reading" TargetMode="External"/><Relationship Id="rId11" Type="http://schemas.openxmlformats.org/officeDocument/2006/relationships/hyperlink" Target="http://www.dlr.de/eoc/en/desktopdefault.aspx/tabid-8297/14218_read-37947/" TargetMode="External"/><Relationship Id="rId5" Type="http://schemas.openxmlformats.org/officeDocument/2006/relationships/hyperlink" Target="https://www.bbc.co.uk/programmes/b080wbrq" TargetMode="External"/><Relationship Id="rId15" Type="http://schemas.openxmlformats.org/officeDocument/2006/relationships/hyperlink" Target="https://www.youtube.com/watch?v=sWppk7-Mti4" TargetMode="External"/><Relationship Id="rId10" Type="http://schemas.openxmlformats.org/officeDocument/2006/relationships/hyperlink" Target="http://www.metmuseum.org/toah/hd/uruk/hd_uruk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tana.org/" TargetMode="External"/><Relationship Id="rId14" Type="http://schemas.openxmlformats.org/officeDocument/2006/relationships/hyperlink" Target="https://oi.uchicago.edu/museum-exhibits/special-exhibits/treasures-royal-tombs-ur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Further Reading</vt:lpstr>
      <vt:lpstr>Web Links</vt:lpstr>
    </vt:vector>
  </TitlesOfParts>
  <Company>Oxford University Press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1</cp:revision>
  <dcterms:created xsi:type="dcterms:W3CDTF">2019-07-09T20:37:00Z</dcterms:created>
  <dcterms:modified xsi:type="dcterms:W3CDTF">2019-07-09T20:37:00Z</dcterms:modified>
</cp:coreProperties>
</file>