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F4AC" w14:textId="77777777" w:rsidR="00D56BD7" w:rsidRDefault="00D56BD7" w:rsidP="00D56BD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Part 11: Medical Anthropology</w:t>
      </w:r>
    </w:p>
    <w:p w14:paraId="71404168" w14:textId="233B2184" w:rsidR="009757B1" w:rsidRPr="00FF6776" w:rsidRDefault="00A619A3" w:rsidP="00FF6776">
      <w:pPr>
        <w:pStyle w:val="Heading2"/>
        <w:rPr>
          <w:rFonts w:ascii="Times New Roman" w:hAnsi="Times New Roman"/>
        </w:rPr>
      </w:pPr>
      <w:r w:rsidRPr="00027E2B">
        <w:rPr>
          <w:rFonts w:ascii="Times New Roman" w:hAnsi="Times New Roman"/>
        </w:rPr>
        <w:t>Additional Reading</w:t>
      </w:r>
      <w:bookmarkStart w:id="0" w:name="_GoBack"/>
      <w:bookmarkEnd w:id="0"/>
      <w:r w:rsidRPr="00027E2B">
        <w:rPr>
          <w:rFonts w:ascii="Times New Roman" w:hAnsi="Times New Roman"/>
        </w:rPr>
        <w:t>s</w:t>
      </w:r>
    </w:p>
    <w:p w14:paraId="491A19CF" w14:textId="77777777" w:rsidR="009757B1" w:rsidRPr="00027E2B" w:rsidRDefault="009757B1" w:rsidP="009757B1">
      <w:pPr>
        <w:pStyle w:val="NormalWeb"/>
        <w:ind w:left="480" w:hanging="480"/>
      </w:pPr>
      <w:r w:rsidRPr="00027E2B">
        <w:t xml:space="preserve">Campbell, D. (2010). Anthropology’s contribution to public health policy development. </w:t>
      </w:r>
      <w:r w:rsidRPr="00027E2B">
        <w:rPr>
          <w:i/>
          <w:iCs/>
        </w:rPr>
        <w:t>McGill Journal of Medicine</w:t>
      </w:r>
      <w:r w:rsidRPr="00027E2B">
        <w:t xml:space="preserve">, </w:t>
      </w:r>
      <w:r w:rsidRPr="00027E2B">
        <w:rPr>
          <w:i/>
          <w:iCs/>
        </w:rPr>
        <w:t>13</w:t>
      </w:r>
      <w:r w:rsidRPr="00027E2B">
        <w:t>(1), 76–83.</w:t>
      </w:r>
    </w:p>
    <w:p w14:paraId="095CEAC0" w14:textId="77777777" w:rsidR="009757B1" w:rsidRPr="00027E2B" w:rsidRDefault="009757B1" w:rsidP="009757B1">
      <w:pPr>
        <w:pStyle w:val="NormalWeb"/>
        <w:ind w:left="480" w:hanging="480"/>
      </w:pPr>
      <w:r w:rsidRPr="00027E2B">
        <w:t xml:space="preserve">Hansen, H., Holmes, S., &amp; Lindemann, D. (2013). Ethnography of Health for Social Change: Impact on public perception and policy. </w:t>
      </w:r>
      <w:r w:rsidRPr="00027E2B">
        <w:rPr>
          <w:i/>
          <w:iCs/>
        </w:rPr>
        <w:t>Social Science and Medicine</w:t>
      </w:r>
      <w:r w:rsidRPr="00027E2B">
        <w:t xml:space="preserve">, </w:t>
      </w:r>
      <w:r w:rsidRPr="00027E2B">
        <w:rPr>
          <w:i/>
          <w:iCs/>
        </w:rPr>
        <w:t>99</w:t>
      </w:r>
      <w:r w:rsidRPr="00027E2B">
        <w:t xml:space="preserve">, 116–118. </w:t>
      </w:r>
    </w:p>
    <w:p w14:paraId="4CA68557" w14:textId="77777777" w:rsidR="009757B1" w:rsidRPr="00027E2B" w:rsidRDefault="009757B1" w:rsidP="009757B1">
      <w:pPr>
        <w:pStyle w:val="NormalWeb"/>
        <w:ind w:left="480" w:hanging="480"/>
      </w:pPr>
      <w:proofErr w:type="spellStart"/>
      <w:r w:rsidRPr="00027E2B">
        <w:t>Kielmann</w:t>
      </w:r>
      <w:proofErr w:type="spellEnd"/>
      <w:r w:rsidRPr="00027E2B">
        <w:t xml:space="preserve">, K. (2012). The ethnographic lens. In L. Gilson (Ed.), </w:t>
      </w:r>
      <w:r w:rsidRPr="00027E2B">
        <w:rPr>
          <w:i/>
          <w:iCs/>
        </w:rPr>
        <w:t>Health policy and systems research: A methodology reader</w:t>
      </w:r>
      <w:r w:rsidRPr="00027E2B">
        <w:t xml:space="preserve"> (pp. 235–252). World Health Organization.</w:t>
      </w:r>
    </w:p>
    <w:p w14:paraId="26ECF6A7" w14:textId="77777777" w:rsidR="009757B1" w:rsidRPr="00027E2B" w:rsidRDefault="009757B1" w:rsidP="009757B1">
      <w:pPr>
        <w:pStyle w:val="NormalWeb"/>
        <w:ind w:left="480" w:hanging="480"/>
      </w:pPr>
      <w:r w:rsidRPr="00027E2B">
        <w:t xml:space="preserve">Magrath, P., &amp; </w:t>
      </w:r>
      <w:proofErr w:type="spellStart"/>
      <w:r w:rsidRPr="00027E2B">
        <w:t>Nichter</w:t>
      </w:r>
      <w:proofErr w:type="spellEnd"/>
      <w:r w:rsidRPr="00027E2B">
        <w:t xml:space="preserve">, M. (2012). Paying for performance and the social relations of health care provision: An anthropological perspective. </w:t>
      </w:r>
      <w:r w:rsidRPr="00027E2B">
        <w:rPr>
          <w:i/>
          <w:iCs/>
        </w:rPr>
        <w:t>Social Science &amp; Medicine</w:t>
      </w:r>
      <w:r w:rsidRPr="00027E2B">
        <w:t xml:space="preserve">, </w:t>
      </w:r>
      <w:r w:rsidRPr="00027E2B">
        <w:rPr>
          <w:i/>
          <w:iCs/>
        </w:rPr>
        <w:t>75</w:t>
      </w:r>
      <w:r w:rsidRPr="00027E2B">
        <w:t xml:space="preserve">(10), 1778–1785. </w:t>
      </w:r>
    </w:p>
    <w:p w14:paraId="45CD616A" w14:textId="147D3A29" w:rsidR="00FF6776" w:rsidRDefault="00FF6776" w:rsidP="009757B1">
      <w:pPr>
        <w:pStyle w:val="NormalWeb"/>
        <w:ind w:left="480" w:hanging="480"/>
      </w:pPr>
      <w:proofErr w:type="spellStart"/>
      <w:r w:rsidRPr="00FF6776">
        <w:rPr>
          <w:lang w:bidi="en-US"/>
        </w:rPr>
        <w:t>Panter</w:t>
      </w:r>
      <w:proofErr w:type="spellEnd"/>
      <w:r w:rsidRPr="00FF6776">
        <w:rPr>
          <w:lang w:bidi="en-US"/>
        </w:rPr>
        <w:t xml:space="preserve">-Brick, C., &amp; </w:t>
      </w:r>
      <w:proofErr w:type="spellStart"/>
      <w:r w:rsidRPr="00FF6776">
        <w:rPr>
          <w:lang w:bidi="en-US"/>
        </w:rPr>
        <w:t>Eggerman</w:t>
      </w:r>
      <w:proofErr w:type="spellEnd"/>
      <w:r w:rsidRPr="00FF6776">
        <w:rPr>
          <w:lang w:bidi="en-US"/>
        </w:rPr>
        <w:t>, M. (2018). The field of medical anthropology in Social Science &amp; Medicine. </w:t>
      </w:r>
      <w:r w:rsidRPr="00FF6776">
        <w:rPr>
          <w:i/>
          <w:iCs/>
          <w:lang w:bidi="en-US"/>
        </w:rPr>
        <w:t>Social Science &amp; Medicine</w:t>
      </w:r>
      <w:r w:rsidRPr="00FF6776">
        <w:rPr>
          <w:lang w:bidi="en-US"/>
        </w:rPr>
        <w:t>, </w:t>
      </w:r>
      <w:r w:rsidRPr="00FF6776">
        <w:rPr>
          <w:i/>
          <w:iCs/>
          <w:lang w:bidi="en-US"/>
        </w:rPr>
        <w:t>196</w:t>
      </w:r>
      <w:r w:rsidRPr="00FF6776">
        <w:rPr>
          <w:lang w:bidi="en-US"/>
        </w:rPr>
        <w:t>, 233-239.</w:t>
      </w:r>
    </w:p>
    <w:p w14:paraId="6BBF3F1B" w14:textId="2BB47A87" w:rsidR="009757B1" w:rsidRPr="00027E2B" w:rsidRDefault="009757B1" w:rsidP="009757B1">
      <w:pPr>
        <w:pStyle w:val="NormalWeb"/>
        <w:ind w:left="480" w:hanging="480"/>
      </w:pPr>
      <w:r w:rsidRPr="00027E2B">
        <w:t xml:space="preserve">Pigg, S. L. (2013). On sitting and doing: Ethnography as action in global health. </w:t>
      </w:r>
      <w:r w:rsidRPr="00027E2B">
        <w:rPr>
          <w:i/>
          <w:iCs/>
        </w:rPr>
        <w:t>Social Science and Medicine</w:t>
      </w:r>
      <w:r w:rsidRPr="00027E2B">
        <w:t xml:space="preserve">, </w:t>
      </w:r>
      <w:r w:rsidRPr="00027E2B">
        <w:rPr>
          <w:i/>
          <w:iCs/>
        </w:rPr>
        <w:t>99</w:t>
      </w:r>
      <w:r w:rsidRPr="00027E2B">
        <w:t xml:space="preserve">(2013), 127–134. </w:t>
      </w:r>
    </w:p>
    <w:p w14:paraId="22E4D1DE" w14:textId="77777777" w:rsidR="009757B1" w:rsidRPr="00027E2B" w:rsidRDefault="009757B1" w:rsidP="009757B1">
      <w:pPr>
        <w:pStyle w:val="NormalWeb"/>
        <w:ind w:left="480" w:hanging="480"/>
      </w:pPr>
      <w:r w:rsidRPr="00027E2B">
        <w:t xml:space="preserve">Savage, J. (2000). Ethnography and health care. </w:t>
      </w:r>
      <w:r w:rsidRPr="00027E2B">
        <w:rPr>
          <w:i/>
          <w:iCs/>
        </w:rPr>
        <w:t>BMJ (Clinical Research Ed.)</w:t>
      </w:r>
      <w:r w:rsidRPr="00027E2B">
        <w:t xml:space="preserve">, </w:t>
      </w:r>
      <w:r w:rsidRPr="00027E2B">
        <w:rPr>
          <w:i/>
          <w:iCs/>
        </w:rPr>
        <w:t>321</w:t>
      </w:r>
      <w:r w:rsidRPr="00027E2B">
        <w:t xml:space="preserve">, 1400–1402. </w:t>
      </w:r>
    </w:p>
    <w:p w14:paraId="3F53EA38" w14:textId="1E7AA938" w:rsidR="00A619A3" w:rsidRDefault="00FF6776" w:rsidP="00FF6776">
      <w:pPr>
        <w:pStyle w:val="NormalWeb"/>
        <w:ind w:left="480" w:hanging="480"/>
      </w:pPr>
      <w:r w:rsidRPr="00FF6776">
        <w:t>Scheper-Hughes, N. (1990). Three propositions for a critically applied medical</w:t>
      </w:r>
      <w:r>
        <w:t xml:space="preserve"> </w:t>
      </w:r>
      <w:r w:rsidRPr="00FF6776">
        <w:t>anthropology. </w:t>
      </w:r>
      <w:r w:rsidRPr="00FF6776">
        <w:rPr>
          <w:i/>
          <w:iCs/>
        </w:rPr>
        <w:t>Social Science &amp; Medicine</w:t>
      </w:r>
      <w:r w:rsidRPr="00FF6776">
        <w:t>, 30(2), 189-197.</w:t>
      </w:r>
    </w:p>
    <w:p w14:paraId="62BA9A0B" w14:textId="77777777" w:rsidR="00FF6776" w:rsidRPr="00027E2B" w:rsidRDefault="00FF6776" w:rsidP="00FF6776">
      <w:pPr>
        <w:pStyle w:val="NormalWeb"/>
        <w:ind w:left="480" w:hanging="480"/>
      </w:pPr>
    </w:p>
    <w:sectPr w:rsidR="00FF6776" w:rsidRPr="00027E2B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110"/>
    <w:multiLevelType w:val="hybridMultilevel"/>
    <w:tmpl w:val="7590B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A59"/>
    <w:multiLevelType w:val="hybridMultilevel"/>
    <w:tmpl w:val="1D7C8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16E5"/>
    <w:multiLevelType w:val="hybridMultilevel"/>
    <w:tmpl w:val="58784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31EBD"/>
    <w:multiLevelType w:val="multilevel"/>
    <w:tmpl w:val="F6E66400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3F1716D"/>
    <w:multiLevelType w:val="hybridMultilevel"/>
    <w:tmpl w:val="978EC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52EBB"/>
    <w:multiLevelType w:val="hybridMultilevel"/>
    <w:tmpl w:val="A61C2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1225D"/>
    <w:multiLevelType w:val="hybridMultilevel"/>
    <w:tmpl w:val="169CA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46545"/>
    <w:multiLevelType w:val="hybridMultilevel"/>
    <w:tmpl w:val="4A0A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C4342"/>
    <w:multiLevelType w:val="hybridMultilevel"/>
    <w:tmpl w:val="5BF66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FF"/>
    <w:multiLevelType w:val="hybridMultilevel"/>
    <w:tmpl w:val="A3548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217BC"/>
    <w:multiLevelType w:val="hybridMultilevel"/>
    <w:tmpl w:val="71C6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A77E6"/>
    <w:multiLevelType w:val="hybridMultilevel"/>
    <w:tmpl w:val="4412F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917FD"/>
    <w:multiLevelType w:val="hybridMultilevel"/>
    <w:tmpl w:val="829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11"/>
  </w:num>
  <w:num w:numId="5">
    <w:abstractNumId w:val="7"/>
  </w:num>
  <w:num w:numId="6">
    <w:abstractNumId w:val="10"/>
  </w:num>
  <w:num w:numId="7">
    <w:abstractNumId w:val="2"/>
  </w:num>
  <w:num w:numId="8">
    <w:abstractNumId w:val="25"/>
  </w:num>
  <w:num w:numId="9">
    <w:abstractNumId w:val="17"/>
  </w:num>
  <w:num w:numId="10">
    <w:abstractNumId w:val="3"/>
  </w:num>
  <w:num w:numId="11">
    <w:abstractNumId w:val="20"/>
  </w:num>
  <w:num w:numId="12">
    <w:abstractNumId w:val="26"/>
  </w:num>
  <w:num w:numId="13">
    <w:abstractNumId w:val="14"/>
  </w:num>
  <w:num w:numId="14">
    <w:abstractNumId w:val="19"/>
  </w:num>
  <w:num w:numId="15">
    <w:abstractNumId w:val="8"/>
  </w:num>
  <w:num w:numId="16">
    <w:abstractNumId w:val="18"/>
  </w:num>
  <w:num w:numId="17">
    <w:abstractNumId w:val="16"/>
  </w:num>
  <w:num w:numId="18">
    <w:abstractNumId w:val="24"/>
  </w:num>
  <w:num w:numId="19">
    <w:abstractNumId w:val="5"/>
  </w:num>
  <w:num w:numId="20">
    <w:abstractNumId w:val="0"/>
  </w:num>
  <w:num w:numId="21">
    <w:abstractNumId w:val="13"/>
  </w:num>
  <w:num w:numId="22">
    <w:abstractNumId w:val="9"/>
  </w:num>
  <w:num w:numId="23">
    <w:abstractNumId w:val="6"/>
  </w:num>
  <w:num w:numId="24">
    <w:abstractNumId w:val="21"/>
  </w:num>
  <w:num w:numId="25">
    <w:abstractNumId w:val="23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0701C"/>
    <w:rsid w:val="00021687"/>
    <w:rsid w:val="00027E2B"/>
    <w:rsid w:val="00064B0F"/>
    <w:rsid w:val="000E5144"/>
    <w:rsid w:val="00196444"/>
    <w:rsid w:val="00197318"/>
    <w:rsid w:val="001E4453"/>
    <w:rsid w:val="002E0EBB"/>
    <w:rsid w:val="00327419"/>
    <w:rsid w:val="00333977"/>
    <w:rsid w:val="00357636"/>
    <w:rsid w:val="00372BC6"/>
    <w:rsid w:val="003B33ED"/>
    <w:rsid w:val="003C4FD9"/>
    <w:rsid w:val="003C6A8F"/>
    <w:rsid w:val="003E4446"/>
    <w:rsid w:val="003F325E"/>
    <w:rsid w:val="0041785E"/>
    <w:rsid w:val="00456B5F"/>
    <w:rsid w:val="00464756"/>
    <w:rsid w:val="00492989"/>
    <w:rsid w:val="004B39ED"/>
    <w:rsid w:val="004D1496"/>
    <w:rsid w:val="004D7259"/>
    <w:rsid w:val="004F2617"/>
    <w:rsid w:val="00540E60"/>
    <w:rsid w:val="00541A1C"/>
    <w:rsid w:val="00545DAA"/>
    <w:rsid w:val="00550341"/>
    <w:rsid w:val="00576DB2"/>
    <w:rsid w:val="00586826"/>
    <w:rsid w:val="00593419"/>
    <w:rsid w:val="005A259E"/>
    <w:rsid w:val="005D6732"/>
    <w:rsid w:val="00637639"/>
    <w:rsid w:val="00684B3F"/>
    <w:rsid w:val="006C59EA"/>
    <w:rsid w:val="00716F87"/>
    <w:rsid w:val="00746A87"/>
    <w:rsid w:val="00751ADD"/>
    <w:rsid w:val="0077074D"/>
    <w:rsid w:val="007E4749"/>
    <w:rsid w:val="00875E07"/>
    <w:rsid w:val="008847D8"/>
    <w:rsid w:val="00894A2E"/>
    <w:rsid w:val="008B706C"/>
    <w:rsid w:val="008C1CA1"/>
    <w:rsid w:val="00902A1B"/>
    <w:rsid w:val="00920D82"/>
    <w:rsid w:val="0094618A"/>
    <w:rsid w:val="009757B1"/>
    <w:rsid w:val="00981E5A"/>
    <w:rsid w:val="009A745B"/>
    <w:rsid w:val="009D4162"/>
    <w:rsid w:val="009E1B77"/>
    <w:rsid w:val="00A619A3"/>
    <w:rsid w:val="00A67199"/>
    <w:rsid w:val="00A8049F"/>
    <w:rsid w:val="00A81A56"/>
    <w:rsid w:val="00AB16F7"/>
    <w:rsid w:val="00AC4A6F"/>
    <w:rsid w:val="00B17BB1"/>
    <w:rsid w:val="00B572E4"/>
    <w:rsid w:val="00B72608"/>
    <w:rsid w:val="00B97DE0"/>
    <w:rsid w:val="00BA4AFE"/>
    <w:rsid w:val="00BB1872"/>
    <w:rsid w:val="00BC468C"/>
    <w:rsid w:val="00C059E1"/>
    <w:rsid w:val="00C07C06"/>
    <w:rsid w:val="00C10803"/>
    <w:rsid w:val="00C129E9"/>
    <w:rsid w:val="00C56CF8"/>
    <w:rsid w:val="00C61DBC"/>
    <w:rsid w:val="00CB11D2"/>
    <w:rsid w:val="00CC2CBC"/>
    <w:rsid w:val="00CF4D2D"/>
    <w:rsid w:val="00D316CD"/>
    <w:rsid w:val="00D56BD7"/>
    <w:rsid w:val="00DA13D0"/>
    <w:rsid w:val="00DA760B"/>
    <w:rsid w:val="00DB4A7E"/>
    <w:rsid w:val="00DC26B3"/>
    <w:rsid w:val="00DC5F35"/>
    <w:rsid w:val="00DC6357"/>
    <w:rsid w:val="00E1779F"/>
    <w:rsid w:val="00E33BBA"/>
    <w:rsid w:val="00E56096"/>
    <w:rsid w:val="00E61D7C"/>
    <w:rsid w:val="00EA2621"/>
    <w:rsid w:val="00EA6C56"/>
    <w:rsid w:val="00EF15FC"/>
    <w:rsid w:val="00F07CA7"/>
    <w:rsid w:val="00F30C19"/>
    <w:rsid w:val="00F477DE"/>
    <w:rsid w:val="00F94239"/>
    <w:rsid w:val="00F960C9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03390"/>
  <w15:docId w15:val="{CE2E7072-49C3-448F-8CC2-9BF064B1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uiPriority w:val="99"/>
    <w:semiHidden/>
    <w:unhideWhenUsed/>
    <w:rsid w:val="00751A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79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79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E054D-CA64-43D2-B900-401E01C5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27</cp:revision>
  <dcterms:created xsi:type="dcterms:W3CDTF">2016-03-30T02:41:00Z</dcterms:created>
  <dcterms:modified xsi:type="dcterms:W3CDTF">2019-06-16T05:01:00Z</dcterms:modified>
</cp:coreProperties>
</file>